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848FC" w14:textId="77777777" w:rsidR="00AA2984" w:rsidRDefault="00AA2984" w:rsidP="00AA2984">
      <w:pPr>
        <w:rPr>
          <w:rStyle w:val="colorblack"/>
          <w:rFonts w:ascii="Times New Roman" w:eastAsiaTheme="majorEastAsia" w:hAnsi="Times New Roman" w:cs="Times New Roman"/>
          <w:b/>
          <w:bCs/>
          <w:color w:val="121212"/>
          <w:sz w:val="52"/>
          <w:szCs w:val="52"/>
          <w:u w:val="single"/>
        </w:rPr>
      </w:pPr>
      <w:bookmarkStart w:id="0" w:name="_GoBack"/>
      <w:r w:rsidRPr="00AA2984">
        <w:rPr>
          <w:rStyle w:val="colorblack"/>
          <w:rFonts w:ascii="Times New Roman" w:eastAsiaTheme="majorEastAsia" w:hAnsi="Times New Roman" w:cs="Times New Roman"/>
          <w:b/>
          <w:bCs/>
          <w:color w:val="121212"/>
          <w:sz w:val="52"/>
          <w:szCs w:val="52"/>
          <w:u w:val="single"/>
        </w:rPr>
        <w:t>Moratorium</w:t>
      </w:r>
      <w:bookmarkEnd w:id="0"/>
      <w:r w:rsidRPr="00AA2984">
        <w:rPr>
          <w:rStyle w:val="colorblack"/>
          <w:rFonts w:ascii="Times New Roman" w:eastAsiaTheme="majorEastAsia" w:hAnsi="Times New Roman" w:cs="Times New Roman"/>
          <w:b/>
          <w:bCs/>
          <w:color w:val="121212"/>
          <w:sz w:val="52"/>
          <w:szCs w:val="52"/>
          <w:u w:val="single"/>
        </w:rPr>
        <w:t xml:space="preserve"> under the Insolvency And Bankruptcy Code </w:t>
      </w:r>
    </w:p>
    <w:p w14:paraId="7463876F" w14:textId="77777777" w:rsidR="00AA2984" w:rsidRDefault="00AA2984" w:rsidP="00AA2984">
      <w:pPr>
        <w:rPr>
          <w:rFonts w:ascii="Times New Roman" w:hAnsi="Times New Roman" w:cs="Times New Roman"/>
          <w:color w:val="171617"/>
          <w:sz w:val="24"/>
          <w:szCs w:val="24"/>
        </w:rPr>
      </w:pPr>
    </w:p>
    <w:p w14:paraId="1B2CFCF9" w14:textId="7714CF59" w:rsidR="00AA2984" w:rsidRPr="00AA2984" w:rsidRDefault="00AA2984" w:rsidP="00AA2984">
      <w:r w:rsidRPr="00AA2984">
        <w:rPr>
          <w:rFonts w:ascii="Times New Roman" w:hAnsi="Times New Roman" w:cs="Times New Roman"/>
          <w:color w:val="171617"/>
          <w:sz w:val="24"/>
          <w:szCs w:val="24"/>
        </w:rPr>
        <w:t>Moratorium</w:t>
      </w:r>
      <w:r>
        <w:rPr>
          <w:rFonts w:ascii="Times New Roman" w:hAnsi="Times New Roman" w:cs="Times New Roman"/>
          <w:color w:val="171617"/>
          <w:sz w:val="24"/>
          <w:szCs w:val="24"/>
        </w:rPr>
        <w:t xml:space="preserve">, </w:t>
      </w:r>
      <w:r w:rsidRPr="004C4F77">
        <w:rPr>
          <w:rFonts w:ascii="Times New Roman" w:hAnsi="Times New Roman" w:cs="Times New Roman"/>
          <w:color w:val="171617"/>
          <w:sz w:val="24"/>
          <w:szCs w:val="24"/>
        </w:rPr>
        <w:t>Insolvency and Bankruptcy Code</w:t>
      </w:r>
      <w:r>
        <w:rPr>
          <w:rFonts w:ascii="Times New Roman" w:hAnsi="Times New Roman" w:cs="Times New Roman"/>
          <w:color w:val="171617"/>
          <w:sz w:val="24"/>
          <w:szCs w:val="24"/>
        </w:rPr>
        <w:t xml:space="preserve">, </w:t>
      </w:r>
      <w:r w:rsidRPr="004C4F77">
        <w:rPr>
          <w:rFonts w:ascii="Times New Roman" w:hAnsi="Times New Roman" w:cs="Times New Roman"/>
          <w:color w:val="171617"/>
          <w:sz w:val="24"/>
          <w:szCs w:val="24"/>
        </w:rPr>
        <w:t>Negotiable Instruments Act</w:t>
      </w:r>
      <w:r>
        <w:rPr>
          <w:rFonts w:ascii="Times New Roman" w:hAnsi="Times New Roman" w:cs="Times New Roman"/>
          <w:color w:val="171617"/>
          <w:sz w:val="24"/>
          <w:szCs w:val="24"/>
        </w:rPr>
        <w:t xml:space="preserve">, </w:t>
      </w:r>
      <w:r w:rsidRPr="004C4F77">
        <w:rPr>
          <w:rFonts w:ascii="Times New Roman" w:hAnsi="Times New Roman" w:cs="Times New Roman"/>
          <w:color w:val="171617"/>
          <w:sz w:val="24"/>
          <w:szCs w:val="24"/>
        </w:rPr>
        <w:t xml:space="preserve">Section 138 </w:t>
      </w:r>
      <w:r>
        <w:rPr>
          <w:rFonts w:ascii="Times New Roman" w:hAnsi="Times New Roman" w:cs="Times New Roman"/>
          <w:color w:val="171617"/>
          <w:sz w:val="24"/>
          <w:szCs w:val="24"/>
        </w:rPr>
        <w:t xml:space="preserve">of </w:t>
      </w:r>
      <w:r w:rsidRPr="004C4F77">
        <w:rPr>
          <w:rFonts w:ascii="Times New Roman" w:hAnsi="Times New Roman" w:cs="Times New Roman"/>
          <w:color w:val="171617"/>
          <w:sz w:val="24"/>
          <w:szCs w:val="24"/>
        </w:rPr>
        <w:t>Negotiable Instruments Act</w:t>
      </w:r>
      <w:r>
        <w:rPr>
          <w:rFonts w:ascii="Times New Roman" w:hAnsi="Times New Roman" w:cs="Times New Roman"/>
          <w:color w:val="171617"/>
          <w:sz w:val="24"/>
          <w:szCs w:val="24"/>
        </w:rPr>
        <w:t xml:space="preserve">, </w:t>
      </w:r>
      <w:r>
        <w:rPr>
          <w:rFonts w:ascii="Times New Roman" w:hAnsi="Times New Roman" w:cs="Times New Roman"/>
          <w:color w:val="171617"/>
          <w:sz w:val="24"/>
          <w:szCs w:val="24"/>
        </w:rPr>
        <w:t>Section 14</w:t>
      </w:r>
      <w:r>
        <w:rPr>
          <w:rFonts w:ascii="Times New Roman" w:hAnsi="Times New Roman" w:cs="Times New Roman"/>
          <w:color w:val="171617"/>
          <w:sz w:val="24"/>
          <w:szCs w:val="24"/>
        </w:rPr>
        <w:t xml:space="preserve"> of </w:t>
      </w:r>
      <w:r w:rsidRPr="004C4F77">
        <w:rPr>
          <w:rFonts w:ascii="Times New Roman" w:hAnsi="Times New Roman" w:cs="Times New Roman"/>
          <w:color w:val="171617"/>
          <w:sz w:val="24"/>
          <w:szCs w:val="24"/>
        </w:rPr>
        <w:t>Insolvency and Bankruptcy Code</w:t>
      </w:r>
      <w:r>
        <w:rPr>
          <w:rFonts w:ascii="Times New Roman" w:hAnsi="Times New Roman" w:cs="Times New Roman"/>
          <w:color w:val="171617"/>
          <w:sz w:val="24"/>
          <w:szCs w:val="24"/>
        </w:rPr>
        <w:t xml:space="preserve">, </w:t>
      </w:r>
      <w:r w:rsidRPr="004C4F77">
        <w:rPr>
          <w:rFonts w:ascii="Times New Roman" w:hAnsi="Times New Roman" w:cs="Times New Roman"/>
          <w:color w:val="000000"/>
          <w:sz w:val="24"/>
          <w:szCs w:val="24"/>
          <w:shd w:val="clear" w:color="auto" w:fill="FFFFFF"/>
        </w:rPr>
        <w:t>National Company Law Appellate Tribunal</w:t>
      </w:r>
      <w:r>
        <w:rPr>
          <w:rFonts w:ascii="Times New Roman" w:hAnsi="Times New Roman" w:cs="Times New Roman"/>
          <w:color w:val="000000"/>
          <w:sz w:val="24"/>
          <w:szCs w:val="24"/>
          <w:shd w:val="clear" w:color="auto" w:fill="FFFFFF"/>
        </w:rPr>
        <w:t>, Supreme Court</w:t>
      </w:r>
    </w:p>
    <w:p w14:paraId="368E48EF" w14:textId="6D5F3BF1" w:rsidR="00F445EF" w:rsidRPr="004C4F77" w:rsidRDefault="00883BF7" w:rsidP="00F445EF">
      <w:pPr>
        <w:pStyle w:val="Heading1"/>
        <w:shd w:val="clear" w:color="auto" w:fill="FFFFFF"/>
        <w:spacing w:before="360" w:after="360"/>
        <w:rPr>
          <w:rFonts w:ascii="Times New Roman" w:hAnsi="Times New Roman" w:cs="Times New Roman"/>
          <w:color w:val="121212"/>
          <w:sz w:val="24"/>
          <w:szCs w:val="24"/>
        </w:rPr>
      </w:pPr>
      <w:r>
        <w:rPr>
          <w:rStyle w:val="colorblack"/>
          <w:rFonts w:ascii="Times New Roman" w:hAnsi="Times New Roman" w:cs="Times New Roman"/>
          <w:color w:val="121212"/>
          <w:sz w:val="24"/>
          <w:szCs w:val="24"/>
        </w:rPr>
        <w:t xml:space="preserve">Synopsis – The paper </w:t>
      </w:r>
      <w:r w:rsidR="00F445EF">
        <w:rPr>
          <w:rStyle w:val="colorblack"/>
          <w:rFonts w:ascii="Times New Roman" w:hAnsi="Times New Roman" w:cs="Times New Roman"/>
          <w:color w:val="121212"/>
          <w:sz w:val="24"/>
          <w:szCs w:val="24"/>
        </w:rPr>
        <w:t xml:space="preserve">deals with the relation of </w:t>
      </w:r>
      <w:r>
        <w:rPr>
          <w:rStyle w:val="colorblack"/>
          <w:rFonts w:ascii="Times New Roman" w:hAnsi="Times New Roman" w:cs="Times New Roman"/>
          <w:color w:val="121212"/>
          <w:sz w:val="24"/>
          <w:szCs w:val="24"/>
        </w:rPr>
        <w:t>Section 14 (</w:t>
      </w:r>
      <w:r w:rsidR="00F445EF">
        <w:rPr>
          <w:rStyle w:val="colorblack"/>
          <w:rFonts w:ascii="Times New Roman" w:hAnsi="Times New Roman" w:cs="Times New Roman"/>
          <w:color w:val="121212"/>
          <w:sz w:val="24"/>
          <w:szCs w:val="24"/>
        </w:rPr>
        <w:t>M</w:t>
      </w:r>
      <w:r w:rsidR="00F445EF" w:rsidRPr="004C4F77">
        <w:rPr>
          <w:rStyle w:val="colorblack"/>
          <w:rFonts w:ascii="Times New Roman" w:hAnsi="Times New Roman" w:cs="Times New Roman"/>
          <w:color w:val="121212"/>
          <w:sz w:val="24"/>
          <w:szCs w:val="24"/>
        </w:rPr>
        <w:t>oratorium</w:t>
      </w:r>
      <w:r>
        <w:rPr>
          <w:rStyle w:val="colorblack"/>
          <w:rFonts w:ascii="Times New Roman" w:hAnsi="Times New Roman" w:cs="Times New Roman"/>
          <w:color w:val="121212"/>
          <w:sz w:val="24"/>
          <w:szCs w:val="24"/>
        </w:rPr>
        <w:t>)</w:t>
      </w:r>
      <w:r w:rsidR="00F445EF">
        <w:rPr>
          <w:rStyle w:val="colorblack"/>
          <w:rFonts w:ascii="Times New Roman" w:hAnsi="Times New Roman" w:cs="Times New Roman"/>
          <w:color w:val="121212"/>
          <w:sz w:val="24"/>
          <w:szCs w:val="24"/>
        </w:rPr>
        <w:t xml:space="preserve"> in the </w:t>
      </w:r>
      <w:r w:rsidR="00F445EF" w:rsidRPr="004C4F77">
        <w:rPr>
          <w:rFonts w:ascii="Times New Roman" w:hAnsi="Times New Roman" w:cs="Times New Roman"/>
          <w:color w:val="171617"/>
          <w:sz w:val="24"/>
          <w:szCs w:val="24"/>
        </w:rPr>
        <w:t>Insolvency and Bankruptcy Code</w:t>
      </w:r>
      <w:r w:rsidR="00F445EF">
        <w:rPr>
          <w:rStyle w:val="colorblack"/>
          <w:rFonts w:ascii="Times New Roman" w:hAnsi="Times New Roman" w:cs="Times New Roman"/>
          <w:color w:val="121212"/>
          <w:sz w:val="24"/>
          <w:szCs w:val="24"/>
        </w:rPr>
        <w:t xml:space="preserve"> with Section 138 of the Negotiable Instruments Act.</w:t>
      </w:r>
    </w:p>
    <w:p w14:paraId="6B056928" w14:textId="77777777" w:rsidR="00BF1566" w:rsidRDefault="00BF1566" w:rsidP="00F445EF">
      <w:pPr>
        <w:pStyle w:val="Heading1"/>
        <w:shd w:val="clear" w:color="auto" w:fill="FFFFFF"/>
        <w:spacing w:before="360" w:after="360"/>
        <w:rPr>
          <w:rStyle w:val="colorblack"/>
          <w:rFonts w:ascii="Times New Roman" w:hAnsi="Times New Roman" w:cs="Times New Roman"/>
          <w:b/>
          <w:bCs/>
          <w:color w:val="121212"/>
          <w:sz w:val="28"/>
          <w:szCs w:val="28"/>
          <w:u w:val="single"/>
        </w:rPr>
      </w:pPr>
    </w:p>
    <w:p w14:paraId="0B90C2B5" w14:textId="64B41137" w:rsidR="00F445EF" w:rsidRPr="00BF1566" w:rsidRDefault="00F445EF" w:rsidP="00F445EF">
      <w:pPr>
        <w:pStyle w:val="Heading1"/>
        <w:shd w:val="clear" w:color="auto" w:fill="FFFFFF"/>
        <w:spacing w:before="360" w:after="360"/>
        <w:rPr>
          <w:rStyle w:val="colorblack"/>
          <w:rFonts w:ascii="Times New Roman" w:hAnsi="Times New Roman" w:cs="Times New Roman"/>
          <w:b/>
          <w:bCs/>
          <w:color w:val="121212"/>
          <w:sz w:val="28"/>
          <w:szCs w:val="28"/>
          <w:u w:val="single"/>
        </w:rPr>
      </w:pPr>
      <w:r w:rsidRPr="00BF1566">
        <w:rPr>
          <w:rStyle w:val="colorblack"/>
          <w:rFonts w:ascii="Times New Roman" w:hAnsi="Times New Roman" w:cs="Times New Roman"/>
          <w:b/>
          <w:bCs/>
          <w:color w:val="121212"/>
          <w:sz w:val="28"/>
          <w:szCs w:val="28"/>
          <w:u w:val="single"/>
        </w:rPr>
        <w:t>What is a Moratorium?</w:t>
      </w:r>
    </w:p>
    <w:p w14:paraId="6204A8FA" w14:textId="0D7B7F2A" w:rsidR="00BF1566" w:rsidRDefault="00F445EF" w:rsidP="00BF1566">
      <w:pPr>
        <w:pStyle w:val="Heading1"/>
        <w:shd w:val="clear" w:color="auto" w:fill="FFFFFF"/>
        <w:spacing w:before="360" w:after="360"/>
        <w:rPr>
          <w:rStyle w:val="colorblack"/>
          <w:rFonts w:ascii="Times New Roman" w:hAnsi="Times New Roman" w:cs="Times New Roman"/>
          <w:color w:val="121212"/>
          <w:sz w:val="24"/>
          <w:szCs w:val="24"/>
        </w:rPr>
      </w:pPr>
      <w:r w:rsidRPr="004C4F77">
        <w:rPr>
          <w:rStyle w:val="colorblack"/>
          <w:rFonts w:ascii="Times New Roman" w:hAnsi="Times New Roman" w:cs="Times New Roman"/>
          <w:color w:val="121212"/>
          <w:sz w:val="24"/>
          <w:szCs w:val="24"/>
        </w:rPr>
        <w:t>Moratorium</w:t>
      </w:r>
      <w:r>
        <w:rPr>
          <w:rStyle w:val="colorblack"/>
          <w:rFonts w:ascii="Times New Roman" w:hAnsi="Times New Roman" w:cs="Times New Roman"/>
          <w:color w:val="121212"/>
          <w:sz w:val="24"/>
          <w:szCs w:val="24"/>
        </w:rPr>
        <w:t xml:space="preserve"> in law </w:t>
      </w:r>
      <w:r w:rsidRPr="004C4F77">
        <w:rPr>
          <w:rStyle w:val="colorblack"/>
          <w:rFonts w:ascii="Times New Roman" w:hAnsi="Times New Roman" w:cs="Times New Roman"/>
          <w:color w:val="121212"/>
          <w:sz w:val="24"/>
          <w:szCs w:val="24"/>
        </w:rPr>
        <w:t>a legal authorization to debtors to postpone payment.</w:t>
      </w:r>
      <w:r w:rsidR="00BF1566">
        <w:rPr>
          <w:rStyle w:val="colorblack"/>
          <w:rFonts w:ascii="Times New Roman" w:hAnsi="Times New Roman" w:cs="Times New Roman"/>
          <w:color w:val="121212"/>
          <w:sz w:val="24"/>
          <w:szCs w:val="24"/>
        </w:rPr>
        <w:t xml:space="preserve"> </w:t>
      </w:r>
      <w:r w:rsidR="00BF1566" w:rsidRPr="00BF1566">
        <w:rPr>
          <w:rStyle w:val="colorblack"/>
          <w:rFonts w:ascii="Times New Roman" w:hAnsi="Times New Roman" w:cs="Times New Roman"/>
          <w:color w:val="121212"/>
          <w:sz w:val="24"/>
          <w:szCs w:val="24"/>
        </w:rPr>
        <w:t xml:space="preserve">The moratorium under </w:t>
      </w:r>
      <w:r w:rsidR="00BF1566" w:rsidRPr="00BF1566">
        <w:rPr>
          <w:rStyle w:val="colorblack"/>
          <w:rFonts w:ascii="Times New Roman" w:hAnsi="Times New Roman" w:cs="Times New Roman"/>
          <w:b/>
          <w:bCs/>
          <w:color w:val="121212"/>
          <w:sz w:val="24"/>
          <w:szCs w:val="24"/>
        </w:rPr>
        <w:t>Section 14 of the Insolvency and Bankruptcy Code, 2016</w:t>
      </w:r>
      <w:r w:rsidR="00BF1566" w:rsidRPr="00BF1566">
        <w:rPr>
          <w:rStyle w:val="colorblack"/>
          <w:rFonts w:ascii="Times New Roman" w:hAnsi="Times New Roman" w:cs="Times New Roman"/>
          <w:color w:val="121212"/>
          <w:sz w:val="24"/>
          <w:szCs w:val="24"/>
        </w:rPr>
        <w:t xml:space="preserve"> (‘IBC’) means a period wherein no judicial proceedings for recovery, enforcement of security interest, sale or transfer of assets, or termination of essential contracts can be instituted or continued against the Corporate Debtor.  This raises an interesting question on the issue of the applicability of the Moratorium to the proceedings under </w:t>
      </w:r>
      <w:r w:rsidR="00BF1566" w:rsidRPr="00BF1566">
        <w:rPr>
          <w:rStyle w:val="colorblack"/>
          <w:rFonts w:ascii="Times New Roman" w:hAnsi="Times New Roman" w:cs="Times New Roman"/>
          <w:b/>
          <w:bCs/>
          <w:color w:val="121212"/>
          <w:sz w:val="24"/>
          <w:szCs w:val="24"/>
        </w:rPr>
        <w:t>Section 138</w:t>
      </w:r>
      <w:r w:rsidR="00BF1566" w:rsidRPr="00BF1566">
        <w:rPr>
          <w:rStyle w:val="colorblack"/>
          <w:rFonts w:ascii="Times New Roman" w:hAnsi="Times New Roman" w:cs="Times New Roman"/>
          <w:color w:val="121212"/>
          <w:sz w:val="24"/>
          <w:szCs w:val="24"/>
        </w:rPr>
        <w:t xml:space="preserve"> </w:t>
      </w:r>
      <w:r w:rsidR="00BF1566" w:rsidRPr="00BF1566">
        <w:rPr>
          <w:rStyle w:val="colorblack"/>
          <w:rFonts w:ascii="Times New Roman" w:hAnsi="Times New Roman" w:cs="Times New Roman"/>
          <w:b/>
          <w:bCs/>
          <w:color w:val="121212"/>
          <w:sz w:val="24"/>
          <w:szCs w:val="24"/>
        </w:rPr>
        <w:t>of the Negotiable Instruments</w:t>
      </w:r>
      <w:r w:rsidR="00BF1566" w:rsidRPr="00BF1566">
        <w:rPr>
          <w:rStyle w:val="colorblack"/>
          <w:rFonts w:ascii="Times New Roman" w:hAnsi="Times New Roman" w:cs="Times New Roman"/>
          <w:color w:val="121212"/>
          <w:sz w:val="24"/>
          <w:szCs w:val="24"/>
        </w:rPr>
        <w:t xml:space="preserve"> </w:t>
      </w:r>
      <w:r w:rsidR="00BF1566" w:rsidRPr="00BF1566">
        <w:rPr>
          <w:rStyle w:val="colorblack"/>
          <w:rFonts w:ascii="Times New Roman" w:hAnsi="Times New Roman" w:cs="Times New Roman"/>
          <w:b/>
          <w:bCs/>
          <w:color w:val="121212"/>
          <w:sz w:val="24"/>
          <w:szCs w:val="24"/>
        </w:rPr>
        <w:t>Act</w:t>
      </w:r>
      <w:r w:rsidR="00BF1566" w:rsidRPr="00BF1566">
        <w:rPr>
          <w:rStyle w:val="colorblack"/>
          <w:rFonts w:ascii="Times New Roman" w:hAnsi="Times New Roman" w:cs="Times New Roman"/>
          <w:color w:val="121212"/>
          <w:sz w:val="24"/>
          <w:szCs w:val="24"/>
        </w:rPr>
        <w:t>, 1891 (NI Act) which talks about dishonour of cheque.</w:t>
      </w:r>
    </w:p>
    <w:p w14:paraId="7BF33D3B" w14:textId="77777777" w:rsidR="00BF1566" w:rsidRDefault="00BF1566" w:rsidP="00F445EF">
      <w:pPr>
        <w:pStyle w:val="NormalWeb"/>
        <w:shd w:val="clear" w:color="auto" w:fill="FFFFFF"/>
        <w:spacing w:before="0" w:beforeAutospacing="0" w:after="75" w:afterAutospacing="0"/>
        <w:jc w:val="both"/>
        <w:textAlignment w:val="baseline"/>
        <w:rPr>
          <w:rFonts w:asciiTheme="minorHAnsi" w:eastAsiaTheme="minorHAnsi" w:hAnsiTheme="minorHAnsi" w:cstheme="minorBidi"/>
          <w:sz w:val="22"/>
          <w:szCs w:val="20"/>
          <w:lang w:eastAsia="en-US"/>
        </w:rPr>
      </w:pPr>
    </w:p>
    <w:p w14:paraId="341C116E" w14:textId="3D33A76A" w:rsidR="00BF1566" w:rsidRDefault="00BF1566" w:rsidP="00F445EF">
      <w:pPr>
        <w:pStyle w:val="NormalWeb"/>
        <w:shd w:val="clear" w:color="auto" w:fill="FFFFFF"/>
        <w:spacing w:before="0" w:beforeAutospacing="0" w:after="75" w:afterAutospacing="0"/>
        <w:jc w:val="both"/>
        <w:textAlignment w:val="baseline"/>
        <w:rPr>
          <w:b/>
          <w:bCs/>
          <w:color w:val="171617"/>
          <w:sz w:val="28"/>
          <w:szCs w:val="28"/>
          <w:u w:val="single"/>
        </w:rPr>
      </w:pPr>
      <w:r w:rsidRPr="00BF1566">
        <w:rPr>
          <w:b/>
          <w:bCs/>
          <w:color w:val="171617"/>
          <w:sz w:val="28"/>
          <w:szCs w:val="28"/>
          <w:u w:val="single"/>
        </w:rPr>
        <w:t>Relation of Section 14 IBC with Section 138 NI</w:t>
      </w:r>
      <w:r>
        <w:rPr>
          <w:b/>
          <w:bCs/>
          <w:color w:val="171617"/>
          <w:sz w:val="28"/>
          <w:szCs w:val="28"/>
          <w:u w:val="single"/>
        </w:rPr>
        <w:t>:</w:t>
      </w:r>
    </w:p>
    <w:p w14:paraId="045B4A07" w14:textId="77777777" w:rsidR="00BF1566" w:rsidRPr="00BF1566" w:rsidRDefault="00BF1566" w:rsidP="00F445EF">
      <w:pPr>
        <w:pStyle w:val="NormalWeb"/>
        <w:shd w:val="clear" w:color="auto" w:fill="FFFFFF"/>
        <w:spacing w:before="0" w:beforeAutospacing="0" w:after="75" w:afterAutospacing="0"/>
        <w:jc w:val="both"/>
        <w:textAlignment w:val="baseline"/>
        <w:rPr>
          <w:b/>
          <w:bCs/>
          <w:color w:val="171617"/>
          <w:sz w:val="28"/>
          <w:szCs w:val="28"/>
          <w:u w:val="single"/>
        </w:rPr>
      </w:pPr>
    </w:p>
    <w:p w14:paraId="6CBF7FE3" w14:textId="1D8C8D79" w:rsidR="00F445EF" w:rsidRDefault="00F445EF" w:rsidP="00F445EF">
      <w:pPr>
        <w:pStyle w:val="NormalWeb"/>
        <w:shd w:val="clear" w:color="auto" w:fill="FFFFFF"/>
        <w:spacing w:before="0" w:beforeAutospacing="0" w:after="75" w:afterAutospacing="0"/>
        <w:jc w:val="both"/>
        <w:textAlignment w:val="baseline"/>
        <w:rPr>
          <w:color w:val="171617"/>
        </w:rPr>
      </w:pPr>
      <w:r>
        <w:rPr>
          <w:color w:val="171617"/>
        </w:rPr>
        <w:t>This issue over role of Section 14 of IBC in relation to Section 138 under NI act has been discussed various times</w:t>
      </w:r>
      <w:r w:rsidR="00BF1566">
        <w:rPr>
          <w:color w:val="171617"/>
        </w:rPr>
        <w:t xml:space="preserve"> recently</w:t>
      </w:r>
      <w:r>
        <w:rPr>
          <w:color w:val="171617"/>
        </w:rPr>
        <w:t>:</w:t>
      </w:r>
    </w:p>
    <w:p w14:paraId="099A2952" w14:textId="77777777" w:rsidR="00F445EF" w:rsidRPr="004C4F77" w:rsidRDefault="00F445EF" w:rsidP="00F445EF">
      <w:pPr>
        <w:pStyle w:val="NormalWeb"/>
        <w:shd w:val="clear" w:color="auto" w:fill="FFFFFF"/>
        <w:spacing w:before="0" w:beforeAutospacing="0" w:after="75" w:afterAutospacing="0"/>
        <w:jc w:val="both"/>
        <w:textAlignment w:val="baseline"/>
        <w:rPr>
          <w:color w:val="171617"/>
        </w:rPr>
      </w:pPr>
    </w:p>
    <w:p w14:paraId="7A2FDA05" w14:textId="2CB8C27A" w:rsidR="00F445EF" w:rsidRDefault="00F445EF" w:rsidP="00F445EF">
      <w:pPr>
        <w:pStyle w:val="NormalWeb"/>
        <w:shd w:val="clear" w:color="auto" w:fill="FFFFFF"/>
        <w:spacing w:before="0" w:beforeAutospacing="0" w:after="75" w:afterAutospacing="0"/>
        <w:jc w:val="both"/>
        <w:textAlignment w:val="baseline"/>
        <w:rPr>
          <w:color w:val="171617"/>
        </w:rPr>
      </w:pPr>
      <w:r>
        <w:rPr>
          <w:color w:val="171617"/>
        </w:rPr>
        <w:t>I</w:t>
      </w:r>
      <w:r w:rsidRPr="004C4F77">
        <w:rPr>
          <w:color w:val="171617"/>
        </w:rPr>
        <w:t xml:space="preserve">n May 2018 Shah Brothers Ispat Pvt. Ltd. preferred an appeal in The Madras High Court where the court said that the criminal proceedings is not covered under the prohibition and as such the petitioner </w:t>
      </w:r>
      <w:r w:rsidRPr="00114EF7">
        <w:rPr>
          <w:b/>
          <w:bCs/>
          <w:color w:val="171617"/>
        </w:rPr>
        <w:t>cannot have a shelter under Section 14 of Insolvency and Bankruptcy Code</w:t>
      </w:r>
      <w:r w:rsidRPr="004C4F77">
        <w:rPr>
          <w:color w:val="171617"/>
        </w:rPr>
        <w:t>. The court dismissed their petition and clarified that the initiation of corporate insolvency resolution proceedings would not create a bar on the continuation of criminal proceedings initiated for cheque bouncing under Section 138 of the Negotiable Instruments (NI) Act as Section 138 of the NI Act is a penal provision. The court claimed that while there may be moratorium u</w:t>
      </w:r>
      <w:r w:rsidR="00114EF7">
        <w:rPr>
          <w:color w:val="171617"/>
        </w:rPr>
        <w:t xml:space="preserve">nder section </w:t>
      </w:r>
      <w:r w:rsidRPr="004C4F77">
        <w:rPr>
          <w:color w:val="171617"/>
        </w:rPr>
        <w:t>14 of IBC, existing and new criminal proceedings can survive.</w:t>
      </w:r>
    </w:p>
    <w:p w14:paraId="18CBEA9B" w14:textId="77777777" w:rsidR="00F445EF" w:rsidRPr="004C4F77" w:rsidRDefault="00F445EF" w:rsidP="00F445EF">
      <w:pPr>
        <w:pStyle w:val="NormalWeb"/>
        <w:shd w:val="clear" w:color="auto" w:fill="FFFFFF"/>
        <w:spacing w:before="0" w:beforeAutospacing="0" w:after="75" w:afterAutospacing="0"/>
        <w:jc w:val="both"/>
        <w:textAlignment w:val="baseline"/>
        <w:rPr>
          <w:color w:val="171617"/>
        </w:rPr>
      </w:pPr>
    </w:p>
    <w:p w14:paraId="1C3D1A82" w14:textId="1F06A103" w:rsidR="00883BF7" w:rsidRPr="00883BF7" w:rsidRDefault="00F445EF" w:rsidP="00F445EF">
      <w:pPr>
        <w:pStyle w:val="NormalWeb"/>
        <w:shd w:val="clear" w:color="auto" w:fill="FFFFFF"/>
        <w:spacing w:before="0" w:beforeAutospacing="0" w:after="0" w:afterAutospacing="0"/>
        <w:jc w:val="both"/>
        <w:textAlignment w:val="baseline"/>
        <w:rPr>
          <w:color w:val="000000"/>
          <w:shd w:val="clear" w:color="auto" w:fill="FFFFFF"/>
        </w:rPr>
      </w:pPr>
      <w:r w:rsidRPr="004C4F77">
        <w:rPr>
          <w:color w:val="171617"/>
        </w:rPr>
        <w:t xml:space="preserve">In the case </w:t>
      </w:r>
      <w:r w:rsidRPr="00114EF7">
        <w:rPr>
          <w:b/>
          <w:bCs/>
          <w:color w:val="171617"/>
        </w:rPr>
        <w:t>Shah Brothers Ispat Ltd. v. P. Mohanraj</w:t>
      </w:r>
      <w:r w:rsidRPr="004C4F77">
        <w:rPr>
          <w:color w:val="171617"/>
        </w:rPr>
        <w:t xml:space="preserve"> in July 2018 the </w:t>
      </w:r>
      <w:r w:rsidRPr="004C4F77">
        <w:rPr>
          <w:color w:val="000000"/>
          <w:shd w:val="clear" w:color="auto" w:fill="FFFFFF"/>
        </w:rPr>
        <w:t>National Company Law Appellate Tribunal (</w:t>
      </w:r>
      <w:r w:rsidRPr="004C4F77">
        <w:rPr>
          <w:color w:val="171617"/>
        </w:rPr>
        <w:t xml:space="preserve">NCLAT) </w:t>
      </w:r>
      <w:r w:rsidR="00883BF7" w:rsidRPr="00883BF7">
        <w:rPr>
          <w:color w:val="171617"/>
        </w:rPr>
        <w:t xml:space="preserve">held that a moratorium </w:t>
      </w:r>
      <w:r w:rsidR="00883BF7" w:rsidRPr="00114EF7">
        <w:rPr>
          <w:b/>
          <w:bCs/>
          <w:color w:val="171617"/>
        </w:rPr>
        <w:t>would not be extended to proceedings filed under the NI Act</w:t>
      </w:r>
      <w:r w:rsidR="00883BF7" w:rsidRPr="00883BF7">
        <w:rPr>
          <w:color w:val="171617"/>
        </w:rPr>
        <w:t xml:space="preserve">. </w:t>
      </w:r>
      <w:r w:rsidRPr="004C4F77">
        <w:rPr>
          <w:color w:val="171617"/>
        </w:rPr>
        <w:t xml:space="preserve">The Appellate Tribunal observed that Section 138 is a </w:t>
      </w:r>
      <w:r w:rsidRPr="00114EF7">
        <w:rPr>
          <w:b/>
          <w:bCs/>
          <w:color w:val="171617"/>
        </w:rPr>
        <w:t>penal provision</w:t>
      </w:r>
      <w:r w:rsidRPr="004C4F77">
        <w:rPr>
          <w:color w:val="171617"/>
        </w:rPr>
        <w:t xml:space="preserve">; the imposition of a fine cannot be held to be a money claim or recovery </w:t>
      </w:r>
      <w:r w:rsidRPr="004C4F77">
        <w:rPr>
          <w:color w:val="171617"/>
        </w:rPr>
        <w:lastRenderedPageBreak/>
        <w:t xml:space="preserve">against the Corporate Debtor. </w:t>
      </w:r>
      <w:r>
        <w:rPr>
          <w:color w:val="171617"/>
        </w:rPr>
        <w:t xml:space="preserve">The Tribunal said that </w:t>
      </w:r>
      <w:r w:rsidRPr="004C4F77">
        <w:rPr>
          <w:color w:val="171617"/>
        </w:rPr>
        <w:t xml:space="preserve">the said section is not covered within the purview of Section 14 of IBC. In fact, </w:t>
      </w:r>
      <w:r w:rsidRPr="00114EF7">
        <w:rPr>
          <w:b/>
          <w:bCs/>
          <w:color w:val="171617"/>
        </w:rPr>
        <w:t>no criminal proceeding is covered under the section</w:t>
      </w:r>
      <w:r w:rsidRPr="00114EF7">
        <w:rPr>
          <w:b/>
          <w:bCs/>
          <w:color w:val="171617"/>
        </w:rPr>
        <w:t>.</w:t>
      </w:r>
      <w:r>
        <w:rPr>
          <w:color w:val="171617"/>
        </w:rPr>
        <w:t xml:space="preserve"> </w:t>
      </w:r>
      <w:r w:rsidR="00883BF7">
        <w:rPr>
          <w:color w:val="171617"/>
        </w:rPr>
        <w:t>This decision was</w:t>
      </w:r>
      <w:r w:rsidR="00883BF7" w:rsidRPr="004C4F77">
        <w:rPr>
          <w:color w:val="000000"/>
          <w:shd w:val="clear" w:color="auto" w:fill="FFFFFF"/>
        </w:rPr>
        <w:t xml:space="preserve"> appealed and pending before </w:t>
      </w:r>
      <w:r w:rsidR="00883BF7">
        <w:rPr>
          <w:color w:val="000000"/>
          <w:shd w:val="clear" w:color="auto" w:fill="FFFFFF"/>
        </w:rPr>
        <w:t>the Supreme Court</w:t>
      </w:r>
      <w:r w:rsidR="00883BF7" w:rsidRPr="004C4F77">
        <w:rPr>
          <w:color w:val="000000"/>
          <w:shd w:val="clear" w:color="auto" w:fill="FFFFFF"/>
        </w:rPr>
        <w:t>.</w:t>
      </w:r>
    </w:p>
    <w:p w14:paraId="6523509F" w14:textId="77777777" w:rsidR="00F445EF" w:rsidRPr="004C4F77" w:rsidRDefault="00F445EF" w:rsidP="00F445EF">
      <w:pPr>
        <w:pStyle w:val="NormalWeb"/>
        <w:shd w:val="clear" w:color="auto" w:fill="FFFFFF"/>
        <w:spacing w:before="300" w:beforeAutospacing="0" w:after="0" w:afterAutospacing="0"/>
        <w:rPr>
          <w:color w:val="000000"/>
        </w:rPr>
      </w:pPr>
      <w:r w:rsidRPr="004C4F77">
        <w:rPr>
          <w:color w:val="000000"/>
        </w:rPr>
        <w:t xml:space="preserve">NCLAT despite acknowledging that </w:t>
      </w:r>
      <w:r>
        <w:rPr>
          <w:color w:val="000000"/>
        </w:rPr>
        <w:t>fine is the</w:t>
      </w:r>
      <w:r w:rsidRPr="004C4F77">
        <w:rPr>
          <w:color w:val="000000"/>
        </w:rPr>
        <w:t xml:space="preserve"> only punishment that can be imposed against a corporate debtor/ company for the offence under Section 138 NI</w:t>
      </w:r>
      <w:r>
        <w:rPr>
          <w:color w:val="000000"/>
        </w:rPr>
        <w:t xml:space="preserve"> Act</w:t>
      </w:r>
      <w:r w:rsidRPr="004C4F77">
        <w:rPr>
          <w:color w:val="000000"/>
        </w:rPr>
        <w:t xml:space="preserve">, completely ignored the scope and purpose of Section 14 IBC and the judgment of the Supreme Court of India in </w:t>
      </w:r>
      <w:r w:rsidRPr="00114EF7">
        <w:rPr>
          <w:b/>
          <w:bCs/>
          <w:color w:val="000000"/>
        </w:rPr>
        <w:t>M/s Meters and Instruments Private Limited vs Kanchan Mehta, (2018</w:t>
      </w:r>
      <w:r w:rsidRPr="004C4F77">
        <w:rPr>
          <w:color w:val="000000"/>
        </w:rPr>
        <w:t xml:space="preserve">) where the Supreme Court, considering a catena of case laws on Section 138 NI Act, had, inter alia, held that the offence under the said section is primarily a </w:t>
      </w:r>
      <w:r w:rsidRPr="00114EF7">
        <w:rPr>
          <w:b/>
          <w:bCs/>
          <w:color w:val="000000"/>
        </w:rPr>
        <w:t>civil wrong</w:t>
      </w:r>
      <w:r w:rsidRPr="004C4F77">
        <w:rPr>
          <w:color w:val="000000"/>
        </w:rPr>
        <w:t>, burden of proving which vests on the accused in terms of Section 139 of the NI Act.</w:t>
      </w:r>
    </w:p>
    <w:p w14:paraId="73E8D448" w14:textId="01AA622E" w:rsidR="00114EF7" w:rsidRDefault="00114EF7" w:rsidP="00F445EF">
      <w:pPr>
        <w:rPr>
          <w:rFonts w:ascii="Times New Roman" w:hAnsi="Times New Roman" w:cs="Times New Roman"/>
          <w:color w:val="000000"/>
          <w:sz w:val="24"/>
          <w:szCs w:val="24"/>
          <w:shd w:val="clear" w:color="auto" w:fill="FFFFFF"/>
        </w:rPr>
      </w:pPr>
    </w:p>
    <w:p w14:paraId="00853BEE" w14:textId="4A394512" w:rsidR="00BF1566" w:rsidRPr="00BF1566" w:rsidRDefault="00BF1566" w:rsidP="00F445EF">
      <w:pPr>
        <w:rPr>
          <w:rFonts w:ascii="Times New Roman" w:hAnsi="Times New Roman" w:cs="Times New Roman"/>
          <w:b/>
          <w:bCs/>
          <w:color w:val="000000"/>
          <w:sz w:val="28"/>
          <w:szCs w:val="28"/>
          <w:u w:val="single"/>
          <w:shd w:val="clear" w:color="auto" w:fill="FFFFFF"/>
        </w:rPr>
      </w:pPr>
      <w:r w:rsidRPr="00BF1566">
        <w:rPr>
          <w:rFonts w:ascii="Times New Roman" w:hAnsi="Times New Roman" w:cs="Times New Roman"/>
          <w:b/>
          <w:bCs/>
          <w:color w:val="000000"/>
          <w:sz w:val="28"/>
          <w:szCs w:val="28"/>
          <w:u w:val="single"/>
          <w:shd w:val="clear" w:color="auto" w:fill="FFFFFF"/>
        </w:rPr>
        <w:t>Conclusion:</w:t>
      </w:r>
    </w:p>
    <w:p w14:paraId="7460ADA4" w14:textId="222155E4" w:rsidR="00A10649" w:rsidRPr="00F445EF" w:rsidRDefault="00F445EF" w:rsidP="00F445EF">
      <w:r w:rsidRPr="004C4F77">
        <w:rPr>
          <w:rFonts w:ascii="Times New Roman" w:hAnsi="Times New Roman" w:cs="Times New Roman"/>
          <w:color w:val="000000"/>
          <w:sz w:val="24"/>
          <w:szCs w:val="24"/>
          <w:shd w:val="clear" w:color="auto" w:fill="FFFFFF"/>
        </w:rPr>
        <w:t>In a nutshell, exclusion of proceedings under Section 138 of the Negotiable Instrument Act, from the purview of the moratorium has been allowed by the Hon’ble Appellate Tribunal. However, we need to keep an eye on what the Hon’ble Supreme Court decides as the decision of NCLAT is appealed and pending before it.</w:t>
      </w:r>
    </w:p>
    <w:sectPr w:rsidR="00A10649" w:rsidRPr="00F445E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5E319" w14:textId="77777777" w:rsidR="00295A35" w:rsidRDefault="00295A35" w:rsidP="001A789F">
      <w:pPr>
        <w:spacing w:after="0" w:line="240" w:lineRule="auto"/>
      </w:pPr>
      <w:r>
        <w:separator/>
      </w:r>
    </w:p>
  </w:endnote>
  <w:endnote w:type="continuationSeparator" w:id="0">
    <w:p w14:paraId="2EBF1DB2" w14:textId="77777777" w:rsidR="00295A35" w:rsidRDefault="00295A35" w:rsidP="001A7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2A088" w14:textId="77777777" w:rsidR="00295A35" w:rsidRDefault="00295A35" w:rsidP="001A789F">
      <w:pPr>
        <w:spacing w:after="0" w:line="240" w:lineRule="auto"/>
      </w:pPr>
      <w:r>
        <w:separator/>
      </w:r>
    </w:p>
  </w:footnote>
  <w:footnote w:type="continuationSeparator" w:id="0">
    <w:p w14:paraId="5DF15B13" w14:textId="77777777" w:rsidR="00295A35" w:rsidRDefault="00295A35" w:rsidP="001A78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B2899"/>
    <w:multiLevelType w:val="multilevel"/>
    <w:tmpl w:val="691C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1C2EC7"/>
    <w:multiLevelType w:val="hybridMultilevel"/>
    <w:tmpl w:val="0FD2583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11C0B36"/>
    <w:multiLevelType w:val="multilevel"/>
    <w:tmpl w:val="73E0C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E1638"/>
    <w:multiLevelType w:val="hybridMultilevel"/>
    <w:tmpl w:val="D7ACA420"/>
    <w:lvl w:ilvl="0" w:tplc="60F4CAE8">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1A4459B8"/>
    <w:multiLevelType w:val="multilevel"/>
    <w:tmpl w:val="6C849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DD6FD2"/>
    <w:multiLevelType w:val="multilevel"/>
    <w:tmpl w:val="4B66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51A6C"/>
    <w:multiLevelType w:val="hybridMultilevel"/>
    <w:tmpl w:val="0BAE722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D1C3701"/>
    <w:multiLevelType w:val="multilevel"/>
    <w:tmpl w:val="BE509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2A6B17"/>
    <w:multiLevelType w:val="multilevel"/>
    <w:tmpl w:val="3DA6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B14DD4"/>
    <w:multiLevelType w:val="hybridMultilevel"/>
    <w:tmpl w:val="01C2AD74"/>
    <w:lvl w:ilvl="0" w:tplc="AE848BE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45CA2945"/>
    <w:multiLevelType w:val="hybridMultilevel"/>
    <w:tmpl w:val="5596ECE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C215BF0"/>
    <w:multiLevelType w:val="hybridMultilevel"/>
    <w:tmpl w:val="9D266AA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26F20C7"/>
    <w:multiLevelType w:val="hybridMultilevel"/>
    <w:tmpl w:val="2E3887A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98C1478"/>
    <w:multiLevelType w:val="hybridMultilevel"/>
    <w:tmpl w:val="9E3E2444"/>
    <w:lvl w:ilvl="0" w:tplc="2FA411B4">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FF92C1E"/>
    <w:multiLevelType w:val="multilevel"/>
    <w:tmpl w:val="4EAE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CE55D5"/>
    <w:multiLevelType w:val="multilevel"/>
    <w:tmpl w:val="2DE8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0B4D9E"/>
    <w:multiLevelType w:val="multilevel"/>
    <w:tmpl w:val="619AB522"/>
    <w:lvl w:ilvl="0">
      <w:start w:val="1"/>
      <w:numFmt w:val="lowerLetter"/>
      <w:lvlText w:val="%1)"/>
      <w:lvlJc w:val="left"/>
      <w:pPr>
        <w:tabs>
          <w:tab w:val="num" w:pos="1080"/>
        </w:tabs>
        <w:ind w:left="1080" w:hanging="360"/>
      </w:pPr>
      <w:rPr>
        <w:rFonts w:asciiTheme="minorHAnsi" w:eastAsiaTheme="minorHAnsi" w:hAnsiTheme="minorHAnsi" w:cstheme="minorBidi"/>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783673EA"/>
    <w:multiLevelType w:val="multilevel"/>
    <w:tmpl w:val="3EEC3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2B7751"/>
    <w:multiLevelType w:val="hybridMultilevel"/>
    <w:tmpl w:val="6AF600F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7"/>
  </w:num>
  <w:num w:numId="2">
    <w:abstractNumId w:val="17"/>
  </w:num>
  <w:num w:numId="3">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6"/>
  </w:num>
  <w:num w:numId="5">
    <w:abstractNumId w:val="9"/>
  </w:num>
  <w:num w:numId="6">
    <w:abstractNumId w:val="3"/>
  </w:num>
  <w:num w:numId="7">
    <w:abstractNumId w:val="10"/>
  </w:num>
  <w:num w:numId="8">
    <w:abstractNumId w:val="13"/>
  </w:num>
  <w:num w:numId="9">
    <w:abstractNumId w:val="5"/>
  </w:num>
  <w:num w:numId="10">
    <w:abstractNumId w:val="15"/>
  </w:num>
  <w:num w:numId="11">
    <w:abstractNumId w:val="16"/>
  </w:num>
  <w:num w:numId="12">
    <w:abstractNumId w:val="2"/>
  </w:num>
  <w:num w:numId="13">
    <w:abstractNumId w:val="8"/>
  </w:num>
  <w:num w:numId="14">
    <w:abstractNumId w:val="4"/>
  </w:num>
  <w:num w:numId="15">
    <w:abstractNumId w:val="12"/>
  </w:num>
  <w:num w:numId="16">
    <w:abstractNumId w:val="1"/>
  </w:num>
  <w:num w:numId="17">
    <w:abstractNumId w:val="11"/>
  </w:num>
  <w:num w:numId="18">
    <w:abstractNumId w:val="0"/>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A0E"/>
    <w:rsid w:val="00003550"/>
    <w:rsid w:val="00010A9C"/>
    <w:rsid w:val="00024B76"/>
    <w:rsid w:val="000268E1"/>
    <w:rsid w:val="0003573C"/>
    <w:rsid w:val="00052852"/>
    <w:rsid w:val="00063BE0"/>
    <w:rsid w:val="001017C4"/>
    <w:rsid w:val="00114EF7"/>
    <w:rsid w:val="00144432"/>
    <w:rsid w:val="0015290B"/>
    <w:rsid w:val="00163CB9"/>
    <w:rsid w:val="0016467B"/>
    <w:rsid w:val="001A77FD"/>
    <w:rsid w:val="001A789F"/>
    <w:rsid w:val="001E0171"/>
    <w:rsid w:val="00203830"/>
    <w:rsid w:val="00241E76"/>
    <w:rsid w:val="0029417D"/>
    <w:rsid w:val="00295A35"/>
    <w:rsid w:val="002A2920"/>
    <w:rsid w:val="002E0AFA"/>
    <w:rsid w:val="00322B24"/>
    <w:rsid w:val="003B4FB8"/>
    <w:rsid w:val="003B7EE0"/>
    <w:rsid w:val="003C7C5A"/>
    <w:rsid w:val="003D0EB9"/>
    <w:rsid w:val="003E1E50"/>
    <w:rsid w:val="003E6500"/>
    <w:rsid w:val="003E7C67"/>
    <w:rsid w:val="004309AD"/>
    <w:rsid w:val="004342D8"/>
    <w:rsid w:val="00467ADD"/>
    <w:rsid w:val="00467FF5"/>
    <w:rsid w:val="00475E3A"/>
    <w:rsid w:val="004C07E3"/>
    <w:rsid w:val="004C0C6F"/>
    <w:rsid w:val="004C4F77"/>
    <w:rsid w:val="004E2F15"/>
    <w:rsid w:val="004F7690"/>
    <w:rsid w:val="005064AE"/>
    <w:rsid w:val="00516139"/>
    <w:rsid w:val="0056090E"/>
    <w:rsid w:val="00585813"/>
    <w:rsid w:val="00591E13"/>
    <w:rsid w:val="005E485F"/>
    <w:rsid w:val="006B0B40"/>
    <w:rsid w:val="006C45FA"/>
    <w:rsid w:val="006C6247"/>
    <w:rsid w:val="006E11FE"/>
    <w:rsid w:val="006F2615"/>
    <w:rsid w:val="0074767C"/>
    <w:rsid w:val="00747C8F"/>
    <w:rsid w:val="00790768"/>
    <w:rsid w:val="007C0CBF"/>
    <w:rsid w:val="007F021B"/>
    <w:rsid w:val="0081238E"/>
    <w:rsid w:val="00832E03"/>
    <w:rsid w:val="0086268B"/>
    <w:rsid w:val="00882A59"/>
    <w:rsid w:val="00883BF7"/>
    <w:rsid w:val="00895008"/>
    <w:rsid w:val="008D41E4"/>
    <w:rsid w:val="0094561D"/>
    <w:rsid w:val="00960241"/>
    <w:rsid w:val="00972C90"/>
    <w:rsid w:val="009C7CD1"/>
    <w:rsid w:val="009E5F65"/>
    <w:rsid w:val="00A10649"/>
    <w:rsid w:val="00A16105"/>
    <w:rsid w:val="00A3104B"/>
    <w:rsid w:val="00A4465D"/>
    <w:rsid w:val="00AA2984"/>
    <w:rsid w:val="00AF0F69"/>
    <w:rsid w:val="00AF2F9E"/>
    <w:rsid w:val="00BB546D"/>
    <w:rsid w:val="00BF1566"/>
    <w:rsid w:val="00C13B76"/>
    <w:rsid w:val="00C25C19"/>
    <w:rsid w:val="00C73520"/>
    <w:rsid w:val="00CA0D1F"/>
    <w:rsid w:val="00CA1A99"/>
    <w:rsid w:val="00CC02C9"/>
    <w:rsid w:val="00CD41C1"/>
    <w:rsid w:val="00D0111D"/>
    <w:rsid w:val="00D015F8"/>
    <w:rsid w:val="00D54D0E"/>
    <w:rsid w:val="00D84F4F"/>
    <w:rsid w:val="00DA4398"/>
    <w:rsid w:val="00DD3CDA"/>
    <w:rsid w:val="00E043F2"/>
    <w:rsid w:val="00E13A29"/>
    <w:rsid w:val="00E22F5E"/>
    <w:rsid w:val="00E26EE5"/>
    <w:rsid w:val="00E3185A"/>
    <w:rsid w:val="00E4358D"/>
    <w:rsid w:val="00E60A3D"/>
    <w:rsid w:val="00E77728"/>
    <w:rsid w:val="00EA167D"/>
    <w:rsid w:val="00EC2A0E"/>
    <w:rsid w:val="00ED1726"/>
    <w:rsid w:val="00EE7BCC"/>
    <w:rsid w:val="00EF31AC"/>
    <w:rsid w:val="00EF4D9F"/>
    <w:rsid w:val="00F125C0"/>
    <w:rsid w:val="00F24AB6"/>
    <w:rsid w:val="00F445EF"/>
    <w:rsid w:val="00F82F0D"/>
    <w:rsid w:val="00FE27E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80DB4"/>
  <w15:chartTrackingRefBased/>
  <w15:docId w15:val="{4DBDBDB2-FE68-4C12-B062-4D84A08A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F0D"/>
    <w:pPr>
      <w:keepNext/>
      <w:keepLines/>
      <w:spacing w:before="240" w:after="0"/>
      <w:outlineLvl w:val="0"/>
    </w:pPr>
    <w:rPr>
      <w:rFonts w:asciiTheme="majorHAnsi" w:eastAsiaTheme="majorEastAsia" w:hAnsiTheme="majorHAnsi" w:cstheme="majorBidi"/>
      <w:color w:val="2F5496" w:themeColor="accent1" w:themeShade="BF"/>
      <w:sz w:val="32"/>
      <w:szCs w:val="29"/>
    </w:rPr>
  </w:style>
  <w:style w:type="paragraph" w:styleId="Heading2">
    <w:name w:val="heading 2"/>
    <w:basedOn w:val="Normal"/>
    <w:link w:val="Heading2Char"/>
    <w:uiPriority w:val="9"/>
    <w:qFormat/>
    <w:rsid w:val="00EC2A0E"/>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semiHidden/>
    <w:unhideWhenUsed/>
    <w:qFormat/>
    <w:rsid w:val="00467FF5"/>
    <w:pPr>
      <w:keepNext/>
      <w:keepLines/>
      <w:spacing w:before="40" w:after="0"/>
      <w:outlineLvl w:val="2"/>
    </w:pPr>
    <w:rPr>
      <w:rFonts w:asciiTheme="majorHAnsi" w:eastAsiaTheme="majorEastAsia" w:hAnsiTheme="majorHAnsi" w:cstheme="majorBidi"/>
      <w:color w:val="1F3763" w:themeColor="accent1" w:themeShade="7F"/>
      <w:sz w:val="24"/>
      <w:szCs w:val="21"/>
    </w:rPr>
  </w:style>
  <w:style w:type="paragraph" w:styleId="Heading4">
    <w:name w:val="heading 4"/>
    <w:basedOn w:val="Normal"/>
    <w:next w:val="Normal"/>
    <w:link w:val="Heading4Char"/>
    <w:uiPriority w:val="9"/>
    <w:semiHidden/>
    <w:unhideWhenUsed/>
    <w:qFormat/>
    <w:rsid w:val="006B0B4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C2A0E"/>
    <w:rPr>
      <w:rFonts w:ascii="Times New Roman" w:eastAsia="Times New Roman" w:hAnsi="Times New Roman" w:cs="Times New Roman"/>
      <w:b/>
      <w:bCs/>
      <w:sz w:val="36"/>
      <w:szCs w:val="36"/>
      <w:lang w:eastAsia="en-IN"/>
    </w:rPr>
  </w:style>
  <w:style w:type="paragraph" w:styleId="NormalWeb">
    <w:name w:val="Normal (Web)"/>
    <w:basedOn w:val="Normal"/>
    <w:uiPriority w:val="99"/>
    <w:unhideWhenUsed/>
    <w:rsid w:val="00EC2A0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EC2A0E"/>
    <w:rPr>
      <w:color w:val="0000FF"/>
      <w:u w:val="single"/>
    </w:rPr>
  </w:style>
  <w:style w:type="character" w:styleId="Strong">
    <w:name w:val="Strong"/>
    <w:basedOn w:val="DefaultParagraphFont"/>
    <w:uiPriority w:val="22"/>
    <w:qFormat/>
    <w:rsid w:val="00EC2A0E"/>
    <w:rPr>
      <w:b/>
      <w:bCs/>
    </w:rPr>
  </w:style>
  <w:style w:type="character" w:customStyle="1" w:styleId="Heading4Char">
    <w:name w:val="Heading 4 Char"/>
    <w:basedOn w:val="DefaultParagraphFont"/>
    <w:link w:val="Heading4"/>
    <w:uiPriority w:val="9"/>
    <w:semiHidden/>
    <w:rsid w:val="006B0B40"/>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F82F0D"/>
    <w:rPr>
      <w:rFonts w:asciiTheme="majorHAnsi" w:eastAsiaTheme="majorEastAsia" w:hAnsiTheme="majorHAnsi" w:cstheme="majorBidi"/>
      <w:color w:val="2F5496" w:themeColor="accent1" w:themeShade="BF"/>
      <w:sz w:val="32"/>
      <w:szCs w:val="29"/>
    </w:rPr>
  </w:style>
  <w:style w:type="paragraph" w:styleId="Header">
    <w:name w:val="header"/>
    <w:basedOn w:val="Normal"/>
    <w:link w:val="HeaderChar"/>
    <w:uiPriority w:val="99"/>
    <w:unhideWhenUsed/>
    <w:rsid w:val="001A78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89F"/>
  </w:style>
  <w:style w:type="paragraph" w:styleId="Footer">
    <w:name w:val="footer"/>
    <w:basedOn w:val="Normal"/>
    <w:link w:val="FooterChar"/>
    <w:uiPriority w:val="99"/>
    <w:unhideWhenUsed/>
    <w:rsid w:val="001A78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89F"/>
  </w:style>
  <w:style w:type="paragraph" w:styleId="ListParagraph">
    <w:name w:val="List Paragraph"/>
    <w:basedOn w:val="Normal"/>
    <w:uiPriority w:val="34"/>
    <w:qFormat/>
    <w:rsid w:val="00D0111D"/>
    <w:pPr>
      <w:ind w:left="720"/>
      <w:contextualSpacing/>
    </w:pPr>
  </w:style>
  <w:style w:type="character" w:styleId="FollowedHyperlink">
    <w:name w:val="FollowedHyperlink"/>
    <w:basedOn w:val="DefaultParagraphFont"/>
    <w:uiPriority w:val="99"/>
    <w:semiHidden/>
    <w:unhideWhenUsed/>
    <w:rsid w:val="00895008"/>
    <w:rPr>
      <w:color w:val="954F72" w:themeColor="followedHyperlink"/>
      <w:u w:val="single"/>
    </w:rPr>
  </w:style>
  <w:style w:type="character" w:customStyle="1" w:styleId="Heading3Char">
    <w:name w:val="Heading 3 Char"/>
    <w:basedOn w:val="DefaultParagraphFont"/>
    <w:link w:val="Heading3"/>
    <w:uiPriority w:val="9"/>
    <w:semiHidden/>
    <w:rsid w:val="00467FF5"/>
    <w:rPr>
      <w:rFonts w:asciiTheme="majorHAnsi" w:eastAsiaTheme="majorEastAsia" w:hAnsiTheme="majorHAnsi" w:cstheme="majorBidi"/>
      <w:color w:val="1F3763" w:themeColor="accent1" w:themeShade="7F"/>
      <w:sz w:val="24"/>
      <w:szCs w:val="21"/>
    </w:rPr>
  </w:style>
  <w:style w:type="character" w:styleId="UnresolvedMention">
    <w:name w:val="Unresolved Mention"/>
    <w:basedOn w:val="DefaultParagraphFont"/>
    <w:uiPriority w:val="99"/>
    <w:semiHidden/>
    <w:unhideWhenUsed/>
    <w:rsid w:val="004342D8"/>
    <w:rPr>
      <w:color w:val="605E5C"/>
      <w:shd w:val="clear" w:color="auto" w:fill="E1DFDD"/>
    </w:rPr>
  </w:style>
  <w:style w:type="character" w:styleId="Emphasis">
    <w:name w:val="Emphasis"/>
    <w:basedOn w:val="DefaultParagraphFont"/>
    <w:uiPriority w:val="20"/>
    <w:qFormat/>
    <w:rsid w:val="00063BE0"/>
    <w:rPr>
      <w:i/>
      <w:iCs/>
    </w:rPr>
  </w:style>
  <w:style w:type="character" w:customStyle="1" w:styleId="colorblack">
    <w:name w:val="color_black"/>
    <w:basedOn w:val="DefaultParagraphFont"/>
    <w:rsid w:val="00101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049970">
      <w:bodyDiv w:val="1"/>
      <w:marLeft w:val="0"/>
      <w:marRight w:val="0"/>
      <w:marTop w:val="0"/>
      <w:marBottom w:val="0"/>
      <w:divBdr>
        <w:top w:val="none" w:sz="0" w:space="0" w:color="auto"/>
        <w:left w:val="none" w:sz="0" w:space="0" w:color="auto"/>
        <w:bottom w:val="none" w:sz="0" w:space="0" w:color="auto"/>
        <w:right w:val="none" w:sz="0" w:space="0" w:color="auto"/>
      </w:divBdr>
    </w:div>
    <w:div w:id="304743893">
      <w:bodyDiv w:val="1"/>
      <w:marLeft w:val="0"/>
      <w:marRight w:val="0"/>
      <w:marTop w:val="0"/>
      <w:marBottom w:val="0"/>
      <w:divBdr>
        <w:top w:val="none" w:sz="0" w:space="0" w:color="auto"/>
        <w:left w:val="none" w:sz="0" w:space="0" w:color="auto"/>
        <w:bottom w:val="none" w:sz="0" w:space="0" w:color="auto"/>
        <w:right w:val="none" w:sz="0" w:space="0" w:color="auto"/>
      </w:divBdr>
    </w:div>
    <w:div w:id="405342845">
      <w:bodyDiv w:val="1"/>
      <w:marLeft w:val="0"/>
      <w:marRight w:val="0"/>
      <w:marTop w:val="0"/>
      <w:marBottom w:val="0"/>
      <w:divBdr>
        <w:top w:val="none" w:sz="0" w:space="0" w:color="auto"/>
        <w:left w:val="none" w:sz="0" w:space="0" w:color="auto"/>
        <w:bottom w:val="none" w:sz="0" w:space="0" w:color="auto"/>
        <w:right w:val="none" w:sz="0" w:space="0" w:color="auto"/>
      </w:divBdr>
      <w:divsChild>
        <w:div w:id="1245459178">
          <w:marLeft w:val="0"/>
          <w:marRight w:val="0"/>
          <w:marTop w:val="450"/>
          <w:marBottom w:val="0"/>
          <w:divBdr>
            <w:top w:val="none" w:sz="0" w:space="0" w:color="auto"/>
            <w:left w:val="none" w:sz="0" w:space="0" w:color="auto"/>
            <w:bottom w:val="none" w:sz="0" w:space="0" w:color="auto"/>
            <w:right w:val="none" w:sz="0" w:space="0" w:color="auto"/>
          </w:divBdr>
        </w:div>
        <w:div w:id="1553223926">
          <w:marLeft w:val="0"/>
          <w:marRight w:val="0"/>
          <w:marTop w:val="450"/>
          <w:marBottom w:val="0"/>
          <w:divBdr>
            <w:top w:val="none" w:sz="0" w:space="0" w:color="auto"/>
            <w:left w:val="none" w:sz="0" w:space="0" w:color="auto"/>
            <w:bottom w:val="none" w:sz="0" w:space="0" w:color="auto"/>
            <w:right w:val="none" w:sz="0" w:space="0" w:color="auto"/>
          </w:divBdr>
        </w:div>
      </w:divsChild>
    </w:div>
    <w:div w:id="407773026">
      <w:bodyDiv w:val="1"/>
      <w:marLeft w:val="0"/>
      <w:marRight w:val="0"/>
      <w:marTop w:val="0"/>
      <w:marBottom w:val="0"/>
      <w:divBdr>
        <w:top w:val="none" w:sz="0" w:space="0" w:color="auto"/>
        <w:left w:val="none" w:sz="0" w:space="0" w:color="auto"/>
        <w:bottom w:val="none" w:sz="0" w:space="0" w:color="auto"/>
        <w:right w:val="none" w:sz="0" w:space="0" w:color="auto"/>
      </w:divBdr>
    </w:div>
    <w:div w:id="420377614">
      <w:bodyDiv w:val="1"/>
      <w:marLeft w:val="0"/>
      <w:marRight w:val="0"/>
      <w:marTop w:val="0"/>
      <w:marBottom w:val="0"/>
      <w:divBdr>
        <w:top w:val="none" w:sz="0" w:space="0" w:color="auto"/>
        <w:left w:val="none" w:sz="0" w:space="0" w:color="auto"/>
        <w:bottom w:val="none" w:sz="0" w:space="0" w:color="auto"/>
        <w:right w:val="none" w:sz="0" w:space="0" w:color="auto"/>
      </w:divBdr>
    </w:div>
    <w:div w:id="453837801">
      <w:bodyDiv w:val="1"/>
      <w:marLeft w:val="0"/>
      <w:marRight w:val="0"/>
      <w:marTop w:val="0"/>
      <w:marBottom w:val="0"/>
      <w:divBdr>
        <w:top w:val="none" w:sz="0" w:space="0" w:color="auto"/>
        <w:left w:val="none" w:sz="0" w:space="0" w:color="auto"/>
        <w:bottom w:val="none" w:sz="0" w:space="0" w:color="auto"/>
        <w:right w:val="none" w:sz="0" w:space="0" w:color="auto"/>
      </w:divBdr>
    </w:div>
    <w:div w:id="459346016">
      <w:bodyDiv w:val="1"/>
      <w:marLeft w:val="0"/>
      <w:marRight w:val="0"/>
      <w:marTop w:val="0"/>
      <w:marBottom w:val="0"/>
      <w:divBdr>
        <w:top w:val="none" w:sz="0" w:space="0" w:color="auto"/>
        <w:left w:val="none" w:sz="0" w:space="0" w:color="auto"/>
        <w:bottom w:val="none" w:sz="0" w:space="0" w:color="auto"/>
        <w:right w:val="none" w:sz="0" w:space="0" w:color="auto"/>
      </w:divBdr>
    </w:div>
    <w:div w:id="478035070">
      <w:bodyDiv w:val="1"/>
      <w:marLeft w:val="0"/>
      <w:marRight w:val="0"/>
      <w:marTop w:val="0"/>
      <w:marBottom w:val="0"/>
      <w:divBdr>
        <w:top w:val="none" w:sz="0" w:space="0" w:color="auto"/>
        <w:left w:val="none" w:sz="0" w:space="0" w:color="auto"/>
        <w:bottom w:val="none" w:sz="0" w:space="0" w:color="auto"/>
        <w:right w:val="none" w:sz="0" w:space="0" w:color="auto"/>
      </w:divBdr>
    </w:div>
    <w:div w:id="607197092">
      <w:bodyDiv w:val="1"/>
      <w:marLeft w:val="0"/>
      <w:marRight w:val="0"/>
      <w:marTop w:val="0"/>
      <w:marBottom w:val="0"/>
      <w:divBdr>
        <w:top w:val="none" w:sz="0" w:space="0" w:color="auto"/>
        <w:left w:val="none" w:sz="0" w:space="0" w:color="auto"/>
        <w:bottom w:val="none" w:sz="0" w:space="0" w:color="auto"/>
        <w:right w:val="none" w:sz="0" w:space="0" w:color="auto"/>
      </w:divBdr>
    </w:div>
    <w:div w:id="650712638">
      <w:bodyDiv w:val="1"/>
      <w:marLeft w:val="0"/>
      <w:marRight w:val="0"/>
      <w:marTop w:val="0"/>
      <w:marBottom w:val="0"/>
      <w:divBdr>
        <w:top w:val="none" w:sz="0" w:space="0" w:color="auto"/>
        <w:left w:val="none" w:sz="0" w:space="0" w:color="auto"/>
        <w:bottom w:val="none" w:sz="0" w:space="0" w:color="auto"/>
        <w:right w:val="none" w:sz="0" w:space="0" w:color="auto"/>
      </w:divBdr>
      <w:divsChild>
        <w:div w:id="1639065640">
          <w:marLeft w:val="0"/>
          <w:marRight w:val="0"/>
          <w:marTop w:val="0"/>
          <w:marBottom w:val="150"/>
          <w:divBdr>
            <w:top w:val="none" w:sz="0" w:space="0" w:color="auto"/>
            <w:left w:val="none" w:sz="0" w:space="0" w:color="auto"/>
            <w:bottom w:val="none" w:sz="0" w:space="0" w:color="auto"/>
            <w:right w:val="none" w:sz="0" w:space="0" w:color="auto"/>
          </w:divBdr>
        </w:div>
        <w:div w:id="976110224">
          <w:marLeft w:val="0"/>
          <w:marRight w:val="0"/>
          <w:marTop w:val="300"/>
          <w:marBottom w:val="0"/>
          <w:divBdr>
            <w:top w:val="none" w:sz="0" w:space="0" w:color="auto"/>
            <w:left w:val="none" w:sz="0" w:space="0" w:color="auto"/>
            <w:bottom w:val="none" w:sz="0" w:space="0" w:color="auto"/>
            <w:right w:val="none" w:sz="0" w:space="0" w:color="auto"/>
          </w:divBdr>
          <w:divsChild>
            <w:div w:id="73704792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654452985">
      <w:bodyDiv w:val="1"/>
      <w:marLeft w:val="0"/>
      <w:marRight w:val="0"/>
      <w:marTop w:val="0"/>
      <w:marBottom w:val="0"/>
      <w:divBdr>
        <w:top w:val="none" w:sz="0" w:space="0" w:color="auto"/>
        <w:left w:val="none" w:sz="0" w:space="0" w:color="auto"/>
        <w:bottom w:val="none" w:sz="0" w:space="0" w:color="auto"/>
        <w:right w:val="none" w:sz="0" w:space="0" w:color="auto"/>
      </w:divBdr>
    </w:div>
    <w:div w:id="669868637">
      <w:bodyDiv w:val="1"/>
      <w:marLeft w:val="0"/>
      <w:marRight w:val="0"/>
      <w:marTop w:val="0"/>
      <w:marBottom w:val="0"/>
      <w:divBdr>
        <w:top w:val="none" w:sz="0" w:space="0" w:color="auto"/>
        <w:left w:val="none" w:sz="0" w:space="0" w:color="auto"/>
        <w:bottom w:val="none" w:sz="0" w:space="0" w:color="auto"/>
        <w:right w:val="none" w:sz="0" w:space="0" w:color="auto"/>
      </w:divBdr>
    </w:div>
    <w:div w:id="919103228">
      <w:bodyDiv w:val="1"/>
      <w:marLeft w:val="0"/>
      <w:marRight w:val="0"/>
      <w:marTop w:val="0"/>
      <w:marBottom w:val="0"/>
      <w:divBdr>
        <w:top w:val="none" w:sz="0" w:space="0" w:color="auto"/>
        <w:left w:val="none" w:sz="0" w:space="0" w:color="auto"/>
        <w:bottom w:val="none" w:sz="0" w:space="0" w:color="auto"/>
        <w:right w:val="none" w:sz="0" w:space="0" w:color="auto"/>
      </w:divBdr>
      <w:divsChild>
        <w:div w:id="462769431">
          <w:marLeft w:val="0"/>
          <w:marRight w:val="0"/>
          <w:marTop w:val="0"/>
          <w:marBottom w:val="150"/>
          <w:divBdr>
            <w:top w:val="none" w:sz="0" w:space="0" w:color="auto"/>
            <w:left w:val="none" w:sz="0" w:space="0" w:color="auto"/>
            <w:bottom w:val="none" w:sz="0" w:space="0" w:color="auto"/>
            <w:right w:val="none" w:sz="0" w:space="0" w:color="auto"/>
          </w:divBdr>
        </w:div>
        <w:div w:id="257445818">
          <w:marLeft w:val="0"/>
          <w:marRight w:val="0"/>
          <w:marTop w:val="300"/>
          <w:marBottom w:val="0"/>
          <w:divBdr>
            <w:top w:val="none" w:sz="0" w:space="0" w:color="auto"/>
            <w:left w:val="none" w:sz="0" w:space="0" w:color="auto"/>
            <w:bottom w:val="none" w:sz="0" w:space="0" w:color="auto"/>
            <w:right w:val="none" w:sz="0" w:space="0" w:color="auto"/>
          </w:divBdr>
        </w:div>
      </w:divsChild>
    </w:div>
    <w:div w:id="1017150519">
      <w:bodyDiv w:val="1"/>
      <w:marLeft w:val="0"/>
      <w:marRight w:val="0"/>
      <w:marTop w:val="0"/>
      <w:marBottom w:val="0"/>
      <w:divBdr>
        <w:top w:val="none" w:sz="0" w:space="0" w:color="auto"/>
        <w:left w:val="none" w:sz="0" w:space="0" w:color="auto"/>
        <w:bottom w:val="none" w:sz="0" w:space="0" w:color="auto"/>
        <w:right w:val="none" w:sz="0" w:space="0" w:color="auto"/>
      </w:divBdr>
    </w:div>
    <w:div w:id="1043288018">
      <w:bodyDiv w:val="1"/>
      <w:marLeft w:val="0"/>
      <w:marRight w:val="0"/>
      <w:marTop w:val="0"/>
      <w:marBottom w:val="0"/>
      <w:divBdr>
        <w:top w:val="none" w:sz="0" w:space="0" w:color="auto"/>
        <w:left w:val="none" w:sz="0" w:space="0" w:color="auto"/>
        <w:bottom w:val="none" w:sz="0" w:space="0" w:color="auto"/>
        <w:right w:val="none" w:sz="0" w:space="0" w:color="auto"/>
      </w:divBdr>
    </w:div>
    <w:div w:id="1316296335">
      <w:bodyDiv w:val="1"/>
      <w:marLeft w:val="0"/>
      <w:marRight w:val="0"/>
      <w:marTop w:val="0"/>
      <w:marBottom w:val="0"/>
      <w:divBdr>
        <w:top w:val="none" w:sz="0" w:space="0" w:color="auto"/>
        <w:left w:val="none" w:sz="0" w:space="0" w:color="auto"/>
        <w:bottom w:val="none" w:sz="0" w:space="0" w:color="auto"/>
        <w:right w:val="none" w:sz="0" w:space="0" w:color="auto"/>
      </w:divBdr>
    </w:div>
    <w:div w:id="1324041141">
      <w:bodyDiv w:val="1"/>
      <w:marLeft w:val="0"/>
      <w:marRight w:val="0"/>
      <w:marTop w:val="0"/>
      <w:marBottom w:val="0"/>
      <w:divBdr>
        <w:top w:val="none" w:sz="0" w:space="0" w:color="auto"/>
        <w:left w:val="none" w:sz="0" w:space="0" w:color="auto"/>
        <w:bottom w:val="none" w:sz="0" w:space="0" w:color="auto"/>
        <w:right w:val="none" w:sz="0" w:space="0" w:color="auto"/>
      </w:divBdr>
      <w:divsChild>
        <w:div w:id="429617984">
          <w:marLeft w:val="0"/>
          <w:marRight w:val="0"/>
          <w:marTop w:val="0"/>
          <w:marBottom w:val="0"/>
          <w:divBdr>
            <w:top w:val="none" w:sz="0" w:space="0" w:color="auto"/>
            <w:left w:val="none" w:sz="0" w:space="0" w:color="auto"/>
            <w:bottom w:val="none" w:sz="0" w:space="0" w:color="auto"/>
            <w:right w:val="none" w:sz="0" w:space="0" w:color="auto"/>
          </w:divBdr>
          <w:divsChild>
            <w:div w:id="2060399280">
              <w:marLeft w:val="0"/>
              <w:marRight w:val="0"/>
              <w:marTop w:val="0"/>
              <w:marBottom w:val="0"/>
              <w:divBdr>
                <w:top w:val="none" w:sz="0" w:space="0" w:color="auto"/>
                <w:left w:val="none" w:sz="0" w:space="0" w:color="auto"/>
                <w:bottom w:val="none" w:sz="0" w:space="0" w:color="auto"/>
                <w:right w:val="none" w:sz="0" w:space="0" w:color="auto"/>
              </w:divBdr>
            </w:div>
          </w:divsChild>
        </w:div>
        <w:div w:id="218907486">
          <w:marLeft w:val="0"/>
          <w:marRight w:val="0"/>
          <w:marTop w:val="0"/>
          <w:marBottom w:val="0"/>
          <w:divBdr>
            <w:top w:val="none" w:sz="0" w:space="0" w:color="auto"/>
            <w:left w:val="none" w:sz="0" w:space="0" w:color="auto"/>
            <w:bottom w:val="none" w:sz="0" w:space="0" w:color="auto"/>
            <w:right w:val="none" w:sz="0" w:space="0" w:color="auto"/>
          </w:divBdr>
          <w:divsChild>
            <w:div w:id="378746307">
              <w:marLeft w:val="0"/>
              <w:marRight w:val="0"/>
              <w:marTop w:val="0"/>
              <w:marBottom w:val="0"/>
              <w:divBdr>
                <w:top w:val="none" w:sz="0" w:space="0" w:color="auto"/>
                <w:left w:val="none" w:sz="0" w:space="0" w:color="auto"/>
                <w:bottom w:val="none" w:sz="0" w:space="0" w:color="auto"/>
                <w:right w:val="none" w:sz="0" w:space="0" w:color="auto"/>
              </w:divBdr>
            </w:div>
          </w:divsChild>
        </w:div>
        <w:div w:id="1213467814">
          <w:marLeft w:val="0"/>
          <w:marRight w:val="0"/>
          <w:marTop w:val="0"/>
          <w:marBottom w:val="0"/>
          <w:divBdr>
            <w:top w:val="none" w:sz="0" w:space="0" w:color="auto"/>
            <w:left w:val="none" w:sz="0" w:space="0" w:color="auto"/>
            <w:bottom w:val="none" w:sz="0" w:space="0" w:color="auto"/>
            <w:right w:val="none" w:sz="0" w:space="0" w:color="auto"/>
          </w:divBdr>
          <w:divsChild>
            <w:div w:id="2100784921">
              <w:marLeft w:val="0"/>
              <w:marRight w:val="0"/>
              <w:marTop w:val="0"/>
              <w:marBottom w:val="0"/>
              <w:divBdr>
                <w:top w:val="none" w:sz="0" w:space="0" w:color="auto"/>
                <w:left w:val="none" w:sz="0" w:space="0" w:color="auto"/>
                <w:bottom w:val="none" w:sz="0" w:space="0" w:color="auto"/>
                <w:right w:val="none" w:sz="0" w:space="0" w:color="auto"/>
              </w:divBdr>
            </w:div>
          </w:divsChild>
        </w:div>
        <w:div w:id="35202628">
          <w:marLeft w:val="0"/>
          <w:marRight w:val="0"/>
          <w:marTop w:val="0"/>
          <w:marBottom w:val="0"/>
          <w:divBdr>
            <w:top w:val="none" w:sz="0" w:space="0" w:color="auto"/>
            <w:left w:val="none" w:sz="0" w:space="0" w:color="auto"/>
            <w:bottom w:val="none" w:sz="0" w:space="0" w:color="auto"/>
            <w:right w:val="none" w:sz="0" w:space="0" w:color="auto"/>
          </w:divBdr>
          <w:divsChild>
            <w:div w:id="941453100">
              <w:marLeft w:val="0"/>
              <w:marRight w:val="0"/>
              <w:marTop w:val="0"/>
              <w:marBottom w:val="0"/>
              <w:divBdr>
                <w:top w:val="none" w:sz="0" w:space="0" w:color="auto"/>
                <w:left w:val="none" w:sz="0" w:space="0" w:color="auto"/>
                <w:bottom w:val="none" w:sz="0" w:space="0" w:color="auto"/>
                <w:right w:val="none" w:sz="0" w:space="0" w:color="auto"/>
              </w:divBdr>
            </w:div>
          </w:divsChild>
        </w:div>
        <w:div w:id="105321166">
          <w:marLeft w:val="0"/>
          <w:marRight w:val="0"/>
          <w:marTop w:val="0"/>
          <w:marBottom w:val="0"/>
          <w:divBdr>
            <w:top w:val="none" w:sz="0" w:space="0" w:color="auto"/>
            <w:left w:val="none" w:sz="0" w:space="0" w:color="auto"/>
            <w:bottom w:val="none" w:sz="0" w:space="0" w:color="auto"/>
            <w:right w:val="none" w:sz="0" w:space="0" w:color="auto"/>
          </w:divBdr>
          <w:divsChild>
            <w:div w:id="255678764">
              <w:marLeft w:val="0"/>
              <w:marRight w:val="0"/>
              <w:marTop w:val="0"/>
              <w:marBottom w:val="0"/>
              <w:divBdr>
                <w:top w:val="none" w:sz="0" w:space="0" w:color="auto"/>
                <w:left w:val="none" w:sz="0" w:space="0" w:color="auto"/>
                <w:bottom w:val="none" w:sz="0" w:space="0" w:color="auto"/>
                <w:right w:val="none" w:sz="0" w:space="0" w:color="auto"/>
              </w:divBdr>
            </w:div>
          </w:divsChild>
        </w:div>
        <w:div w:id="2119179068">
          <w:marLeft w:val="0"/>
          <w:marRight w:val="0"/>
          <w:marTop w:val="0"/>
          <w:marBottom w:val="0"/>
          <w:divBdr>
            <w:top w:val="none" w:sz="0" w:space="0" w:color="auto"/>
            <w:left w:val="none" w:sz="0" w:space="0" w:color="auto"/>
            <w:bottom w:val="none" w:sz="0" w:space="0" w:color="auto"/>
            <w:right w:val="none" w:sz="0" w:space="0" w:color="auto"/>
          </w:divBdr>
          <w:divsChild>
            <w:div w:id="13140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656472">
      <w:bodyDiv w:val="1"/>
      <w:marLeft w:val="0"/>
      <w:marRight w:val="0"/>
      <w:marTop w:val="0"/>
      <w:marBottom w:val="0"/>
      <w:divBdr>
        <w:top w:val="none" w:sz="0" w:space="0" w:color="auto"/>
        <w:left w:val="none" w:sz="0" w:space="0" w:color="auto"/>
        <w:bottom w:val="none" w:sz="0" w:space="0" w:color="auto"/>
        <w:right w:val="none" w:sz="0" w:space="0" w:color="auto"/>
      </w:divBdr>
    </w:div>
    <w:div w:id="1439133625">
      <w:bodyDiv w:val="1"/>
      <w:marLeft w:val="0"/>
      <w:marRight w:val="0"/>
      <w:marTop w:val="0"/>
      <w:marBottom w:val="0"/>
      <w:divBdr>
        <w:top w:val="none" w:sz="0" w:space="0" w:color="auto"/>
        <w:left w:val="none" w:sz="0" w:space="0" w:color="auto"/>
        <w:bottom w:val="none" w:sz="0" w:space="0" w:color="auto"/>
        <w:right w:val="none" w:sz="0" w:space="0" w:color="auto"/>
      </w:divBdr>
      <w:divsChild>
        <w:div w:id="925769758">
          <w:marLeft w:val="0"/>
          <w:marRight w:val="0"/>
          <w:marTop w:val="0"/>
          <w:marBottom w:val="0"/>
          <w:divBdr>
            <w:top w:val="none" w:sz="0" w:space="0" w:color="auto"/>
            <w:left w:val="none" w:sz="0" w:space="0" w:color="auto"/>
            <w:bottom w:val="none" w:sz="0" w:space="0" w:color="auto"/>
            <w:right w:val="none" w:sz="0" w:space="0" w:color="auto"/>
          </w:divBdr>
          <w:divsChild>
            <w:div w:id="1498960559">
              <w:marLeft w:val="0"/>
              <w:marRight w:val="0"/>
              <w:marTop w:val="100"/>
              <w:marBottom w:val="100"/>
              <w:divBdr>
                <w:top w:val="none" w:sz="0" w:space="0" w:color="auto"/>
                <w:left w:val="none" w:sz="0" w:space="0" w:color="auto"/>
                <w:bottom w:val="none" w:sz="0" w:space="0" w:color="auto"/>
                <w:right w:val="none" w:sz="0" w:space="0" w:color="auto"/>
              </w:divBdr>
              <w:divsChild>
                <w:div w:id="1137265385">
                  <w:marLeft w:val="0"/>
                  <w:marRight w:val="0"/>
                  <w:marTop w:val="0"/>
                  <w:marBottom w:val="0"/>
                  <w:divBdr>
                    <w:top w:val="none" w:sz="0" w:space="0" w:color="auto"/>
                    <w:left w:val="none" w:sz="0" w:space="0" w:color="auto"/>
                    <w:bottom w:val="none" w:sz="0" w:space="0" w:color="auto"/>
                    <w:right w:val="none" w:sz="0" w:space="0" w:color="auto"/>
                  </w:divBdr>
                  <w:divsChild>
                    <w:div w:id="1347362336">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12339102">
          <w:marLeft w:val="0"/>
          <w:marRight w:val="0"/>
          <w:marTop w:val="0"/>
          <w:marBottom w:val="0"/>
          <w:divBdr>
            <w:top w:val="none" w:sz="0" w:space="0" w:color="auto"/>
            <w:left w:val="none" w:sz="0" w:space="0" w:color="auto"/>
            <w:bottom w:val="none" w:sz="0" w:space="0" w:color="auto"/>
            <w:right w:val="none" w:sz="0" w:space="0" w:color="auto"/>
          </w:divBdr>
          <w:divsChild>
            <w:div w:id="1149665189">
              <w:marLeft w:val="0"/>
              <w:marRight w:val="0"/>
              <w:marTop w:val="100"/>
              <w:marBottom w:val="100"/>
              <w:divBdr>
                <w:top w:val="none" w:sz="0" w:space="0" w:color="auto"/>
                <w:left w:val="none" w:sz="0" w:space="0" w:color="auto"/>
                <w:bottom w:val="none" w:sz="0" w:space="0" w:color="auto"/>
                <w:right w:val="none" w:sz="0" w:space="0" w:color="auto"/>
              </w:divBdr>
              <w:divsChild>
                <w:div w:id="1400323859">
                  <w:marLeft w:val="0"/>
                  <w:marRight w:val="0"/>
                  <w:marTop w:val="0"/>
                  <w:marBottom w:val="0"/>
                  <w:divBdr>
                    <w:top w:val="none" w:sz="0" w:space="0" w:color="auto"/>
                    <w:left w:val="none" w:sz="0" w:space="0" w:color="auto"/>
                    <w:bottom w:val="none" w:sz="0" w:space="0" w:color="auto"/>
                    <w:right w:val="none" w:sz="0" w:space="0" w:color="auto"/>
                  </w:divBdr>
                  <w:divsChild>
                    <w:div w:id="1020860555">
                      <w:marLeft w:val="0"/>
                      <w:marRight w:val="0"/>
                      <w:marTop w:val="450"/>
                      <w:marBottom w:val="0"/>
                      <w:divBdr>
                        <w:top w:val="none" w:sz="0" w:space="0" w:color="auto"/>
                        <w:left w:val="none" w:sz="0" w:space="0" w:color="auto"/>
                        <w:bottom w:val="none" w:sz="0" w:space="0" w:color="auto"/>
                        <w:right w:val="none" w:sz="0" w:space="0" w:color="auto"/>
                      </w:divBdr>
                    </w:div>
                    <w:div w:id="52058227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84964446">
          <w:marLeft w:val="0"/>
          <w:marRight w:val="0"/>
          <w:marTop w:val="0"/>
          <w:marBottom w:val="0"/>
          <w:divBdr>
            <w:top w:val="none" w:sz="0" w:space="0" w:color="auto"/>
            <w:left w:val="none" w:sz="0" w:space="0" w:color="auto"/>
            <w:bottom w:val="none" w:sz="0" w:space="0" w:color="auto"/>
            <w:right w:val="none" w:sz="0" w:space="0" w:color="auto"/>
          </w:divBdr>
          <w:divsChild>
            <w:div w:id="114567992">
              <w:marLeft w:val="0"/>
              <w:marRight w:val="0"/>
              <w:marTop w:val="100"/>
              <w:marBottom w:val="100"/>
              <w:divBdr>
                <w:top w:val="none" w:sz="0" w:space="0" w:color="auto"/>
                <w:left w:val="none" w:sz="0" w:space="0" w:color="auto"/>
                <w:bottom w:val="none" w:sz="0" w:space="0" w:color="auto"/>
                <w:right w:val="none" w:sz="0" w:space="0" w:color="auto"/>
              </w:divBdr>
              <w:divsChild>
                <w:div w:id="1353796997">
                  <w:marLeft w:val="0"/>
                  <w:marRight w:val="0"/>
                  <w:marTop w:val="0"/>
                  <w:marBottom w:val="0"/>
                  <w:divBdr>
                    <w:top w:val="none" w:sz="0" w:space="0" w:color="auto"/>
                    <w:left w:val="none" w:sz="0" w:space="0" w:color="auto"/>
                    <w:bottom w:val="none" w:sz="0" w:space="0" w:color="auto"/>
                    <w:right w:val="none" w:sz="0" w:space="0" w:color="auto"/>
                  </w:divBdr>
                  <w:divsChild>
                    <w:div w:id="453867199">
                      <w:marLeft w:val="0"/>
                      <w:marRight w:val="0"/>
                      <w:marTop w:val="450"/>
                      <w:marBottom w:val="0"/>
                      <w:divBdr>
                        <w:top w:val="none" w:sz="0" w:space="0" w:color="auto"/>
                        <w:left w:val="none" w:sz="0" w:space="0" w:color="auto"/>
                        <w:bottom w:val="none" w:sz="0" w:space="0" w:color="auto"/>
                        <w:right w:val="none" w:sz="0" w:space="0" w:color="auto"/>
                      </w:divBdr>
                    </w:div>
                    <w:div w:id="756755094">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 w:id="1459031103">
      <w:bodyDiv w:val="1"/>
      <w:marLeft w:val="0"/>
      <w:marRight w:val="0"/>
      <w:marTop w:val="0"/>
      <w:marBottom w:val="0"/>
      <w:divBdr>
        <w:top w:val="none" w:sz="0" w:space="0" w:color="auto"/>
        <w:left w:val="none" w:sz="0" w:space="0" w:color="auto"/>
        <w:bottom w:val="none" w:sz="0" w:space="0" w:color="auto"/>
        <w:right w:val="none" w:sz="0" w:space="0" w:color="auto"/>
      </w:divBdr>
    </w:div>
    <w:div w:id="1486508089">
      <w:bodyDiv w:val="1"/>
      <w:marLeft w:val="0"/>
      <w:marRight w:val="0"/>
      <w:marTop w:val="0"/>
      <w:marBottom w:val="0"/>
      <w:divBdr>
        <w:top w:val="none" w:sz="0" w:space="0" w:color="auto"/>
        <w:left w:val="none" w:sz="0" w:space="0" w:color="auto"/>
        <w:bottom w:val="none" w:sz="0" w:space="0" w:color="auto"/>
        <w:right w:val="none" w:sz="0" w:space="0" w:color="auto"/>
      </w:divBdr>
    </w:div>
    <w:div w:id="1495952667">
      <w:bodyDiv w:val="1"/>
      <w:marLeft w:val="0"/>
      <w:marRight w:val="0"/>
      <w:marTop w:val="0"/>
      <w:marBottom w:val="0"/>
      <w:divBdr>
        <w:top w:val="none" w:sz="0" w:space="0" w:color="auto"/>
        <w:left w:val="none" w:sz="0" w:space="0" w:color="auto"/>
        <w:bottom w:val="none" w:sz="0" w:space="0" w:color="auto"/>
        <w:right w:val="none" w:sz="0" w:space="0" w:color="auto"/>
      </w:divBdr>
    </w:div>
    <w:div w:id="1511019809">
      <w:bodyDiv w:val="1"/>
      <w:marLeft w:val="0"/>
      <w:marRight w:val="0"/>
      <w:marTop w:val="0"/>
      <w:marBottom w:val="0"/>
      <w:divBdr>
        <w:top w:val="none" w:sz="0" w:space="0" w:color="auto"/>
        <w:left w:val="none" w:sz="0" w:space="0" w:color="auto"/>
        <w:bottom w:val="none" w:sz="0" w:space="0" w:color="auto"/>
        <w:right w:val="none" w:sz="0" w:space="0" w:color="auto"/>
      </w:divBdr>
      <w:divsChild>
        <w:div w:id="1203129732">
          <w:marLeft w:val="0"/>
          <w:marRight w:val="0"/>
          <w:marTop w:val="0"/>
          <w:marBottom w:val="150"/>
          <w:divBdr>
            <w:top w:val="none" w:sz="0" w:space="0" w:color="auto"/>
            <w:left w:val="none" w:sz="0" w:space="0" w:color="auto"/>
            <w:bottom w:val="none" w:sz="0" w:space="0" w:color="auto"/>
            <w:right w:val="none" w:sz="0" w:space="0" w:color="auto"/>
          </w:divBdr>
        </w:div>
        <w:div w:id="524171410">
          <w:marLeft w:val="0"/>
          <w:marRight w:val="0"/>
          <w:marTop w:val="300"/>
          <w:marBottom w:val="0"/>
          <w:divBdr>
            <w:top w:val="none" w:sz="0" w:space="0" w:color="auto"/>
            <w:left w:val="none" w:sz="0" w:space="0" w:color="auto"/>
            <w:bottom w:val="none" w:sz="0" w:space="0" w:color="auto"/>
            <w:right w:val="none" w:sz="0" w:space="0" w:color="auto"/>
          </w:divBdr>
          <w:divsChild>
            <w:div w:id="1759255721">
              <w:marLeft w:val="150"/>
              <w:marRight w:val="0"/>
              <w:marTop w:val="0"/>
              <w:marBottom w:val="0"/>
              <w:divBdr>
                <w:top w:val="none" w:sz="0" w:space="0" w:color="auto"/>
                <w:left w:val="none" w:sz="0" w:space="0" w:color="auto"/>
                <w:bottom w:val="none" w:sz="0" w:space="0" w:color="auto"/>
                <w:right w:val="none" w:sz="0" w:space="0" w:color="auto"/>
              </w:divBdr>
            </w:div>
            <w:div w:id="14250434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14225180">
      <w:bodyDiv w:val="1"/>
      <w:marLeft w:val="0"/>
      <w:marRight w:val="0"/>
      <w:marTop w:val="0"/>
      <w:marBottom w:val="0"/>
      <w:divBdr>
        <w:top w:val="none" w:sz="0" w:space="0" w:color="auto"/>
        <w:left w:val="none" w:sz="0" w:space="0" w:color="auto"/>
        <w:bottom w:val="none" w:sz="0" w:space="0" w:color="auto"/>
        <w:right w:val="none" w:sz="0" w:space="0" w:color="auto"/>
      </w:divBdr>
    </w:div>
    <w:div w:id="1678192758">
      <w:bodyDiv w:val="1"/>
      <w:marLeft w:val="0"/>
      <w:marRight w:val="0"/>
      <w:marTop w:val="0"/>
      <w:marBottom w:val="0"/>
      <w:divBdr>
        <w:top w:val="none" w:sz="0" w:space="0" w:color="auto"/>
        <w:left w:val="none" w:sz="0" w:space="0" w:color="auto"/>
        <w:bottom w:val="none" w:sz="0" w:space="0" w:color="auto"/>
        <w:right w:val="none" w:sz="0" w:space="0" w:color="auto"/>
      </w:divBdr>
    </w:div>
    <w:div w:id="1702391720">
      <w:bodyDiv w:val="1"/>
      <w:marLeft w:val="0"/>
      <w:marRight w:val="0"/>
      <w:marTop w:val="0"/>
      <w:marBottom w:val="0"/>
      <w:divBdr>
        <w:top w:val="none" w:sz="0" w:space="0" w:color="auto"/>
        <w:left w:val="none" w:sz="0" w:space="0" w:color="auto"/>
        <w:bottom w:val="none" w:sz="0" w:space="0" w:color="auto"/>
        <w:right w:val="none" w:sz="0" w:space="0" w:color="auto"/>
      </w:divBdr>
    </w:div>
    <w:div w:id="1734617381">
      <w:bodyDiv w:val="1"/>
      <w:marLeft w:val="0"/>
      <w:marRight w:val="0"/>
      <w:marTop w:val="0"/>
      <w:marBottom w:val="0"/>
      <w:divBdr>
        <w:top w:val="none" w:sz="0" w:space="0" w:color="auto"/>
        <w:left w:val="none" w:sz="0" w:space="0" w:color="auto"/>
        <w:bottom w:val="none" w:sz="0" w:space="0" w:color="auto"/>
        <w:right w:val="none" w:sz="0" w:space="0" w:color="auto"/>
      </w:divBdr>
    </w:div>
    <w:div w:id="1774782532">
      <w:bodyDiv w:val="1"/>
      <w:marLeft w:val="0"/>
      <w:marRight w:val="0"/>
      <w:marTop w:val="0"/>
      <w:marBottom w:val="0"/>
      <w:divBdr>
        <w:top w:val="none" w:sz="0" w:space="0" w:color="auto"/>
        <w:left w:val="none" w:sz="0" w:space="0" w:color="auto"/>
        <w:bottom w:val="none" w:sz="0" w:space="0" w:color="auto"/>
        <w:right w:val="none" w:sz="0" w:space="0" w:color="auto"/>
      </w:divBdr>
    </w:div>
    <w:div w:id="1943495138">
      <w:bodyDiv w:val="1"/>
      <w:marLeft w:val="0"/>
      <w:marRight w:val="0"/>
      <w:marTop w:val="0"/>
      <w:marBottom w:val="0"/>
      <w:divBdr>
        <w:top w:val="none" w:sz="0" w:space="0" w:color="auto"/>
        <w:left w:val="none" w:sz="0" w:space="0" w:color="auto"/>
        <w:bottom w:val="none" w:sz="0" w:space="0" w:color="auto"/>
        <w:right w:val="none" w:sz="0" w:space="0" w:color="auto"/>
      </w:divBdr>
    </w:div>
    <w:div w:id="1968853102">
      <w:bodyDiv w:val="1"/>
      <w:marLeft w:val="0"/>
      <w:marRight w:val="0"/>
      <w:marTop w:val="0"/>
      <w:marBottom w:val="0"/>
      <w:divBdr>
        <w:top w:val="none" w:sz="0" w:space="0" w:color="auto"/>
        <w:left w:val="none" w:sz="0" w:space="0" w:color="auto"/>
        <w:bottom w:val="none" w:sz="0" w:space="0" w:color="auto"/>
        <w:right w:val="none" w:sz="0" w:space="0" w:color="auto"/>
      </w:divBdr>
    </w:div>
    <w:div w:id="2028679062">
      <w:bodyDiv w:val="1"/>
      <w:marLeft w:val="0"/>
      <w:marRight w:val="0"/>
      <w:marTop w:val="0"/>
      <w:marBottom w:val="0"/>
      <w:divBdr>
        <w:top w:val="none" w:sz="0" w:space="0" w:color="auto"/>
        <w:left w:val="none" w:sz="0" w:space="0" w:color="auto"/>
        <w:bottom w:val="none" w:sz="0" w:space="0" w:color="auto"/>
        <w:right w:val="none" w:sz="0" w:space="0" w:color="auto"/>
      </w:divBdr>
      <w:divsChild>
        <w:div w:id="1311448296">
          <w:marLeft w:val="0"/>
          <w:marRight w:val="0"/>
          <w:marTop w:val="0"/>
          <w:marBottom w:val="0"/>
          <w:divBdr>
            <w:top w:val="none" w:sz="0" w:space="0" w:color="auto"/>
            <w:left w:val="none" w:sz="0" w:space="0" w:color="auto"/>
            <w:bottom w:val="none" w:sz="0" w:space="0" w:color="auto"/>
            <w:right w:val="none" w:sz="0" w:space="0" w:color="auto"/>
          </w:divBdr>
        </w:div>
      </w:divsChild>
    </w:div>
    <w:div w:id="2040085600">
      <w:bodyDiv w:val="1"/>
      <w:marLeft w:val="0"/>
      <w:marRight w:val="0"/>
      <w:marTop w:val="0"/>
      <w:marBottom w:val="0"/>
      <w:divBdr>
        <w:top w:val="none" w:sz="0" w:space="0" w:color="auto"/>
        <w:left w:val="none" w:sz="0" w:space="0" w:color="auto"/>
        <w:bottom w:val="none" w:sz="0" w:space="0" w:color="auto"/>
        <w:right w:val="none" w:sz="0" w:space="0" w:color="auto"/>
      </w:divBdr>
    </w:div>
    <w:div w:id="2048217939">
      <w:bodyDiv w:val="1"/>
      <w:marLeft w:val="0"/>
      <w:marRight w:val="0"/>
      <w:marTop w:val="0"/>
      <w:marBottom w:val="0"/>
      <w:divBdr>
        <w:top w:val="none" w:sz="0" w:space="0" w:color="auto"/>
        <w:left w:val="none" w:sz="0" w:space="0" w:color="auto"/>
        <w:bottom w:val="none" w:sz="0" w:space="0" w:color="auto"/>
        <w:right w:val="none" w:sz="0" w:space="0" w:color="auto"/>
      </w:divBdr>
    </w:div>
    <w:div w:id="2058160449">
      <w:bodyDiv w:val="1"/>
      <w:marLeft w:val="0"/>
      <w:marRight w:val="0"/>
      <w:marTop w:val="0"/>
      <w:marBottom w:val="0"/>
      <w:divBdr>
        <w:top w:val="none" w:sz="0" w:space="0" w:color="auto"/>
        <w:left w:val="none" w:sz="0" w:space="0" w:color="auto"/>
        <w:bottom w:val="none" w:sz="0" w:space="0" w:color="auto"/>
        <w:right w:val="none" w:sz="0" w:space="0" w:color="auto"/>
      </w:divBdr>
    </w:div>
    <w:div w:id="2095978394">
      <w:bodyDiv w:val="1"/>
      <w:marLeft w:val="0"/>
      <w:marRight w:val="0"/>
      <w:marTop w:val="0"/>
      <w:marBottom w:val="0"/>
      <w:divBdr>
        <w:top w:val="none" w:sz="0" w:space="0" w:color="auto"/>
        <w:left w:val="none" w:sz="0" w:space="0" w:color="auto"/>
        <w:bottom w:val="none" w:sz="0" w:space="0" w:color="auto"/>
        <w:right w:val="none" w:sz="0" w:space="0" w:color="auto"/>
      </w:divBdr>
    </w:div>
    <w:div w:id="2120220763">
      <w:bodyDiv w:val="1"/>
      <w:marLeft w:val="0"/>
      <w:marRight w:val="0"/>
      <w:marTop w:val="0"/>
      <w:marBottom w:val="0"/>
      <w:divBdr>
        <w:top w:val="none" w:sz="0" w:space="0" w:color="auto"/>
        <w:left w:val="none" w:sz="0" w:space="0" w:color="auto"/>
        <w:bottom w:val="none" w:sz="0" w:space="0" w:color="auto"/>
        <w:right w:val="none" w:sz="0" w:space="0" w:color="auto"/>
      </w:divBdr>
    </w:div>
    <w:div w:id="212769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C0A20-D65B-42C7-8F7E-95421E008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2888</Characters>
  <Application>Microsoft Office Word</Application>
  <DocSecurity>0</DocSecurity>
  <Lines>48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archit uniyal</dc:creator>
  <cp:keywords/>
  <dc:description/>
  <cp:lastModifiedBy>archit uniyal</cp:lastModifiedBy>
  <cp:revision>2</cp:revision>
  <dcterms:created xsi:type="dcterms:W3CDTF">2020-04-09T09:21:00Z</dcterms:created>
  <dcterms:modified xsi:type="dcterms:W3CDTF">2020-04-09T09:21:00Z</dcterms:modified>
</cp:coreProperties>
</file>