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15EB" w:rsidRPr="00D8699D" w:rsidRDefault="006715EB" w:rsidP="006715EB">
      <w:pPr>
        <w:rPr>
          <w:rFonts w:ascii="Times New Roman" w:hAnsi="Times New Roman" w:cs="Times New Roman"/>
          <w:b/>
          <w:bCs/>
          <w:sz w:val="36"/>
          <w:szCs w:val="36"/>
        </w:rPr>
      </w:pPr>
      <w:bookmarkStart w:id="0" w:name="_GoBack"/>
      <w:r>
        <w:rPr>
          <w:rFonts w:ascii="Times New Roman" w:hAnsi="Times New Roman" w:cs="Times New Roman"/>
          <w:b/>
          <w:bCs/>
          <w:sz w:val="36"/>
          <w:szCs w:val="36"/>
        </w:rPr>
        <w:t>Company Law 1</w:t>
      </w:r>
      <w:r w:rsidRPr="00D8699D">
        <w:rPr>
          <w:rFonts w:ascii="Times New Roman" w:hAnsi="Times New Roman" w:cs="Times New Roman"/>
          <w:b/>
          <w:bCs/>
          <w:sz w:val="36"/>
          <w:szCs w:val="36"/>
        </w:rPr>
        <w:t xml:space="preserve"> Cases – 5</w:t>
      </w:r>
      <w:r w:rsidRPr="00D8699D">
        <w:rPr>
          <w:rFonts w:ascii="Times New Roman" w:hAnsi="Times New Roman" w:cs="Times New Roman"/>
          <w:b/>
          <w:bCs/>
          <w:sz w:val="36"/>
          <w:szCs w:val="36"/>
          <w:vertAlign w:val="superscript"/>
        </w:rPr>
        <w:t>th</w:t>
      </w:r>
      <w:r w:rsidRPr="00D8699D">
        <w:rPr>
          <w:rFonts w:ascii="Times New Roman" w:hAnsi="Times New Roman" w:cs="Times New Roman"/>
          <w:b/>
          <w:bCs/>
          <w:sz w:val="36"/>
          <w:szCs w:val="36"/>
        </w:rPr>
        <w:t xml:space="preserve"> Semester (OP Jindal Global University Syllabus)</w:t>
      </w:r>
    </w:p>
    <w:bookmarkEnd w:id="0"/>
    <w:p w:rsidR="001C7206" w:rsidRDefault="001C7206" w:rsidP="001C7206">
      <w:pPr>
        <w:rPr>
          <w:lang w:val="en-US"/>
        </w:rPr>
      </w:pPr>
    </w:p>
    <w:p w:rsidR="001C7206" w:rsidRPr="00D837ED" w:rsidRDefault="001C7206" w:rsidP="001C7206">
      <w:pPr>
        <w:rPr>
          <w:lang w:val="en-US"/>
        </w:rPr>
      </w:pPr>
      <w:r w:rsidRPr="00D837ED">
        <w:rPr>
          <w:rFonts w:ascii="TimesNewRomanPS-BoldMT" w:hAnsi="TimesNewRomanPS-BoldMT" w:cs="TimesNewRomanPS-BoldMT"/>
          <w:b/>
          <w:bCs/>
          <w:lang w:bidi="hi-IN"/>
        </w:rPr>
        <w:t xml:space="preserve">Stanley </w:t>
      </w:r>
      <w:r w:rsidR="00D837ED" w:rsidRPr="00D837ED">
        <w:rPr>
          <w:rFonts w:ascii="TimesNewRomanPS-BoldMT" w:hAnsi="TimesNewRomanPS-BoldMT" w:cs="TimesNewRomanPS-BoldMT"/>
          <w:b/>
          <w:bCs/>
          <w:lang w:bidi="hi-IN"/>
        </w:rPr>
        <w:t>– Meaning of a Company -</w:t>
      </w:r>
      <w:r w:rsidRPr="00D837ED">
        <w:rPr>
          <w:rFonts w:ascii="TimesNewRomanPS-BoldMT" w:hAnsi="TimesNewRomanPS-BoldMT" w:cs="TimesNewRomanPS-BoldMT"/>
          <w:b/>
          <w:bCs/>
          <w:lang w:bidi="hi-IN"/>
        </w:rPr>
        <w:t xml:space="preserve"> no strictly technical meaning</w:t>
      </w:r>
      <w:r w:rsidRPr="00D837ED">
        <w:rPr>
          <w:rFonts w:ascii="TimesNewRomanPSMT" w:hAnsi="TimesNewRomanPSMT" w:cs="TimesNewRomanPSMT"/>
          <w:lang w:bidi="hi-IN"/>
        </w:rPr>
        <w:t>.</w:t>
      </w:r>
    </w:p>
    <w:p w:rsidR="00374C02" w:rsidRDefault="00374C02" w:rsidP="00374C02">
      <w:pPr>
        <w:rPr>
          <w:lang w:val="en-US"/>
        </w:rPr>
      </w:pPr>
    </w:p>
    <w:p w:rsidR="00D837ED" w:rsidRDefault="00374C02" w:rsidP="00374C02">
      <w:pPr>
        <w:rPr>
          <w:b/>
          <w:lang w:val="en-US"/>
        </w:rPr>
      </w:pPr>
      <w:r>
        <w:rPr>
          <w:b/>
          <w:lang w:val="en-US"/>
        </w:rPr>
        <w:t>Separate Corporate Personality</w:t>
      </w:r>
    </w:p>
    <w:p w:rsidR="00374C02" w:rsidRDefault="00374C02" w:rsidP="00374C02">
      <w:pPr>
        <w:pStyle w:val="ListParagraph"/>
        <w:numPr>
          <w:ilvl w:val="0"/>
          <w:numId w:val="2"/>
        </w:numPr>
        <w:rPr>
          <w:lang w:val="en-US"/>
        </w:rPr>
      </w:pPr>
      <w:r>
        <w:rPr>
          <w:lang w:val="en-US"/>
        </w:rPr>
        <w:t xml:space="preserve">Salomon v. Salomon – </w:t>
      </w:r>
      <w:r w:rsidR="008853BF" w:rsidRPr="008853BF">
        <w:rPr>
          <w:b/>
          <w:bCs/>
        </w:rPr>
        <w:t>No. Separate legal existence of company. Liability of shareholders limited. Company was validly constituted</w:t>
      </w:r>
      <w:r w:rsidR="008853BF" w:rsidRPr="00CE537F">
        <w:t>.</w:t>
      </w:r>
      <w:r w:rsidR="008853BF">
        <w:t xml:space="preserve"> </w:t>
      </w:r>
      <w:r>
        <w:rPr>
          <w:lang w:val="en-US"/>
        </w:rPr>
        <w:t xml:space="preserve">A thriving boot business run as a sole proprietorship was converted into a company. Upon liquidation of shares and debentures, the court held that Salomon, the MD of the company will not be personally liable even though the company’s board consisted of himself and his family. Since company was validly constituted, liability of shareholders is limited as it has a separate legal existence. </w:t>
      </w:r>
    </w:p>
    <w:p w:rsidR="00374C02" w:rsidRDefault="00374C02" w:rsidP="00374C02">
      <w:pPr>
        <w:pStyle w:val="ListParagraph"/>
        <w:rPr>
          <w:lang w:val="en-US"/>
        </w:rPr>
      </w:pPr>
    </w:p>
    <w:p w:rsidR="00374C02" w:rsidRDefault="00374C02" w:rsidP="00374C02">
      <w:pPr>
        <w:pStyle w:val="ListParagraph"/>
        <w:numPr>
          <w:ilvl w:val="0"/>
          <w:numId w:val="2"/>
        </w:numPr>
        <w:rPr>
          <w:lang w:val="en-US"/>
        </w:rPr>
      </w:pPr>
      <w:r>
        <w:rPr>
          <w:lang w:val="en-US"/>
        </w:rPr>
        <w:t xml:space="preserve">Re: The </w:t>
      </w:r>
      <w:proofErr w:type="spellStart"/>
      <w:r>
        <w:rPr>
          <w:lang w:val="en-US"/>
        </w:rPr>
        <w:t>Kondoli</w:t>
      </w:r>
      <w:proofErr w:type="spellEnd"/>
      <w:r>
        <w:rPr>
          <w:lang w:val="en-US"/>
        </w:rPr>
        <w:t xml:space="preserve"> Tea Co. Ltd – </w:t>
      </w:r>
      <w:r w:rsidR="001C7206" w:rsidRPr="001C7206">
        <w:rPr>
          <w:b/>
          <w:bCs/>
        </w:rPr>
        <w:t>No. Company has a separate legal personality independent from shareholders.</w:t>
      </w:r>
      <w:r>
        <w:rPr>
          <w:lang w:val="en-US"/>
        </w:rPr>
        <w:t xml:space="preserve">Tea garden jointly owned by 8 men was transferred in the name of </w:t>
      </w:r>
      <w:proofErr w:type="spellStart"/>
      <w:r>
        <w:rPr>
          <w:lang w:val="en-US"/>
        </w:rPr>
        <w:t>Kondoli</w:t>
      </w:r>
      <w:proofErr w:type="spellEnd"/>
      <w:r>
        <w:rPr>
          <w:lang w:val="en-US"/>
        </w:rPr>
        <w:t xml:space="preserve"> Tea Company in consideration of </w:t>
      </w:r>
      <w:proofErr w:type="spellStart"/>
      <w:r>
        <w:rPr>
          <w:lang w:val="en-US"/>
        </w:rPr>
        <w:t>shres</w:t>
      </w:r>
      <w:proofErr w:type="spellEnd"/>
      <w:r>
        <w:rPr>
          <w:lang w:val="en-US"/>
        </w:rPr>
        <w:t xml:space="preserve"> and debentures. These men were the only shareholders of the company. When it was contended that this was not really a transfer by sale but a mere handing over of property to </w:t>
      </w:r>
      <w:proofErr w:type="spellStart"/>
      <w:r>
        <w:rPr>
          <w:lang w:val="en-US"/>
        </w:rPr>
        <w:t>ones</w:t>
      </w:r>
      <w:proofErr w:type="spellEnd"/>
      <w:r>
        <w:rPr>
          <w:lang w:val="en-US"/>
        </w:rPr>
        <w:t xml:space="preserve"> self, the court held that this was a fallacy as no matter who held the shares of a company, it was still a separate legal entity and was its own person. Therefore, this was every bit the transfer it would have been if made to another person.</w:t>
      </w:r>
      <w:r w:rsidR="001C7206">
        <w:rPr>
          <w:lang w:val="en-US"/>
        </w:rPr>
        <w:t xml:space="preserve"> </w:t>
      </w:r>
    </w:p>
    <w:p w:rsidR="00374C02" w:rsidRPr="00374C02" w:rsidRDefault="00374C02" w:rsidP="00374C02">
      <w:pPr>
        <w:pStyle w:val="ListParagraph"/>
        <w:rPr>
          <w:lang w:val="en-US"/>
        </w:rPr>
      </w:pPr>
    </w:p>
    <w:p w:rsidR="00374C02" w:rsidRDefault="00374C02" w:rsidP="00374C02">
      <w:pPr>
        <w:pStyle w:val="ListParagraph"/>
        <w:numPr>
          <w:ilvl w:val="0"/>
          <w:numId w:val="2"/>
        </w:numPr>
        <w:rPr>
          <w:lang w:val="en-US"/>
        </w:rPr>
      </w:pPr>
      <w:r>
        <w:rPr>
          <w:lang w:val="en-US"/>
        </w:rPr>
        <w:t xml:space="preserve">Lee v. Lee’s Air Farming Ltd – A company of which 2999 out of 3000 shares belonged to Lee, who was killed in a piloting accident while working. When Lee’s wife claimed compensation, it was contested on grounds that Lee was the employer and not the employee, and was hence not entitled to compensation. Court rejected the challenge and applied the same principle as Salomon. Compensation was granted. </w:t>
      </w:r>
    </w:p>
    <w:p w:rsidR="00374C02" w:rsidRPr="00374C02" w:rsidRDefault="00374C02" w:rsidP="00374C02">
      <w:pPr>
        <w:pStyle w:val="ListParagraph"/>
        <w:rPr>
          <w:lang w:val="en-US"/>
        </w:rPr>
      </w:pPr>
    </w:p>
    <w:p w:rsidR="00374C02" w:rsidRDefault="00374C02" w:rsidP="00374C02">
      <w:pPr>
        <w:rPr>
          <w:b/>
          <w:lang w:val="en-US"/>
        </w:rPr>
      </w:pPr>
      <w:r>
        <w:rPr>
          <w:b/>
          <w:lang w:val="en-US"/>
        </w:rPr>
        <w:t>Lifting of Corporate Veil</w:t>
      </w:r>
    </w:p>
    <w:p w:rsidR="00374C02" w:rsidRDefault="00374C02" w:rsidP="00374C02">
      <w:pPr>
        <w:pStyle w:val="ListParagraph"/>
        <w:numPr>
          <w:ilvl w:val="0"/>
          <w:numId w:val="2"/>
        </w:numPr>
        <w:rPr>
          <w:lang w:val="en-US"/>
        </w:rPr>
      </w:pPr>
      <w:r>
        <w:rPr>
          <w:lang w:val="en-US"/>
        </w:rPr>
        <w:t xml:space="preserve">In re </w:t>
      </w:r>
      <w:proofErr w:type="spellStart"/>
      <w:r>
        <w:rPr>
          <w:lang w:val="en-US"/>
        </w:rPr>
        <w:t>Dishaw</w:t>
      </w:r>
      <w:proofErr w:type="spellEnd"/>
      <w:r>
        <w:rPr>
          <w:lang w:val="en-US"/>
        </w:rPr>
        <w:t xml:space="preserve"> </w:t>
      </w:r>
      <w:proofErr w:type="spellStart"/>
      <w:r>
        <w:rPr>
          <w:lang w:val="en-US"/>
        </w:rPr>
        <w:t>Maneckjee</w:t>
      </w:r>
      <w:proofErr w:type="spellEnd"/>
      <w:r>
        <w:rPr>
          <w:lang w:val="en-US"/>
        </w:rPr>
        <w:t xml:space="preserve"> Petit – </w:t>
      </w:r>
      <w:r w:rsidR="001C7206" w:rsidRPr="001C7206">
        <w:rPr>
          <w:b/>
          <w:bCs/>
          <w:lang w:val="en-US"/>
        </w:rPr>
        <w:t xml:space="preserve">LOCV IF </w:t>
      </w:r>
      <w:r w:rsidR="001C7206">
        <w:rPr>
          <w:b/>
          <w:bCs/>
          <w:lang w:val="en-US"/>
        </w:rPr>
        <w:t xml:space="preserve">COMPANY </w:t>
      </w:r>
      <w:r w:rsidR="001C7206" w:rsidRPr="001C7206">
        <w:rPr>
          <w:b/>
          <w:bCs/>
          <w:lang w:val="en-US"/>
        </w:rPr>
        <w:t>SHAM</w:t>
      </w:r>
      <w:r w:rsidR="001C7206">
        <w:rPr>
          <w:b/>
          <w:bCs/>
          <w:lang w:val="en-US"/>
        </w:rPr>
        <w:t xml:space="preserve"> FOR AVOIDING TAX LIABILITY</w:t>
      </w:r>
      <w:r w:rsidR="001C7206">
        <w:rPr>
          <w:lang w:val="en-US"/>
        </w:rPr>
        <w:t xml:space="preserve"> - </w:t>
      </w:r>
      <w:r>
        <w:rPr>
          <w:lang w:val="en-US"/>
        </w:rPr>
        <w:t xml:space="preserve">Defendant established 4 companies and transferred blocks of his investment to each. Here, court held that although a company has a separate legal personality, every transaction between the owner and the company must be genuine. Here, the facts of the case showed that the companies had been established purely for the purpose of avoiding a super tax and the company was nothing more than the </w:t>
      </w:r>
      <w:proofErr w:type="spellStart"/>
      <w:r>
        <w:rPr>
          <w:lang w:val="en-US"/>
        </w:rPr>
        <w:t>assesee</w:t>
      </w:r>
      <w:proofErr w:type="spellEnd"/>
      <w:r>
        <w:rPr>
          <w:lang w:val="en-US"/>
        </w:rPr>
        <w:t xml:space="preserve"> himself. The companies had been created so the owner could write down his business transactions as interest and dividend payments and nothing else. </w:t>
      </w:r>
      <w:r w:rsidRPr="001C7206">
        <w:rPr>
          <w:b/>
          <w:bCs/>
          <w:lang w:val="en-US"/>
        </w:rPr>
        <w:t>Thus, it was a sham and uplifting the corporate veil was allowed.</w:t>
      </w:r>
    </w:p>
    <w:p w:rsidR="00374C02" w:rsidRDefault="00374C02" w:rsidP="00374C02">
      <w:pPr>
        <w:pStyle w:val="ListParagraph"/>
        <w:rPr>
          <w:lang w:val="en-US"/>
        </w:rPr>
      </w:pPr>
    </w:p>
    <w:p w:rsidR="00374C02" w:rsidRPr="00374C02" w:rsidRDefault="00374C02" w:rsidP="00374C02">
      <w:pPr>
        <w:pStyle w:val="ListParagraph"/>
        <w:numPr>
          <w:ilvl w:val="0"/>
          <w:numId w:val="2"/>
        </w:numPr>
      </w:pPr>
      <w:r>
        <w:rPr>
          <w:lang w:val="en-US"/>
        </w:rPr>
        <w:t xml:space="preserve">Daimler Co. Ltd v. Continental </w:t>
      </w:r>
      <w:proofErr w:type="spellStart"/>
      <w:r>
        <w:rPr>
          <w:lang w:val="en-US"/>
        </w:rPr>
        <w:t>Tyre</w:t>
      </w:r>
      <w:proofErr w:type="spellEnd"/>
      <w:r>
        <w:rPr>
          <w:lang w:val="en-US"/>
        </w:rPr>
        <w:t xml:space="preserve"> and Rubber Co. Ltd – </w:t>
      </w:r>
      <w:r w:rsidR="001C7206" w:rsidRPr="00374C02">
        <w:rPr>
          <w:b/>
          <w:bCs/>
          <w:u w:val="single"/>
          <w:lang w:val="en-US"/>
        </w:rPr>
        <w:t>In matters of public policy, the corporate veil may be lifted.</w:t>
      </w:r>
      <w:r w:rsidR="001C7206">
        <w:rPr>
          <w:b/>
          <w:bCs/>
          <w:u w:val="single"/>
          <w:lang w:val="en-US"/>
        </w:rPr>
        <w:t xml:space="preserve"> </w:t>
      </w:r>
      <w:r>
        <w:rPr>
          <w:lang w:val="en-US"/>
        </w:rPr>
        <w:t xml:space="preserve">Continental </w:t>
      </w:r>
      <w:proofErr w:type="spellStart"/>
      <w:r>
        <w:rPr>
          <w:lang w:val="en-US"/>
        </w:rPr>
        <w:t>tyre</w:t>
      </w:r>
      <w:proofErr w:type="spellEnd"/>
      <w:r>
        <w:rPr>
          <w:lang w:val="en-US"/>
        </w:rPr>
        <w:t xml:space="preserve"> was a </w:t>
      </w:r>
      <w:proofErr w:type="spellStart"/>
      <w:r>
        <w:rPr>
          <w:lang w:val="en-US"/>
        </w:rPr>
        <w:t>german</w:t>
      </w:r>
      <w:proofErr w:type="spellEnd"/>
      <w:r>
        <w:rPr>
          <w:lang w:val="en-US"/>
        </w:rPr>
        <w:t xml:space="preserve"> company incorporated in England. When Continental brought a suit for </w:t>
      </w:r>
    </w:p>
    <w:p w:rsidR="00374C02" w:rsidRPr="00374C02" w:rsidRDefault="00374C02" w:rsidP="00374C02">
      <w:pPr>
        <w:pStyle w:val="ListParagraph"/>
        <w:rPr>
          <w:lang w:val="en-US"/>
        </w:rPr>
      </w:pPr>
      <w:r>
        <w:rPr>
          <w:lang w:val="en-US"/>
        </w:rPr>
        <w:t>Payment of a debt against Daimler, he contended that it was not payable on account of trading with the enemy. Issue was whether the corporate veil can be lifted under such a contention.</w:t>
      </w:r>
    </w:p>
    <w:p w:rsidR="00374C02" w:rsidRDefault="00374C02" w:rsidP="00374C02">
      <w:pPr>
        <w:pStyle w:val="ListParagraph"/>
        <w:rPr>
          <w:b/>
          <w:bCs/>
          <w:u w:val="single"/>
          <w:lang w:val="en-US"/>
        </w:rPr>
      </w:pPr>
      <w:r w:rsidRPr="00374C02">
        <w:rPr>
          <w:lang w:val="en-US"/>
        </w:rPr>
        <w:lastRenderedPageBreak/>
        <w:t xml:space="preserve">In a similar way a company registered in the UK, but carrying on business in a neutral country through agents properly authorized and resident here or in the neutral country, is prima facie to be regarded as a friend, but may, through its agents or persons in de facto control of its affairs, assume an enemy character. A company registered in the UK but carrying on business in an enemy country is to be regarded as an enemy. </w:t>
      </w:r>
    </w:p>
    <w:p w:rsidR="00374C02" w:rsidRDefault="00374C02" w:rsidP="00374C02">
      <w:pPr>
        <w:pStyle w:val="ListParagraph"/>
        <w:rPr>
          <w:b/>
          <w:bCs/>
          <w:u w:val="single"/>
          <w:lang w:val="en-US"/>
        </w:rPr>
      </w:pPr>
    </w:p>
    <w:p w:rsidR="00374C02" w:rsidRDefault="00374C02" w:rsidP="008837B3">
      <w:pPr>
        <w:pStyle w:val="ListParagraph"/>
        <w:numPr>
          <w:ilvl w:val="0"/>
          <w:numId w:val="2"/>
        </w:numPr>
      </w:pPr>
      <w:r>
        <w:t xml:space="preserve">Macaura v. Northern Assurance Company – </w:t>
      </w:r>
      <w:r w:rsidR="008837B3" w:rsidRPr="008837B3">
        <w:rPr>
          <w:b/>
          <w:bCs/>
        </w:rPr>
        <w:t>no shareholder has any right to any item of property owned by the company, for he has no legal or equitable interest therein.</w:t>
      </w:r>
      <w:r w:rsidR="008837B3">
        <w:t xml:space="preserve"> </w:t>
      </w:r>
      <w:r>
        <w:t>Mr Macaura, who was a majority shareholder and the company’s only creditor held a fire insurance in his own name. When timber was lost due to fire, the insurance company refused as the timber was owned by the company and not by him personally. Here, the court held that the corporate veil would not be lifted as Macaura  had no insurable interest in the goods which were owned by the company that had a separate legal personality.</w:t>
      </w:r>
    </w:p>
    <w:p w:rsidR="00374C02" w:rsidRDefault="00374C02" w:rsidP="00374C02">
      <w:pPr>
        <w:pStyle w:val="ListParagraph"/>
      </w:pPr>
    </w:p>
    <w:p w:rsidR="00374C02" w:rsidRDefault="00374C02" w:rsidP="008837B3">
      <w:pPr>
        <w:pStyle w:val="ListParagraph"/>
        <w:numPr>
          <w:ilvl w:val="0"/>
          <w:numId w:val="2"/>
        </w:numPr>
      </w:pPr>
      <w:r>
        <w:t xml:space="preserve">Prest v. Petrodel – </w:t>
      </w:r>
      <w:r w:rsidR="008837B3" w:rsidRPr="008837B3">
        <w:rPr>
          <w:b/>
          <w:bCs/>
        </w:rPr>
        <w:t xml:space="preserve">Held that the company’s assets were not his to transfer, unless the company actually held the assets on trust for him as the beneficial owner of the assets </w:t>
      </w:r>
      <w:r w:rsidR="008837B3">
        <w:t>.</w:t>
      </w:r>
      <w:r>
        <w:t xml:space="preserve">whether the </w:t>
      </w:r>
      <w:proofErr w:type="spellStart"/>
      <w:r>
        <w:t>husnband’s</w:t>
      </w:r>
      <w:proofErr w:type="spellEnd"/>
      <w:r>
        <w:t xml:space="preserve"> company owned on divorce transfer shares or assets? </w:t>
      </w:r>
      <w:proofErr w:type="spellStart"/>
      <w:r>
        <w:t>Prest’s</w:t>
      </w:r>
      <w:proofErr w:type="spellEnd"/>
      <w:r>
        <w:t xml:space="preserve"> had shares in companies outside UK, judge found that the assets were treated as his own. Matrimonial home and other properties, The SC held: company is a legal person on its own, for LOCV – needed to prove that the property is entitled to the husband– entitled meaning in Matrimonial act to mean more. Court held that the assets of the company belongs to the company and not shareholder hence no need for LOCV, even if one shareholder only exception is public policy, the court can disregard the legal personality. Here, no public policy exception.</w:t>
      </w:r>
    </w:p>
    <w:p w:rsidR="00374C02" w:rsidRDefault="00374C02" w:rsidP="00374C02">
      <w:pPr>
        <w:pStyle w:val="ListParagraph"/>
      </w:pPr>
    </w:p>
    <w:p w:rsidR="00374C02" w:rsidRDefault="00374C02" w:rsidP="00374C02">
      <w:pPr>
        <w:pStyle w:val="ListParagraph"/>
        <w:numPr>
          <w:ilvl w:val="0"/>
          <w:numId w:val="2"/>
        </w:numPr>
      </w:pPr>
      <w:r>
        <w:t>Vodafone International Holdings v. Union of India – whether LOCV needed when the company acquires shares outside India for tax avoidance? The court held that NO, tax evasion is wrong, but avoidance is fine. Since no fraud committed, not to be lifted. Held no dissection of entire transaction but look at it in complete and holistic sense.</w:t>
      </w:r>
    </w:p>
    <w:p w:rsidR="00374C02" w:rsidRDefault="00374C02" w:rsidP="00374C02">
      <w:pPr>
        <w:pStyle w:val="ListParagraph"/>
      </w:pPr>
    </w:p>
    <w:p w:rsidR="00374C02" w:rsidRDefault="00374C02" w:rsidP="008837B3">
      <w:pPr>
        <w:pStyle w:val="ListParagraph"/>
        <w:numPr>
          <w:ilvl w:val="0"/>
          <w:numId w:val="2"/>
        </w:numPr>
      </w:pPr>
      <w:r>
        <w:t xml:space="preserve">State of Rajasthan v. </w:t>
      </w:r>
      <w:proofErr w:type="spellStart"/>
      <w:r>
        <w:t>Gotan</w:t>
      </w:r>
      <w:proofErr w:type="spellEnd"/>
      <w:r>
        <w:t xml:space="preserve"> Lime Stone </w:t>
      </w:r>
      <w:proofErr w:type="spellStart"/>
      <w:r>
        <w:t>Khanji</w:t>
      </w:r>
      <w:proofErr w:type="spellEnd"/>
      <w:r>
        <w:t xml:space="preserve"> Udyog Pvt Ltd –</w:t>
      </w:r>
      <w:r w:rsidR="008837B3">
        <w:t xml:space="preserve"> </w:t>
      </w:r>
      <w:r w:rsidR="008837B3" w:rsidRPr="008837B3">
        <w:rPr>
          <w:b/>
          <w:bCs/>
        </w:rPr>
        <w:t>Public interest imp. consideration lifting corporate veil.</w:t>
      </w:r>
      <w:r>
        <w:t xml:space="preserve"> In this case, it is not a matter of transfer of shareholding, but use of an unauthorised device to acquire a mining lease by misleading the competent authority by concealing the real transaction. Real transaction was sale of lease, which was company’s only asset, for the benefit of the private operator. This was not permitted by law and hence the corporate veil should be uplifted. Case substance over form. </w:t>
      </w:r>
    </w:p>
    <w:p w:rsidR="00374C02" w:rsidRDefault="00374C02" w:rsidP="00374C02">
      <w:pPr>
        <w:pStyle w:val="ListParagraph"/>
      </w:pPr>
    </w:p>
    <w:p w:rsidR="00374C02" w:rsidRDefault="00374C02" w:rsidP="008837B3">
      <w:pPr>
        <w:pStyle w:val="ListParagraph"/>
        <w:numPr>
          <w:ilvl w:val="0"/>
          <w:numId w:val="2"/>
        </w:numPr>
      </w:pPr>
      <w:r>
        <w:t xml:space="preserve">State of UP v. </w:t>
      </w:r>
      <w:proofErr w:type="spellStart"/>
      <w:r>
        <w:t>Renusagar</w:t>
      </w:r>
      <w:proofErr w:type="spellEnd"/>
      <w:r>
        <w:t xml:space="preserve"> Power Co – </w:t>
      </w:r>
      <w:r w:rsidR="008837B3" w:rsidRPr="008837B3">
        <w:rPr>
          <w:b/>
          <w:bCs/>
        </w:rPr>
        <w:t xml:space="preserve">Lifting the corporate veil the court held that </w:t>
      </w:r>
      <w:proofErr w:type="spellStart"/>
      <w:r w:rsidR="008837B3" w:rsidRPr="008837B3">
        <w:rPr>
          <w:b/>
          <w:bCs/>
        </w:rPr>
        <w:t>Renusagar</w:t>
      </w:r>
      <w:proofErr w:type="spellEnd"/>
      <w:r w:rsidR="008837B3" w:rsidRPr="008837B3">
        <w:rPr>
          <w:b/>
          <w:bCs/>
        </w:rPr>
        <w:t xml:space="preserve"> Power Co. was the own source of generation for Hindalco. Thus, Hindalco and </w:t>
      </w:r>
      <w:proofErr w:type="spellStart"/>
      <w:r w:rsidR="008837B3" w:rsidRPr="008837B3">
        <w:rPr>
          <w:b/>
          <w:bCs/>
        </w:rPr>
        <w:t>Renusagar</w:t>
      </w:r>
      <w:proofErr w:type="spellEnd"/>
      <w:r w:rsidR="008837B3" w:rsidRPr="008837B3">
        <w:rPr>
          <w:b/>
          <w:bCs/>
        </w:rPr>
        <w:t xml:space="preserve"> must be considered to be one and the same entity.</w:t>
      </w:r>
      <w:r w:rsidR="008837B3">
        <w:t xml:space="preserve"> </w:t>
      </w:r>
      <w:r>
        <w:t xml:space="preserve">UP Electricity Act imposed duty upon consumption of electricity by anyone from his own source of generation. </w:t>
      </w:r>
      <w:proofErr w:type="spellStart"/>
      <w:r>
        <w:t>Renusagar</w:t>
      </w:r>
      <w:proofErr w:type="spellEnd"/>
      <w:r>
        <w:t xml:space="preserve">, a company formed with its own MOA/AOA, was a separate company which provided electricity to Hindalco. While deciding if </w:t>
      </w:r>
      <w:proofErr w:type="spellStart"/>
      <w:r>
        <w:lastRenderedPageBreak/>
        <w:t>Renusagar</w:t>
      </w:r>
      <w:proofErr w:type="spellEnd"/>
      <w:r>
        <w:t xml:space="preserve"> can be considered as Hindalco’s own source of electricity, court held that since all steps for establishing and expanding </w:t>
      </w:r>
      <w:proofErr w:type="spellStart"/>
      <w:r>
        <w:t>Renusagar</w:t>
      </w:r>
      <w:proofErr w:type="spellEnd"/>
      <w:r>
        <w:t xml:space="preserve"> was taken by Hindalco and </w:t>
      </w:r>
      <w:proofErr w:type="spellStart"/>
      <w:r>
        <w:t>Renusagar</w:t>
      </w:r>
      <w:proofErr w:type="spellEnd"/>
      <w:r>
        <w:t>, and it was wholly controlled by Hindalco, it could be said that the two were in-</w:t>
      </w:r>
      <w:proofErr w:type="spellStart"/>
      <w:r>
        <w:t>extricably</w:t>
      </w:r>
      <w:proofErr w:type="spellEnd"/>
      <w:r>
        <w:t xml:space="preserve"> linked and it had no separate existence. Hence LOCV was allowed.</w:t>
      </w:r>
    </w:p>
    <w:p w:rsidR="00374C02" w:rsidRDefault="00374C02" w:rsidP="00374C02">
      <w:pPr>
        <w:pStyle w:val="ListParagraph"/>
      </w:pPr>
    </w:p>
    <w:p w:rsidR="00374C02" w:rsidRDefault="00374C02" w:rsidP="00374C02">
      <w:pPr>
        <w:rPr>
          <w:b/>
        </w:rPr>
      </w:pPr>
      <w:r>
        <w:rPr>
          <w:b/>
        </w:rPr>
        <w:t>MOA and AOA</w:t>
      </w:r>
    </w:p>
    <w:p w:rsidR="00374C02" w:rsidRPr="00374C02" w:rsidRDefault="00374C02" w:rsidP="008837B3">
      <w:pPr>
        <w:pStyle w:val="ListParagraph"/>
        <w:numPr>
          <w:ilvl w:val="0"/>
          <w:numId w:val="2"/>
        </w:numPr>
      </w:pPr>
      <w:r>
        <w:t xml:space="preserve">Royal British Bank v. </w:t>
      </w:r>
      <w:proofErr w:type="spellStart"/>
      <w:r>
        <w:t>Turquand</w:t>
      </w:r>
      <w:proofErr w:type="spellEnd"/>
      <w:r>
        <w:t xml:space="preserve"> – </w:t>
      </w:r>
      <w:r w:rsidR="008837B3" w:rsidRPr="008837B3">
        <w:rPr>
          <w:b/>
          <w:bCs/>
        </w:rPr>
        <w:t>people transacting with companies are entitled to assume that internal company rules are complied with, even if they are not. This is the doctrine of indoor management.</w:t>
      </w:r>
      <w:r w:rsidR="008837B3">
        <w:t xml:space="preserve"> </w:t>
      </w:r>
      <w:r>
        <w:t xml:space="preserve">Established the doctrine of indoor management. Directors of a company borrowed money from the plaintiff bank on a bond bearing the seal of the company on the agreement that the company may borrow money on bond from time to time if a general resolution was passed by the company. When bank sued for non-payment, company contended that resolution to borrow was never passed. Court held that </w:t>
      </w:r>
      <w:r w:rsidRPr="008837B3">
        <w:rPr>
          <w:lang w:val="en-US"/>
        </w:rPr>
        <w:t xml:space="preserve">when there are persons conducting the affairs of the company in a manner which appears to be perfectly consonant with </w:t>
      </w:r>
      <w:proofErr w:type="spellStart"/>
      <w:r w:rsidRPr="008837B3">
        <w:rPr>
          <w:lang w:val="en-US"/>
        </w:rPr>
        <w:t>AoA</w:t>
      </w:r>
      <w:proofErr w:type="spellEnd"/>
      <w:r w:rsidRPr="008837B3">
        <w:rPr>
          <w:lang w:val="en-US"/>
        </w:rPr>
        <w:t xml:space="preserve">, those so dealing with them externally are not to be affected by </w:t>
      </w:r>
      <w:r w:rsidRPr="008837B3">
        <w:rPr>
          <w:i/>
          <w:iCs/>
          <w:u w:val="single"/>
          <w:lang w:val="en-US"/>
        </w:rPr>
        <w:t>irregularities</w:t>
      </w:r>
      <w:r w:rsidRPr="008837B3">
        <w:rPr>
          <w:lang w:val="en-US"/>
        </w:rPr>
        <w:t xml:space="preserve"> which may take place in the </w:t>
      </w:r>
      <w:r w:rsidRPr="008837B3">
        <w:rPr>
          <w:i/>
          <w:iCs/>
          <w:u w:val="single"/>
          <w:lang w:val="en-US"/>
        </w:rPr>
        <w:t>internal management</w:t>
      </w:r>
      <w:r w:rsidRPr="008837B3">
        <w:rPr>
          <w:lang w:val="en-US"/>
        </w:rPr>
        <w:t xml:space="preserve"> of the company.</w:t>
      </w:r>
    </w:p>
    <w:p w:rsidR="00374C02" w:rsidRDefault="00374C02" w:rsidP="00374C02">
      <w:pPr>
        <w:pStyle w:val="ListParagraph"/>
        <w:rPr>
          <w:lang w:val="en-US"/>
        </w:rPr>
      </w:pPr>
    </w:p>
    <w:p w:rsidR="00374C02" w:rsidRDefault="00374C02" w:rsidP="00374C02">
      <w:pPr>
        <w:pStyle w:val="ListParagraph"/>
        <w:numPr>
          <w:ilvl w:val="0"/>
          <w:numId w:val="2"/>
        </w:numPr>
      </w:pPr>
      <w:r>
        <w:t>Ashbury Railway Carriage and Iron Company v. Riche – Issue at hand was whether the performance of a contract which is not within the scope of a company’s MOA can be made legally binding by subsequent ratification of the shareholders. In this case, a railway contract, out of the subject matter of a company’s MOA was carried out after ratification by shareholders. Court held that in such cases, where the act is out of the scope of the MOA, it is illegal for the company to carry out such acts and any ratification by the shareholders, even if it is unanimous will not make it legal.</w:t>
      </w:r>
    </w:p>
    <w:p w:rsidR="00374C02" w:rsidRDefault="00374C02" w:rsidP="00374C02">
      <w:pPr>
        <w:pStyle w:val="ListParagraph"/>
      </w:pPr>
    </w:p>
    <w:p w:rsidR="00374C02" w:rsidRDefault="00374C02" w:rsidP="00374C02">
      <w:pPr>
        <w:pStyle w:val="ListParagraph"/>
        <w:numPr>
          <w:ilvl w:val="0"/>
          <w:numId w:val="2"/>
        </w:numPr>
      </w:pPr>
      <w:proofErr w:type="spellStart"/>
      <w:r>
        <w:t>Lakshmanaswami</w:t>
      </w:r>
      <w:proofErr w:type="spellEnd"/>
      <w:r>
        <w:t xml:space="preserve"> </w:t>
      </w:r>
      <w:proofErr w:type="spellStart"/>
      <w:r>
        <w:t>Mudaliar</w:t>
      </w:r>
      <w:proofErr w:type="spellEnd"/>
      <w:r>
        <w:t xml:space="preserve"> v. LIC - the case dealt with donation by an insurance company and later LIC acquired the company. Whether donation can be asked to be refunded? The court held that </w:t>
      </w:r>
      <w:proofErr w:type="spellStart"/>
      <w:r>
        <w:t>AoA</w:t>
      </w:r>
      <w:proofErr w:type="spellEnd"/>
      <w:r>
        <w:t xml:space="preserve"> is an explanation of the powers given in the </w:t>
      </w:r>
      <w:proofErr w:type="spellStart"/>
      <w:r>
        <w:t>MoA</w:t>
      </w:r>
      <w:proofErr w:type="spellEnd"/>
      <w:r>
        <w:t xml:space="preserve"> and cannot extend the scope of the </w:t>
      </w:r>
      <w:proofErr w:type="spellStart"/>
      <w:r>
        <w:t>MoA</w:t>
      </w:r>
      <w:proofErr w:type="spellEnd"/>
      <w:r>
        <w:t xml:space="preserve">. It cannot provide extra powers and since here, the powers were ultra vires allowed for refund. </w:t>
      </w:r>
    </w:p>
    <w:p w:rsidR="00374C02" w:rsidRDefault="00374C02" w:rsidP="00374C02">
      <w:pPr>
        <w:pStyle w:val="ListParagraph"/>
      </w:pPr>
    </w:p>
    <w:p w:rsidR="00374C02" w:rsidRDefault="00374C02" w:rsidP="00374C02">
      <w:pPr>
        <w:pStyle w:val="ListParagraph"/>
        <w:numPr>
          <w:ilvl w:val="0"/>
          <w:numId w:val="2"/>
        </w:numPr>
      </w:pPr>
      <w:r>
        <w:t xml:space="preserve">VB </w:t>
      </w:r>
      <w:proofErr w:type="spellStart"/>
      <w:r>
        <w:t>Rangaraj</w:t>
      </w:r>
      <w:proofErr w:type="spellEnd"/>
      <w:r>
        <w:t xml:space="preserve"> v. Gopalakrishnan - Whether the shareholders can among themselves enter into an agreement which is contrary to or inconsistent with the </w:t>
      </w:r>
      <w:proofErr w:type="spellStart"/>
      <w:r>
        <w:t>AoA</w:t>
      </w:r>
      <w:proofErr w:type="spellEnd"/>
      <w:r>
        <w:t xml:space="preserve"> of the company? Oral agreements don’t stand value and any restrictions in transfer of shares are to be specifically mentioned in the </w:t>
      </w:r>
      <w:proofErr w:type="spellStart"/>
      <w:r>
        <w:t>AoA</w:t>
      </w:r>
      <w:proofErr w:type="spellEnd"/>
      <w:r>
        <w:t>. Not even shareholder’s agreement can confer such powers.</w:t>
      </w:r>
    </w:p>
    <w:p w:rsidR="00374C02" w:rsidRDefault="00374C02" w:rsidP="00374C02">
      <w:pPr>
        <w:pStyle w:val="ListParagraph"/>
      </w:pPr>
    </w:p>
    <w:p w:rsidR="00374C02" w:rsidRDefault="00374C02" w:rsidP="00374C02">
      <w:pPr>
        <w:pStyle w:val="ListParagraph"/>
        <w:numPr>
          <w:ilvl w:val="0"/>
          <w:numId w:val="2"/>
        </w:numPr>
      </w:pPr>
      <w:r>
        <w:t xml:space="preserve">World Phone India Private limited v. WPI Group: Whether a clause in a SHA, not reflected in the articles, but not repugnant to the Act either, should be enforceable? The court held that unless any changes are made in the </w:t>
      </w:r>
      <w:proofErr w:type="spellStart"/>
      <w:r>
        <w:t>AoA</w:t>
      </w:r>
      <w:proofErr w:type="spellEnd"/>
      <w:r>
        <w:t xml:space="preserve"> regardless of the SHA, only if the </w:t>
      </w:r>
      <w:proofErr w:type="spellStart"/>
      <w:r>
        <w:t>AoA</w:t>
      </w:r>
      <w:proofErr w:type="spellEnd"/>
      <w:r>
        <w:t xml:space="preserve"> was amended the SHA will stand value.</w:t>
      </w:r>
    </w:p>
    <w:p w:rsidR="00374C02" w:rsidRDefault="00374C02" w:rsidP="00374C02"/>
    <w:p w:rsidR="00374C02" w:rsidRDefault="00374C02" w:rsidP="00374C02">
      <w:pPr>
        <w:rPr>
          <w:b/>
        </w:rPr>
      </w:pPr>
      <w:r>
        <w:rPr>
          <w:b/>
        </w:rPr>
        <w:t>Pre-Incorporation Contracts</w:t>
      </w:r>
    </w:p>
    <w:p w:rsidR="00374C02" w:rsidRDefault="00374C02" w:rsidP="00374C02">
      <w:pPr>
        <w:pStyle w:val="ListParagraph"/>
        <w:numPr>
          <w:ilvl w:val="0"/>
          <w:numId w:val="2"/>
        </w:numPr>
      </w:pPr>
      <w:proofErr w:type="spellStart"/>
      <w:r>
        <w:t>Kelner</w:t>
      </w:r>
      <w:proofErr w:type="spellEnd"/>
      <w:r>
        <w:t xml:space="preserve"> v. Baxter – sale of wine, company was to be incorporated. They entered into an agreement with the promoters of a hotel company. The company ratified but the company was not incorporated. But then the company was liquidated already. </w:t>
      </w:r>
      <w:r>
        <w:lastRenderedPageBreak/>
        <w:t>Whether company is liable or promoters? The court held that a company is not liable upon pre-incorporated contracts or sue based on such contracts. Since company without incorporation is a non-entity, the promoters were held liable.</w:t>
      </w:r>
    </w:p>
    <w:p w:rsidR="00374C02" w:rsidRDefault="00374C02" w:rsidP="00374C02">
      <w:pPr>
        <w:pStyle w:val="ListParagraph"/>
      </w:pPr>
    </w:p>
    <w:p w:rsidR="00374C02" w:rsidRDefault="00374C02" w:rsidP="00374C02">
      <w:pPr>
        <w:pStyle w:val="ListParagraph"/>
        <w:numPr>
          <w:ilvl w:val="0"/>
          <w:numId w:val="2"/>
        </w:numPr>
      </w:pPr>
      <w:r>
        <w:t xml:space="preserve">Erlanger v. New </w:t>
      </w:r>
      <w:proofErr w:type="spellStart"/>
      <w:r>
        <w:t>Sombero</w:t>
      </w:r>
      <w:proofErr w:type="spellEnd"/>
      <w:r>
        <w:t xml:space="preserve"> Phosphate - Erlanger purchased an island-Established a company- Island was sold at a high price to the company-Board ratified the contract. Issue: Can the company revoke the contract? Held: Yes. Promoters as fiduciary are required to give full disclosure. He made secret profits which affected the company and based on distrust and breach of good faith.</w:t>
      </w:r>
    </w:p>
    <w:p w:rsidR="00374C02" w:rsidRDefault="00374C02" w:rsidP="00374C02">
      <w:pPr>
        <w:pStyle w:val="ListParagraph"/>
      </w:pPr>
    </w:p>
    <w:p w:rsidR="00374C02" w:rsidRDefault="00374C02" w:rsidP="00374C02">
      <w:pPr>
        <w:pStyle w:val="ListParagraph"/>
        <w:numPr>
          <w:ilvl w:val="0"/>
          <w:numId w:val="2"/>
        </w:numPr>
      </w:pPr>
      <w:proofErr w:type="spellStart"/>
      <w:r>
        <w:t>Gluckstein</w:t>
      </w:r>
      <w:proofErr w:type="spellEnd"/>
      <w:r>
        <w:t xml:space="preserve"> v. Barnes – Promoters of a company purchased an exhibition hall. They then established a company to which they sold the hall while making a secret profit. Court held that the promoter is required to repay the secret profit since he has failed to make full disclosure. Since the promoter of a company has fiduciary relationship with the company, he is required to make full disclosure. </w:t>
      </w:r>
    </w:p>
    <w:p w:rsidR="00374C02" w:rsidRDefault="00374C02" w:rsidP="00374C02">
      <w:pPr>
        <w:pStyle w:val="ListParagraph"/>
      </w:pPr>
    </w:p>
    <w:p w:rsidR="00374C02" w:rsidRDefault="00374C02" w:rsidP="00374C02">
      <w:pPr>
        <w:pStyle w:val="ListParagraph"/>
        <w:numPr>
          <w:ilvl w:val="0"/>
          <w:numId w:val="2"/>
        </w:numPr>
      </w:pPr>
      <w:r>
        <w:t xml:space="preserve">Weavers Mills v. Balkis </w:t>
      </w:r>
      <w:proofErr w:type="spellStart"/>
      <w:r>
        <w:t>Ammal</w:t>
      </w:r>
      <w:proofErr w:type="spellEnd"/>
      <w:r>
        <w:t xml:space="preserve"> – Promoters purchased property on behalf of the company though no conveyance was done. While the company was using the property, the promoters tried to sell it. Court held that the real owner of the property was the company as it was purchased for it even though the title never passed. While the promoter is not a trustee nor agent of the company, he has a fiduciary duty towards the company and he cannot deny the benefit to the company after it is incorporated by denying it something he did on its behalf pre-incorporation.</w:t>
      </w:r>
    </w:p>
    <w:p w:rsidR="00374C02" w:rsidRDefault="00374C02" w:rsidP="00374C02">
      <w:pPr>
        <w:pStyle w:val="ListParagraph"/>
      </w:pPr>
    </w:p>
    <w:p w:rsidR="00374C02" w:rsidRDefault="00374C02" w:rsidP="00374C02">
      <w:pPr>
        <w:rPr>
          <w:b/>
        </w:rPr>
      </w:pPr>
      <w:r>
        <w:rPr>
          <w:b/>
        </w:rPr>
        <w:t>Issue of Capital</w:t>
      </w:r>
    </w:p>
    <w:p w:rsidR="00374C02" w:rsidRDefault="00374C02" w:rsidP="00374C02">
      <w:pPr>
        <w:pStyle w:val="ListParagraph"/>
        <w:numPr>
          <w:ilvl w:val="0"/>
          <w:numId w:val="2"/>
        </w:numPr>
      </w:pPr>
      <w:r>
        <w:t>Sahara v. SEBI - Sahara wanted to issue OFCDs and to that extent issued them to millions but filed in Kanpur that it is a private placement. Whether private placement or public offer? The court held it is public offer as it breached the ‘50’ number limit and on breach of this number, it becomes a PO. SEBI has jurisdiction to protect all investors and also has jurisdiction to protect interest of investors.</w:t>
      </w:r>
    </w:p>
    <w:p w:rsidR="00374C02" w:rsidRDefault="00374C02" w:rsidP="00374C02">
      <w:pPr>
        <w:pStyle w:val="ListParagraph"/>
      </w:pPr>
    </w:p>
    <w:p w:rsidR="00374C02" w:rsidRDefault="00374C02" w:rsidP="00374C02">
      <w:pPr>
        <w:pStyle w:val="ListParagraph"/>
        <w:numPr>
          <w:ilvl w:val="0"/>
          <w:numId w:val="2"/>
        </w:numPr>
      </w:pPr>
      <w:r>
        <w:t>Peek v. Gurney - peek will purchase secondary shares based on prospectus but then company will go into liquidation. What is the role of prospectus and if directors liable? The court held that prospectus is intended only for first applicants of shares. But if the prospectus is used to induce the second applicants or further applicants of the shares, then the company’s directors will be held liable.</w:t>
      </w:r>
    </w:p>
    <w:p w:rsidR="00374C02" w:rsidRDefault="00374C02" w:rsidP="00374C02">
      <w:pPr>
        <w:pStyle w:val="ListParagraph"/>
      </w:pPr>
    </w:p>
    <w:p w:rsidR="00374C02" w:rsidRDefault="00374C02" w:rsidP="00374C02">
      <w:pPr>
        <w:pStyle w:val="ListParagraph"/>
        <w:numPr>
          <w:ilvl w:val="0"/>
          <w:numId w:val="2"/>
        </w:numPr>
      </w:pPr>
      <w:r>
        <w:t>Derry v. Peek - Prospectus – Company to run steam powered trams. Henry Peek invested but the permission for trams denied and Company in liquidation. Peek lost money. Are the directors liable for deceit? Held: No, since the directors had honest belief in the statements when made. The court further held that there should be ‘mens rea’ to prove deceit in such situations. But, if the prospectus is of reckless nature, the directors will be said to be liable for the misleading statements.</w:t>
      </w:r>
    </w:p>
    <w:p w:rsidR="00374C02" w:rsidRDefault="00374C02" w:rsidP="00374C02">
      <w:pPr>
        <w:pStyle w:val="ListParagraph"/>
      </w:pPr>
    </w:p>
    <w:p w:rsidR="00374C02" w:rsidRDefault="00374C02" w:rsidP="00374C02">
      <w:pPr>
        <w:pStyle w:val="ListParagraph"/>
        <w:numPr>
          <w:ilvl w:val="0"/>
          <w:numId w:val="2"/>
        </w:numPr>
      </w:pPr>
      <w:r>
        <w:t xml:space="preserve">Sundaram Finance v. </w:t>
      </w:r>
      <w:proofErr w:type="spellStart"/>
      <w:r>
        <w:t>Grandtrust</w:t>
      </w:r>
      <w:proofErr w:type="spellEnd"/>
      <w:r>
        <w:t xml:space="preserve"> Finance - </w:t>
      </w:r>
      <w:proofErr w:type="spellStart"/>
      <w:r>
        <w:t>Grandtrust</w:t>
      </w:r>
      <w:proofErr w:type="spellEnd"/>
      <w:r>
        <w:t xml:space="preserve"> induced to invest in shares of company on assurance of huge profits in IPO, but no IPO was issued. Though the </w:t>
      </w:r>
      <w:r>
        <w:lastRenderedPageBreak/>
        <w:t>initial representation was in good nature, in further references based on the earlier promise there were misrepresentations. The court held that fraudulent intentions of the parties can be derived from subsequent conduct of the parties. The court need not always see if the initial conduct was right and not fraudulent but the nature of such fraud can be derived from the series of actions which the party does. Here, the party was held liable as it did not follow up on the initial promise.</w:t>
      </w:r>
    </w:p>
    <w:p w:rsidR="00374C02" w:rsidRDefault="00374C02" w:rsidP="00374C02">
      <w:pPr>
        <w:pStyle w:val="ListParagraph"/>
      </w:pPr>
    </w:p>
    <w:p w:rsidR="00374C02" w:rsidRDefault="00374C02" w:rsidP="00374C02">
      <w:pPr>
        <w:pStyle w:val="ListParagraph"/>
        <w:numPr>
          <w:ilvl w:val="0"/>
          <w:numId w:val="2"/>
        </w:numPr>
      </w:pPr>
      <w:r>
        <w:t xml:space="preserve">SEBI v. Open Stock Link Ltd. - In the IPO (Jet Airways &amp;amp; IDFC) shares meant for RII purchased through fictitious accounts – </w:t>
      </w:r>
      <w:proofErr w:type="spellStart"/>
      <w:r>
        <w:t>Sebi</w:t>
      </w:r>
      <w:proofErr w:type="spellEnd"/>
      <w:r>
        <w:t xml:space="preserve"> filed case. Whether interest of RII has been harmed? Held: Yes. </w:t>
      </w:r>
      <w:proofErr w:type="spellStart"/>
      <w:r>
        <w:t>Benami</w:t>
      </w:r>
      <w:proofErr w:type="spellEnd"/>
      <w:r>
        <w:t xml:space="preserve"> transactions to make unjust profit. Penalty. Also, in matters of shares SCRA being a special law on sale/purchase of securities will prevail over Contract Act &amp; Sales of Goods Act. The whole series of transactions were fraudulent in nature.</w:t>
      </w:r>
    </w:p>
    <w:p w:rsidR="00374C02" w:rsidRDefault="00374C02" w:rsidP="00374C02">
      <w:pPr>
        <w:pStyle w:val="ListParagraph"/>
      </w:pPr>
    </w:p>
    <w:p w:rsidR="00374C02" w:rsidRDefault="00374C02" w:rsidP="00374C02">
      <w:pPr>
        <w:pStyle w:val="ListParagraph"/>
        <w:numPr>
          <w:ilvl w:val="0"/>
          <w:numId w:val="2"/>
        </w:numPr>
      </w:pPr>
      <w:r>
        <w:t>DLF v. SEBI - disclosure of all material information. Though private complaint, SEBI can look into the status quo during the IPO.</w:t>
      </w:r>
    </w:p>
    <w:p w:rsidR="00374C02" w:rsidRDefault="00374C02" w:rsidP="00374C02">
      <w:pPr>
        <w:pStyle w:val="ListParagraph"/>
      </w:pPr>
    </w:p>
    <w:p w:rsidR="00374C02" w:rsidRDefault="00374C02" w:rsidP="00374C02">
      <w:pPr>
        <w:pStyle w:val="ListParagraph"/>
        <w:numPr>
          <w:ilvl w:val="0"/>
          <w:numId w:val="2"/>
        </w:numPr>
      </w:pPr>
      <w:r>
        <w:t>Shiromani Sugar Mills v. Debi - No misstatement as a promise in prospectus is not a statement on fact. Shareholders belief was misplaced. They will have to pay the balance money . Some amount of puffing is allowed in a prospectus but it must not amount to misrepresentation of fact. A shareholders contract to purchase shares is only voidable and not void on account of misrepresentation in the prospectus.</w:t>
      </w:r>
    </w:p>
    <w:p w:rsidR="00C413B0" w:rsidRDefault="00C413B0" w:rsidP="001336D5">
      <w:pPr>
        <w:ind w:left="360"/>
      </w:pPr>
    </w:p>
    <w:p w:rsidR="00C413B0" w:rsidRDefault="001336D5" w:rsidP="00286317">
      <w:pPr>
        <w:pStyle w:val="ListParagraph"/>
        <w:numPr>
          <w:ilvl w:val="0"/>
          <w:numId w:val="2"/>
        </w:numPr>
      </w:pPr>
      <w:r>
        <w:t xml:space="preserve"> </w:t>
      </w:r>
      <w:r w:rsidRPr="001336D5">
        <w:t xml:space="preserve">V.B. </w:t>
      </w:r>
      <w:proofErr w:type="spellStart"/>
      <w:r w:rsidRPr="001336D5">
        <w:t>Rangaraj</w:t>
      </w:r>
      <w:proofErr w:type="spellEnd"/>
      <w:r w:rsidRPr="001336D5">
        <w:t xml:space="preserve"> vs V.B. Gopalakrishnan &amp; Ors</w:t>
      </w:r>
      <w:r>
        <w:t xml:space="preserve"> - unless the Articles otherwise provide the shareholder has a free right to transfer to whom he will. The only restriction on the transfer of the shares of a company is as laid down in its Articles, if any. A restriction which is not specified in the Articles is, therefore, not binding either on the company or on the shareholders.</w:t>
      </w:r>
      <w:r w:rsidR="00286317">
        <w:t xml:space="preserve"> Section 44- Held that shares are movable property and their transfer is regulated by articles of association of company - agreement imposing restriction contrary to provisions of articles would not be binding on shareholder and company. The agreement obviously, therefore, imposes additional restrictions on the member's right to transfer his shares which are contrary to the provisions of the Article. They are, therefore, not binding either on the shareholders or on the company.</w:t>
      </w:r>
    </w:p>
    <w:p w:rsidR="00C413B0" w:rsidRDefault="00C413B0" w:rsidP="00286317"/>
    <w:p w:rsidR="001336D5" w:rsidRDefault="001336D5" w:rsidP="001336D5">
      <w:pPr>
        <w:pStyle w:val="ListParagraph"/>
        <w:numPr>
          <w:ilvl w:val="0"/>
          <w:numId w:val="2"/>
        </w:numPr>
      </w:pPr>
      <w:r w:rsidRPr="00C413B0">
        <w:t xml:space="preserve">Bajaj Auto Ltd vs Western Maharashtra Development </w:t>
      </w:r>
      <w:r>
        <w:t xml:space="preserve">- </w:t>
      </w:r>
      <w:r w:rsidR="00C413B0" w:rsidRPr="00C413B0">
        <w:rPr>
          <w:lang w:val="en-US"/>
        </w:rPr>
        <w:t>Refusal of Registration</w:t>
      </w:r>
      <w:r w:rsidR="00C413B0">
        <w:rPr>
          <w:lang w:val="en-US"/>
        </w:rPr>
        <w:t xml:space="preserve"> -</w:t>
      </w:r>
      <w:r w:rsidR="00C413B0" w:rsidRPr="00C413B0">
        <w:t>The securities or other interest of any member in a public company shall be freely transferable</w:t>
      </w:r>
      <w:r>
        <w:t xml:space="preserve">. </w:t>
      </w:r>
      <w:r w:rsidR="00C413B0" w:rsidRPr="00C413B0">
        <w:t>Any contract or arrangement between two or more persons in respect of transfer of securities shall be enforceable as a contract</w:t>
      </w:r>
      <w:r>
        <w:t>.</w:t>
      </w:r>
      <w:r w:rsidR="003646D7">
        <w:t xml:space="preserve"> </w:t>
      </w:r>
      <w:r w:rsidR="00C559FC" w:rsidRPr="00C559FC">
        <w:t>Pre-emption clauses in the Articles of a private company are in the nature of a blanket restriction on all its members, and such clauses if incorporated in the Articles of a public company would certainly amount to a restriction on free transferability of shares as envisaged under section111A.”</w:t>
      </w:r>
      <w:r>
        <w:t xml:space="preserve"> compared to the articles of association of the company, which is a public document. Being a private document it binds parties thereof and not the other remaining shareholders in the company . Advantage of SHA is that it gives greater flexibility, unlike the articles of association. It also makes</w:t>
      </w:r>
    </w:p>
    <w:p w:rsidR="00C413B0" w:rsidRDefault="001336D5" w:rsidP="001336D5">
      <w:pPr>
        <w:pStyle w:val="ListParagraph"/>
      </w:pPr>
      <w:r>
        <w:lastRenderedPageBreak/>
        <w:t>provisions for resolution of any dispute between the shareholders and also how the future capital contributions have to be made. Provisions of the SHA may also go contrary to the provisions of the articles of association, in that event, naturally provisions of the articles of association would govern and not the provisions made in SHA.</w:t>
      </w:r>
    </w:p>
    <w:p w:rsidR="00BA7773" w:rsidRDefault="00BA7773" w:rsidP="00BA7773">
      <w:pPr>
        <w:pStyle w:val="ListParagraph"/>
      </w:pPr>
    </w:p>
    <w:p w:rsidR="000E1645" w:rsidRPr="00733D5F" w:rsidRDefault="00BA7773" w:rsidP="00733D5F">
      <w:pPr>
        <w:pStyle w:val="ListParagraph"/>
        <w:numPr>
          <w:ilvl w:val="0"/>
          <w:numId w:val="2"/>
        </w:numPr>
        <w:rPr>
          <w:lang w:val="en-US"/>
        </w:rPr>
      </w:pPr>
      <w:r w:rsidRPr="00BA7773">
        <w:rPr>
          <w:lang w:val="en-US"/>
        </w:rPr>
        <w:t xml:space="preserve"> </w:t>
      </w:r>
      <w:proofErr w:type="spellStart"/>
      <w:r w:rsidRPr="00BA7773">
        <w:rPr>
          <w:lang w:val="en-US"/>
        </w:rPr>
        <w:t>Messers</w:t>
      </w:r>
      <w:proofErr w:type="spellEnd"/>
      <w:r w:rsidRPr="00BA7773">
        <w:rPr>
          <w:lang w:val="en-US"/>
        </w:rPr>
        <w:t xml:space="preserve"> Holdings Limited v/s </w:t>
      </w:r>
      <w:proofErr w:type="spellStart"/>
      <w:r w:rsidRPr="00BA7773">
        <w:rPr>
          <w:lang w:val="en-US"/>
        </w:rPr>
        <w:t>Shyam</w:t>
      </w:r>
      <w:proofErr w:type="spellEnd"/>
      <w:r w:rsidRPr="00BA7773">
        <w:rPr>
          <w:lang w:val="en-US"/>
        </w:rPr>
        <w:t xml:space="preserve"> </w:t>
      </w:r>
      <w:proofErr w:type="spellStart"/>
      <w:r w:rsidRPr="00BA7773">
        <w:rPr>
          <w:lang w:val="en-US"/>
        </w:rPr>
        <w:t>Madanmohan</w:t>
      </w:r>
      <w:proofErr w:type="spellEnd"/>
      <w:r w:rsidRPr="00BA7773">
        <w:rPr>
          <w:lang w:val="en-US"/>
        </w:rPr>
        <w:t xml:space="preserve"> </w:t>
      </w:r>
      <w:proofErr w:type="spellStart"/>
      <w:r w:rsidRPr="00BA7773">
        <w:rPr>
          <w:lang w:val="en-US"/>
        </w:rPr>
        <w:t>Ruia</w:t>
      </w:r>
      <w:proofErr w:type="spellEnd"/>
      <w:r w:rsidRPr="00BA7773">
        <w:rPr>
          <w:lang w:val="en-US"/>
        </w:rPr>
        <w:t xml:space="preserve"> (Bombay HC) (2010)</w:t>
      </w:r>
      <w:r w:rsidR="00134BF3">
        <w:rPr>
          <w:lang w:val="en-US"/>
        </w:rPr>
        <w:t xml:space="preserve"> </w:t>
      </w:r>
      <w:r w:rsidR="004E05AF" w:rsidRPr="00134BF3">
        <w:rPr>
          <w:lang w:val="en-US"/>
        </w:rPr>
        <w:t>Held – Free Transferability of shares is from the company’s stand point.</w:t>
      </w:r>
      <w:r w:rsidR="00733D5F">
        <w:rPr>
          <w:lang w:val="en-US"/>
        </w:rPr>
        <w:t xml:space="preserve"> </w:t>
      </w:r>
      <w:r w:rsidR="00733D5F" w:rsidRPr="00733D5F">
        <w:rPr>
          <w:lang w:val="en-US"/>
        </w:rPr>
        <w:t>Without prejudice to sub-section(1), the securities or other interest of any member in a public company shall be freely transferable:</w:t>
      </w:r>
      <w:r w:rsidR="00733D5F">
        <w:rPr>
          <w:lang w:val="en-US"/>
        </w:rPr>
        <w:t xml:space="preserve"> </w:t>
      </w:r>
      <w:r w:rsidR="00733D5F" w:rsidRPr="00733D5F">
        <w:rPr>
          <w:lang w:val="en-US"/>
        </w:rPr>
        <w:t>Provided that any contract or arrangement between two or more persons in respect of transfer of securities shall be enforceable as a contract</w:t>
      </w:r>
    </w:p>
    <w:p w:rsidR="00134BF3" w:rsidRDefault="00134BF3" w:rsidP="00134BF3">
      <w:pPr>
        <w:pStyle w:val="ListParagraph"/>
      </w:pPr>
    </w:p>
    <w:p w:rsidR="00134BF3" w:rsidRDefault="00134BF3" w:rsidP="00134BF3">
      <w:pPr>
        <w:pStyle w:val="ListParagraph"/>
        <w:numPr>
          <w:ilvl w:val="0"/>
          <w:numId w:val="2"/>
        </w:numPr>
      </w:pPr>
      <w:r>
        <w:t>LIC VS ESCORTS - The holder of the majority of the stock of a corporation have the power to appoint, by election, Directors of their choice and the power to regulate them by a resolution for their removal. And, an injunction cannot be</w:t>
      </w:r>
    </w:p>
    <w:p w:rsidR="00134BF3" w:rsidRDefault="00134BF3" w:rsidP="00134BF3">
      <w:pPr>
        <w:pStyle w:val="ListParagraph"/>
      </w:pPr>
      <w:r>
        <w:t>granted to restrain the holding of a general meeting to remove a director and appoint another. Every shareholder of a company has the right, subject to statutorily prescribed procedural and numerical requirements to call an extra ordinary general meeting in accordance with the provisions of the Companies Act, 1956. He cannot be restrained from calling a meeting and he is not bound to disclose the 918 reasons for the resolution proposed to be moved at the meeting. Nor are the reasons for the resolutions subject to judicial review. When a requisition is made by a shareholder calling for a general meeting of the company under the provisions of the companies Act validly to remove a director and appoint another, an injunction cannot be</w:t>
      </w:r>
    </w:p>
    <w:p w:rsidR="00134BF3" w:rsidRDefault="00134BF3" w:rsidP="00134BF3">
      <w:pPr>
        <w:pStyle w:val="ListParagraph"/>
      </w:pPr>
      <w:r>
        <w:t>granted by the Court to restrain the holding of a general meeting. Material facts- in explanatory note do not require the shareholders to disclose the reasons for the resolutions which they propose to move. Not bound to disclose reasons- has the same right to call an EGM and move a resolution to remove some Directors and</w:t>
      </w:r>
    </w:p>
    <w:p w:rsidR="00134BF3" w:rsidRPr="00134BF3" w:rsidRDefault="00134BF3" w:rsidP="00134BF3">
      <w:pPr>
        <w:pStyle w:val="ListParagraph"/>
      </w:pPr>
      <w:r>
        <w:t>appoint others.</w:t>
      </w:r>
    </w:p>
    <w:p w:rsidR="00CB52F9" w:rsidRPr="00E96245" w:rsidRDefault="00CB52F9" w:rsidP="00E96245">
      <w:pPr>
        <w:ind w:left="360"/>
        <w:rPr>
          <w:lang w:val="en-US"/>
        </w:rPr>
      </w:pPr>
    </w:p>
    <w:p w:rsidR="00BA7773" w:rsidRPr="00C413B0" w:rsidRDefault="00BA7773" w:rsidP="00BA7773">
      <w:pPr>
        <w:ind w:left="360"/>
      </w:pPr>
    </w:p>
    <w:p w:rsidR="00C413B0" w:rsidRPr="00374C02" w:rsidRDefault="00C413B0" w:rsidP="00C413B0">
      <w:pPr>
        <w:pStyle w:val="ListParagraph"/>
      </w:pPr>
    </w:p>
    <w:p w:rsidR="00374C02" w:rsidRPr="00374C02" w:rsidRDefault="00374C02" w:rsidP="00374C02">
      <w:pPr>
        <w:pStyle w:val="ListParagraph"/>
        <w:rPr>
          <w:lang w:val="en-US"/>
        </w:rPr>
      </w:pPr>
    </w:p>
    <w:sectPr w:rsidR="00374C02" w:rsidRPr="00374C02" w:rsidSect="000756C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96FBC"/>
    <w:multiLevelType w:val="hybridMultilevel"/>
    <w:tmpl w:val="D08E6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4B40E2"/>
    <w:multiLevelType w:val="hybridMultilevel"/>
    <w:tmpl w:val="D8DE38A8"/>
    <w:lvl w:ilvl="0" w:tplc="152CBC52">
      <w:start w:val="1"/>
      <w:numFmt w:val="bullet"/>
      <w:lvlText w:val=""/>
      <w:lvlJc w:val="left"/>
      <w:pPr>
        <w:tabs>
          <w:tab w:val="num" w:pos="720"/>
        </w:tabs>
        <w:ind w:left="720" w:hanging="360"/>
      </w:pPr>
      <w:rPr>
        <w:rFonts w:ascii="Wingdings" w:hAnsi="Wingdings" w:hint="default"/>
      </w:rPr>
    </w:lvl>
    <w:lvl w:ilvl="1" w:tplc="2E0A85D6" w:tentative="1">
      <w:start w:val="1"/>
      <w:numFmt w:val="bullet"/>
      <w:lvlText w:val=""/>
      <w:lvlJc w:val="left"/>
      <w:pPr>
        <w:tabs>
          <w:tab w:val="num" w:pos="1440"/>
        </w:tabs>
        <w:ind w:left="1440" w:hanging="360"/>
      </w:pPr>
      <w:rPr>
        <w:rFonts w:ascii="Wingdings" w:hAnsi="Wingdings" w:hint="default"/>
      </w:rPr>
    </w:lvl>
    <w:lvl w:ilvl="2" w:tplc="C69A7DB6" w:tentative="1">
      <w:start w:val="1"/>
      <w:numFmt w:val="bullet"/>
      <w:lvlText w:val=""/>
      <w:lvlJc w:val="left"/>
      <w:pPr>
        <w:tabs>
          <w:tab w:val="num" w:pos="2160"/>
        </w:tabs>
        <w:ind w:left="2160" w:hanging="360"/>
      </w:pPr>
      <w:rPr>
        <w:rFonts w:ascii="Wingdings" w:hAnsi="Wingdings" w:hint="default"/>
      </w:rPr>
    </w:lvl>
    <w:lvl w:ilvl="3" w:tplc="29949590" w:tentative="1">
      <w:start w:val="1"/>
      <w:numFmt w:val="bullet"/>
      <w:lvlText w:val=""/>
      <w:lvlJc w:val="left"/>
      <w:pPr>
        <w:tabs>
          <w:tab w:val="num" w:pos="2880"/>
        </w:tabs>
        <w:ind w:left="2880" w:hanging="360"/>
      </w:pPr>
      <w:rPr>
        <w:rFonts w:ascii="Wingdings" w:hAnsi="Wingdings" w:hint="default"/>
      </w:rPr>
    </w:lvl>
    <w:lvl w:ilvl="4" w:tplc="45D20138" w:tentative="1">
      <w:start w:val="1"/>
      <w:numFmt w:val="bullet"/>
      <w:lvlText w:val=""/>
      <w:lvlJc w:val="left"/>
      <w:pPr>
        <w:tabs>
          <w:tab w:val="num" w:pos="3600"/>
        </w:tabs>
        <w:ind w:left="3600" w:hanging="360"/>
      </w:pPr>
      <w:rPr>
        <w:rFonts w:ascii="Wingdings" w:hAnsi="Wingdings" w:hint="default"/>
      </w:rPr>
    </w:lvl>
    <w:lvl w:ilvl="5" w:tplc="173831C8" w:tentative="1">
      <w:start w:val="1"/>
      <w:numFmt w:val="bullet"/>
      <w:lvlText w:val=""/>
      <w:lvlJc w:val="left"/>
      <w:pPr>
        <w:tabs>
          <w:tab w:val="num" w:pos="4320"/>
        </w:tabs>
        <w:ind w:left="4320" w:hanging="360"/>
      </w:pPr>
      <w:rPr>
        <w:rFonts w:ascii="Wingdings" w:hAnsi="Wingdings" w:hint="default"/>
      </w:rPr>
    </w:lvl>
    <w:lvl w:ilvl="6" w:tplc="3F762008" w:tentative="1">
      <w:start w:val="1"/>
      <w:numFmt w:val="bullet"/>
      <w:lvlText w:val=""/>
      <w:lvlJc w:val="left"/>
      <w:pPr>
        <w:tabs>
          <w:tab w:val="num" w:pos="5040"/>
        </w:tabs>
        <w:ind w:left="5040" w:hanging="360"/>
      </w:pPr>
      <w:rPr>
        <w:rFonts w:ascii="Wingdings" w:hAnsi="Wingdings" w:hint="default"/>
      </w:rPr>
    </w:lvl>
    <w:lvl w:ilvl="7" w:tplc="2CFAFB26" w:tentative="1">
      <w:start w:val="1"/>
      <w:numFmt w:val="bullet"/>
      <w:lvlText w:val=""/>
      <w:lvlJc w:val="left"/>
      <w:pPr>
        <w:tabs>
          <w:tab w:val="num" w:pos="5760"/>
        </w:tabs>
        <w:ind w:left="5760" w:hanging="360"/>
      </w:pPr>
      <w:rPr>
        <w:rFonts w:ascii="Wingdings" w:hAnsi="Wingdings" w:hint="default"/>
      </w:rPr>
    </w:lvl>
    <w:lvl w:ilvl="8" w:tplc="A44C8F0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B93A1D"/>
    <w:multiLevelType w:val="hybridMultilevel"/>
    <w:tmpl w:val="141A9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C02"/>
    <w:rsid w:val="000756CD"/>
    <w:rsid w:val="000E1645"/>
    <w:rsid w:val="001336D5"/>
    <w:rsid w:val="00134BF3"/>
    <w:rsid w:val="001C7206"/>
    <w:rsid w:val="00286317"/>
    <w:rsid w:val="003646D7"/>
    <w:rsid w:val="00374C02"/>
    <w:rsid w:val="004E05AF"/>
    <w:rsid w:val="006715EB"/>
    <w:rsid w:val="00733D5F"/>
    <w:rsid w:val="008837B3"/>
    <w:rsid w:val="008853BF"/>
    <w:rsid w:val="00BA7773"/>
    <w:rsid w:val="00C413B0"/>
    <w:rsid w:val="00C559FC"/>
    <w:rsid w:val="00CB52F9"/>
    <w:rsid w:val="00D837ED"/>
    <w:rsid w:val="00E96245"/>
    <w:rsid w:val="00FC094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89D7B"/>
  <w15:chartTrackingRefBased/>
  <w15:docId w15:val="{35085924-7001-8647-980F-5D64A4256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C02"/>
    <w:pPr>
      <w:ind w:left="720"/>
      <w:contextualSpacing/>
    </w:pPr>
  </w:style>
  <w:style w:type="paragraph" w:styleId="NormalWeb">
    <w:name w:val="Normal (Web)"/>
    <w:basedOn w:val="Normal"/>
    <w:uiPriority w:val="99"/>
    <w:semiHidden/>
    <w:unhideWhenUsed/>
    <w:rsid w:val="00374C0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207940">
      <w:bodyDiv w:val="1"/>
      <w:marLeft w:val="0"/>
      <w:marRight w:val="0"/>
      <w:marTop w:val="0"/>
      <w:marBottom w:val="0"/>
      <w:divBdr>
        <w:top w:val="none" w:sz="0" w:space="0" w:color="auto"/>
        <w:left w:val="none" w:sz="0" w:space="0" w:color="auto"/>
        <w:bottom w:val="none" w:sz="0" w:space="0" w:color="auto"/>
        <w:right w:val="none" w:sz="0" w:space="0" w:color="auto"/>
      </w:divBdr>
    </w:div>
    <w:div w:id="569462722">
      <w:bodyDiv w:val="1"/>
      <w:marLeft w:val="0"/>
      <w:marRight w:val="0"/>
      <w:marTop w:val="0"/>
      <w:marBottom w:val="0"/>
      <w:divBdr>
        <w:top w:val="none" w:sz="0" w:space="0" w:color="auto"/>
        <w:left w:val="none" w:sz="0" w:space="0" w:color="auto"/>
        <w:bottom w:val="none" w:sz="0" w:space="0" w:color="auto"/>
        <w:right w:val="none" w:sz="0" w:space="0" w:color="auto"/>
      </w:divBdr>
    </w:div>
    <w:div w:id="1701281432">
      <w:bodyDiv w:val="1"/>
      <w:marLeft w:val="0"/>
      <w:marRight w:val="0"/>
      <w:marTop w:val="0"/>
      <w:marBottom w:val="0"/>
      <w:divBdr>
        <w:top w:val="none" w:sz="0" w:space="0" w:color="auto"/>
        <w:left w:val="none" w:sz="0" w:space="0" w:color="auto"/>
        <w:bottom w:val="none" w:sz="0" w:space="0" w:color="auto"/>
        <w:right w:val="none" w:sz="0" w:space="0" w:color="auto"/>
      </w:divBdr>
      <w:divsChild>
        <w:div w:id="1419981093">
          <w:marLeft w:val="504"/>
          <w:marRight w:val="0"/>
          <w:marTop w:val="140"/>
          <w:marBottom w:val="0"/>
          <w:divBdr>
            <w:top w:val="none" w:sz="0" w:space="0" w:color="auto"/>
            <w:left w:val="none" w:sz="0" w:space="0" w:color="auto"/>
            <w:bottom w:val="none" w:sz="0" w:space="0" w:color="auto"/>
            <w:right w:val="none" w:sz="0" w:space="0" w:color="auto"/>
          </w:divBdr>
        </w:div>
      </w:divsChild>
    </w:div>
    <w:div w:id="1924947792">
      <w:bodyDiv w:val="1"/>
      <w:marLeft w:val="0"/>
      <w:marRight w:val="0"/>
      <w:marTop w:val="0"/>
      <w:marBottom w:val="0"/>
      <w:divBdr>
        <w:top w:val="none" w:sz="0" w:space="0" w:color="auto"/>
        <w:left w:val="none" w:sz="0" w:space="0" w:color="auto"/>
        <w:bottom w:val="none" w:sz="0" w:space="0" w:color="auto"/>
        <w:right w:val="none" w:sz="0" w:space="0" w:color="auto"/>
      </w:divBdr>
      <w:divsChild>
        <w:div w:id="245235808">
          <w:marLeft w:val="360"/>
          <w:marRight w:val="0"/>
          <w:marTop w:val="200"/>
          <w:marBottom w:val="0"/>
          <w:divBdr>
            <w:top w:val="none" w:sz="0" w:space="0" w:color="auto"/>
            <w:left w:val="none" w:sz="0" w:space="0" w:color="auto"/>
            <w:bottom w:val="none" w:sz="0" w:space="0" w:color="auto"/>
            <w:right w:val="none" w:sz="0" w:space="0" w:color="auto"/>
          </w:divBdr>
        </w:div>
        <w:div w:id="1870557668">
          <w:marLeft w:val="360"/>
          <w:marRight w:val="0"/>
          <w:marTop w:val="200"/>
          <w:marBottom w:val="0"/>
          <w:divBdr>
            <w:top w:val="none" w:sz="0" w:space="0" w:color="auto"/>
            <w:left w:val="none" w:sz="0" w:space="0" w:color="auto"/>
            <w:bottom w:val="none" w:sz="0" w:space="0" w:color="auto"/>
            <w:right w:val="none" w:sz="0" w:space="0" w:color="auto"/>
          </w:divBdr>
        </w:div>
        <w:div w:id="117187112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2610</Words>
  <Characters>14883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ARYAN SURAJ SHAH (17JGLS)</dc:creator>
  <cp:keywords/>
  <dc:description/>
  <cp:lastModifiedBy>ARCHIT UNIYAL (17JGLS)</cp:lastModifiedBy>
  <cp:revision>2</cp:revision>
  <dcterms:created xsi:type="dcterms:W3CDTF">2020-04-16T07:54:00Z</dcterms:created>
  <dcterms:modified xsi:type="dcterms:W3CDTF">2020-04-16T07:54:00Z</dcterms:modified>
</cp:coreProperties>
</file>