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0C5B6" w14:textId="713EC337" w:rsidR="00D8699D" w:rsidRPr="00D8699D" w:rsidRDefault="00D8699D" w:rsidP="00D8699D">
      <w:pPr>
        <w:rPr>
          <w:rFonts w:ascii="Times New Roman" w:hAnsi="Times New Roman" w:cs="Times New Roman"/>
          <w:b/>
          <w:bCs/>
          <w:sz w:val="36"/>
          <w:szCs w:val="36"/>
        </w:rPr>
      </w:pPr>
      <w:bookmarkStart w:id="0" w:name="_Hlk37933984"/>
      <w:bookmarkStart w:id="1" w:name="_GoBack"/>
      <w:r w:rsidRPr="00D8699D">
        <w:rPr>
          <w:rFonts w:ascii="Times New Roman" w:hAnsi="Times New Roman" w:cs="Times New Roman"/>
          <w:b/>
          <w:bCs/>
          <w:sz w:val="36"/>
          <w:szCs w:val="36"/>
        </w:rPr>
        <w:t xml:space="preserve">CPC </w:t>
      </w:r>
      <w:r w:rsidRPr="00D8699D">
        <w:rPr>
          <w:rFonts w:ascii="Times New Roman" w:hAnsi="Times New Roman" w:cs="Times New Roman"/>
          <w:b/>
          <w:bCs/>
          <w:sz w:val="36"/>
          <w:szCs w:val="36"/>
        </w:rPr>
        <w:t>Cases – 5</w:t>
      </w:r>
      <w:r w:rsidRPr="00D8699D">
        <w:rPr>
          <w:rFonts w:ascii="Times New Roman" w:hAnsi="Times New Roman" w:cs="Times New Roman"/>
          <w:b/>
          <w:bCs/>
          <w:sz w:val="36"/>
          <w:szCs w:val="36"/>
          <w:vertAlign w:val="superscript"/>
        </w:rPr>
        <w:t>th</w:t>
      </w:r>
      <w:r w:rsidRPr="00D8699D">
        <w:rPr>
          <w:rFonts w:ascii="Times New Roman" w:hAnsi="Times New Roman" w:cs="Times New Roman"/>
          <w:b/>
          <w:bCs/>
          <w:sz w:val="36"/>
          <w:szCs w:val="36"/>
        </w:rPr>
        <w:t xml:space="preserve"> Semester (OP Jindal Global University Syllabus)</w:t>
      </w:r>
    </w:p>
    <w:bookmarkEnd w:id="1"/>
    <w:p w14:paraId="058808E6" w14:textId="77777777" w:rsidR="00D8699D" w:rsidRPr="00D8699D" w:rsidRDefault="00D8699D" w:rsidP="00D8699D">
      <w:pPr>
        <w:pStyle w:val="ListParagraph"/>
        <w:ind w:left="360"/>
        <w:rPr>
          <w:rFonts w:ascii="Times New Roman" w:hAnsi="Times New Roman" w:cs="Times New Roman"/>
          <w:b/>
          <w:bCs/>
          <w:sz w:val="36"/>
          <w:szCs w:val="36"/>
        </w:rPr>
      </w:pPr>
    </w:p>
    <w:bookmarkEnd w:id="0"/>
    <w:p w14:paraId="77ED9F3B" w14:textId="058B4BF0" w:rsidR="006F7716" w:rsidRPr="00193D12" w:rsidRDefault="00193D12" w:rsidP="00952130">
      <w:pPr>
        <w:pStyle w:val="ListParagraph"/>
        <w:numPr>
          <w:ilvl w:val="0"/>
          <w:numId w:val="2"/>
        </w:numPr>
        <w:tabs>
          <w:tab w:val="left" w:pos="1350"/>
        </w:tabs>
        <w:spacing w:after="100" w:afterAutospacing="1" w:line="256" w:lineRule="auto"/>
        <w:ind w:left="0" w:hanging="180"/>
        <w:rPr>
          <w:rFonts w:ascii="Times New Roman" w:hAnsi="Times New Roman" w:cs="Times New Roman"/>
          <w:b/>
          <w:i/>
          <w:sz w:val="24"/>
          <w:szCs w:val="24"/>
        </w:rPr>
      </w:pPr>
      <w:r>
        <w:rPr>
          <w:rFonts w:ascii="Times New Roman" w:hAnsi="Times New Roman" w:cs="Times New Roman"/>
          <w:b/>
          <w:i/>
          <w:sz w:val="24"/>
          <w:szCs w:val="24"/>
        </w:rPr>
        <w:t>Territorial Jurisdiction:</w:t>
      </w:r>
    </w:p>
    <w:p w14:paraId="322C09A8" w14:textId="551C863C" w:rsidR="006F7716" w:rsidRPr="00667FDF" w:rsidRDefault="006F7716" w:rsidP="00952130">
      <w:pPr>
        <w:pStyle w:val="NormalWeb"/>
        <w:rPr>
          <w:color w:val="000000"/>
        </w:rPr>
      </w:pPr>
      <w:r w:rsidRPr="00667FDF">
        <w:rPr>
          <w:color w:val="000000"/>
        </w:rPr>
        <w:t xml:space="preserve">1. </w:t>
      </w:r>
      <w:proofErr w:type="spellStart"/>
      <w:r w:rsidRPr="00667FDF">
        <w:rPr>
          <w:color w:val="000000"/>
        </w:rPr>
        <w:t>Khandesh</w:t>
      </w:r>
      <w:proofErr w:type="spellEnd"/>
      <w:r w:rsidRPr="00667FDF">
        <w:rPr>
          <w:color w:val="000000"/>
        </w:rPr>
        <w:t xml:space="preserve"> Spinning &amp; Weaving Mills Ltd. v. </w:t>
      </w:r>
      <w:proofErr w:type="spellStart"/>
      <w:r w:rsidRPr="00667FDF">
        <w:rPr>
          <w:color w:val="000000"/>
        </w:rPr>
        <w:t>Moolji</w:t>
      </w:r>
      <w:proofErr w:type="spellEnd"/>
      <w:r w:rsidRPr="00667FDF">
        <w:rPr>
          <w:color w:val="000000"/>
        </w:rPr>
        <w:t xml:space="preserve"> </w:t>
      </w:r>
      <w:proofErr w:type="spellStart"/>
      <w:r w:rsidRPr="00667FDF">
        <w:rPr>
          <w:color w:val="000000"/>
        </w:rPr>
        <w:t>Jaitha</w:t>
      </w:r>
      <w:proofErr w:type="spellEnd"/>
      <w:r w:rsidRPr="00667FDF">
        <w:rPr>
          <w:color w:val="000000"/>
        </w:rPr>
        <w:t xml:space="preserve"> &amp; Co. 1948 (50) Bom LR 49</w:t>
      </w:r>
      <w:r w:rsidR="00C334CD">
        <w:rPr>
          <w:color w:val="000000"/>
        </w:rPr>
        <w:t xml:space="preserve"> - </w:t>
      </w:r>
      <w:r w:rsidR="00C334CD" w:rsidRPr="00C334CD">
        <w:rPr>
          <w:color w:val="000000"/>
        </w:rPr>
        <w:t>The first reason was that the Respondent company’s head office was in Bombay so the courts there had jurisdiction under the Code. Secondly, both parties had signed the agreement and hence agreed upon the exclusivity clause which stated that "the court of law in the city of Bombay alone shall have jurisdiction to adjudicate” upon the contract.</w:t>
      </w:r>
    </w:p>
    <w:p w14:paraId="6C7AA1C0" w14:textId="77777777" w:rsidR="00C334CD" w:rsidRDefault="00287D4C" w:rsidP="00C334CD">
      <w:pPr>
        <w:pStyle w:val="NormalWeb"/>
        <w:rPr>
          <w:color w:val="000000"/>
        </w:rPr>
      </w:pPr>
      <w:r w:rsidRPr="00667FDF">
        <w:rPr>
          <w:color w:val="000000"/>
        </w:rPr>
        <w:t xml:space="preserve">2. Harshad </w:t>
      </w:r>
      <w:proofErr w:type="spellStart"/>
      <w:r w:rsidRPr="00667FDF">
        <w:rPr>
          <w:color w:val="000000"/>
        </w:rPr>
        <w:t>Chimmanlal</w:t>
      </w:r>
      <w:proofErr w:type="spellEnd"/>
      <w:r w:rsidRPr="00667FDF">
        <w:rPr>
          <w:color w:val="000000"/>
        </w:rPr>
        <w:t xml:space="preserve"> Modi v. DLF Universal, 2005 (7) SCC 791</w:t>
      </w:r>
      <w:r w:rsidR="00C334CD">
        <w:rPr>
          <w:color w:val="000000"/>
        </w:rPr>
        <w:t xml:space="preserve"> - </w:t>
      </w:r>
      <w:r w:rsidR="00C334CD" w:rsidRPr="00C334CD">
        <w:rPr>
          <w:color w:val="000000"/>
        </w:rPr>
        <w:t>The question was whether Delhi Court had jurisdiction as per Section 20, because the question related to specific performance of the contract? Or whether Section 16 will be considered to decide the jurisdiction as it was the question of immovable property?</w:t>
      </w:r>
    </w:p>
    <w:p w14:paraId="5A18E6A2" w14:textId="27AB2A18" w:rsidR="00287D4C" w:rsidRPr="00667FDF" w:rsidRDefault="00C334CD" w:rsidP="00C334CD">
      <w:pPr>
        <w:pStyle w:val="NormalWeb"/>
        <w:rPr>
          <w:color w:val="000000"/>
        </w:rPr>
      </w:pPr>
      <w:r>
        <w:rPr>
          <w:color w:val="000000"/>
        </w:rPr>
        <w:t xml:space="preserve"> </w:t>
      </w:r>
      <w:r w:rsidRPr="00C334CD">
        <w:rPr>
          <w:color w:val="000000"/>
        </w:rPr>
        <w:t xml:space="preserve">As per S. 16 of the CPC, a suit can be </w:t>
      </w:r>
      <w:proofErr w:type="spellStart"/>
      <w:r w:rsidRPr="00C334CD">
        <w:rPr>
          <w:color w:val="000000"/>
        </w:rPr>
        <w:t>institutied</w:t>
      </w:r>
      <w:proofErr w:type="spellEnd"/>
      <w:r w:rsidRPr="00C334CD">
        <w:rPr>
          <w:color w:val="000000"/>
        </w:rPr>
        <w:t xml:space="preserve"> where the property is</w:t>
      </w:r>
      <w:r>
        <w:rPr>
          <w:color w:val="000000"/>
        </w:rPr>
        <w:t xml:space="preserve"> </w:t>
      </w:r>
      <w:r w:rsidRPr="00C334CD">
        <w:rPr>
          <w:color w:val="000000"/>
        </w:rPr>
        <w:t>situated.</w:t>
      </w:r>
      <w:r>
        <w:rPr>
          <w:color w:val="000000"/>
        </w:rPr>
        <w:t xml:space="preserve"> </w:t>
      </w:r>
      <w:r w:rsidRPr="00C334CD">
        <w:rPr>
          <w:color w:val="000000"/>
        </w:rPr>
        <w:t>1. Since the suit was for specific performance of agreement and the possession of</w:t>
      </w:r>
      <w:r>
        <w:rPr>
          <w:color w:val="000000"/>
        </w:rPr>
        <w:t xml:space="preserve"> </w:t>
      </w:r>
      <w:r w:rsidRPr="00C334CD">
        <w:rPr>
          <w:color w:val="000000"/>
        </w:rPr>
        <w:t xml:space="preserve">immovable property situated outside the </w:t>
      </w:r>
      <w:proofErr w:type="spellStart"/>
      <w:r w:rsidRPr="00C334CD">
        <w:rPr>
          <w:color w:val="000000"/>
        </w:rPr>
        <w:t>jurisdction</w:t>
      </w:r>
      <w:proofErr w:type="spellEnd"/>
      <w:r w:rsidRPr="00C334CD">
        <w:rPr>
          <w:color w:val="000000"/>
        </w:rPr>
        <w:t xml:space="preserve"> of Delhi Court, the trial court</w:t>
      </w:r>
      <w:r>
        <w:rPr>
          <w:color w:val="000000"/>
        </w:rPr>
        <w:t xml:space="preserve"> </w:t>
      </w:r>
      <w:r w:rsidRPr="00C334CD">
        <w:rPr>
          <w:color w:val="000000"/>
        </w:rPr>
        <w:t>was right in holding that it had no jurisdiction.</w:t>
      </w:r>
    </w:p>
    <w:p w14:paraId="28857FA3" w14:textId="13716730" w:rsidR="00287D4C" w:rsidRPr="00667FDF" w:rsidRDefault="00A95E17" w:rsidP="00952130">
      <w:pPr>
        <w:pStyle w:val="NormalWeb"/>
        <w:rPr>
          <w:color w:val="000000"/>
        </w:rPr>
      </w:pPr>
      <w:r w:rsidRPr="00667FDF">
        <w:rPr>
          <w:color w:val="000000"/>
        </w:rPr>
        <w:t xml:space="preserve">3. </w:t>
      </w:r>
      <w:proofErr w:type="spellStart"/>
      <w:r w:rsidRPr="00667FDF">
        <w:rPr>
          <w:color w:val="000000"/>
        </w:rPr>
        <w:t>Hakkam</w:t>
      </w:r>
      <w:proofErr w:type="spellEnd"/>
      <w:r w:rsidRPr="00667FDF">
        <w:rPr>
          <w:color w:val="000000"/>
        </w:rPr>
        <w:t xml:space="preserve"> Singh v. Gammon India AIR 1971 SC 740</w:t>
      </w:r>
      <w:r w:rsidR="00C334CD">
        <w:rPr>
          <w:color w:val="000000"/>
        </w:rPr>
        <w:t xml:space="preserve"> -</w:t>
      </w:r>
      <w:r w:rsidR="00B765FC" w:rsidRPr="00B765FC">
        <w:rPr>
          <w:color w:val="000000"/>
        </w:rPr>
        <w:t>: It was held that the clause restricting jurisdiction to Bombay courts was valid as in any event, Gammon India had its principal office in Bombay, and therefore, was liable to be sued there. The parties can, by agreement, bind themselves to the jurisdiction to one court, but only in case two or more courts have jurisdiction, under the law, to try their dispute, and such agreement shall not be against public policy.</w:t>
      </w:r>
    </w:p>
    <w:p w14:paraId="307E3608" w14:textId="434213BF" w:rsidR="00A95E17" w:rsidRPr="00667FDF" w:rsidRDefault="00A95E17" w:rsidP="00952130">
      <w:pPr>
        <w:pStyle w:val="NormalWeb"/>
        <w:rPr>
          <w:color w:val="000000"/>
        </w:rPr>
      </w:pPr>
      <w:r w:rsidRPr="00667FDF">
        <w:rPr>
          <w:color w:val="000000"/>
        </w:rPr>
        <w:t xml:space="preserve">4. ABC </w:t>
      </w:r>
      <w:proofErr w:type="spellStart"/>
      <w:r w:rsidRPr="00667FDF">
        <w:rPr>
          <w:color w:val="000000"/>
        </w:rPr>
        <w:t>Laminart</w:t>
      </w:r>
      <w:proofErr w:type="spellEnd"/>
      <w:r w:rsidRPr="00667FDF">
        <w:rPr>
          <w:color w:val="000000"/>
        </w:rPr>
        <w:t xml:space="preserve"> v. AP Agencies, Salem, (1989) 2 SCC 163</w:t>
      </w:r>
      <w:r w:rsidR="00B765FC">
        <w:rPr>
          <w:color w:val="000000"/>
        </w:rPr>
        <w:t xml:space="preserve"> - </w:t>
      </w:r>
      <w:r w:rsidR="00B765FC" w:rsidRPr="00B765FC">
        <w:rPr>
          <w:color w:val="000000"/>
        </w:rPr>
        <w:t xml:space="preserve">Dismissing the appeal, the Supreme Court held- both </w:t>
      </w:r>
      <w:proofErr w:type="spellStart"/>
      <w:r w:rsidR="00B765FC" w:rsidRPr="00B765FC">
        <w:rPr>
          <w:color w:val="000000"/>
        </w:rPr>
        <w:t>Kaira</w:t>
      </w:r>
      <w:proofErr w:type="spellEnd"/>
      <w:r w:rsidR="00B765FC" w:rsidRPr="00B765FC">
        <w:rPr>
          <w:color w:val="000000"/>
        </w:rPr>
        <w:t xml:space="preserve"> and Salem had connecting factors to file a suit with respect to the suit as the former was where the contract was made, and latter was where the yarn was delivered to the respondent. However, the clause in the contract had no exclusionary words, therefore, jurisdiction of Salem could not be said to be clearly, unambiguously and explicitly excluded. Mention of jurisdiction of one court would not ipso facto take away jurisdiction of other courts. Had there been use of words like ‘alone’, ‘only’, ‘exclusive’, and the like, there might be no difficulty in construction of the ouster clause.</w:t>
      </w:r>
    </w:p>
    <w:p w14:paraId="3297628C" w14:textId="0C4CC69A" w:rsidR="00A95E17" w:rsidRPr="00505467" w:rsidRDefault="00A95E17" w:rsidP="00A95E17">
      <w:pPr>
        <w:pStyle w:val="NormalWeb"/>
        <w:rPr>
          <w:color w:val="000000"/>
        </w:rPr>
      </w:pPr>
      <w:r w:rsidRPr="00667FDF">
        <w:rPr>
          <w:color w:val="000000"/>
        </w:rPr>
        <w:t>5. Swastik Gases v. IOCL, 2013 (9) SCC 32</w:t>
      </w:r>
      <w:r w:rsidR="00B765FC">
        <w:rPr>
          <w:color w:val="000000"/>
        </w:rPr>
        <w:t xml:space="preserve"> - </w:t>
      </w:r>
      <w:r w:rsidR="00B765FC" w:rsidRPr="00B765FC">
        <w:rPr>
          <w:color w:val="000000"/>
        </w:rPr>
        <w:t>It was held that the effect of the jurisdiction clause provides that the intention of the parties- by having this clause in the agreement- is clear and unambiguous that the courts at Kolkata shall have jurisdiction which means that the courts at Kolkata alone shall have jurisdiction. In the clause, there is nothing to indicate to the contrary, therefore, an inference may be drawn that the parties intended to exclude all other courts. By making a provision that the agreement is subject to the jurisdiction of the courts at Kolkata, the parties have impliedly excluded the jurisdiction of all other courts. Hence, only the courts in Kolkata had jurisdiction to entertain the disputes between the parties.</w:t>
      </w:r>
    </w:p>
    <w:p w14:paraId="4D36ADD0" w14:textId="77777777" w:rsidR="00056BB2" w:rsidRDefault="00056BB2" w:rsidP="006112EA">
      <w:pPr>
        <w:pStyle w:val="NormalWeb"/>
        <w:rPr>
          <w:color w:val="000000"/>
        </w:rPr>
      </w:pPr>
    </w:p>
    <w:p w14:paraId="75E0F311" w14:textId="5F3A48AB" w:rsidR="007601C3" w:rsidRPr="007601C3" w:rsidRDefault="007601C3" w:rsidP="006112EA">
      <w:pPr>
        <w:pStyle w:val="ListParagraph"/>
        <w:numPr>
          <w:ilvl w:val="0"/>
          <w:numId w:val="2"/>
        </w:numPr>
        <w:spacing w:line="256" w:lineRule="auto"/>
        <w:ind w:left="0" w:hanging="187"/>
        <w:rPr>
          <w:rFonts w:ascii="Times New Roman" w:hAnsi="Times New Roman" w:cs="Times New Roman"/>
          <w:b/>
          <w:sz w:val="24"/>
          <w:szCs w:val="24"/>
        </w:rPr>
      </w:pPr>
      <w:r>
        <w:rPr>
          <w:rFonts w:ascii="Times New Roman" w:hAnsi="Times New Roman" w:cs="Times New Roman"/>
          <w:b/>
          <w:sz w:val="24"/>
          <w:szCs w:val="24"/>
        </w:rPr>
        <w:t>Subject Matter Jurisdiction:</w:t>
      </w:r>
    </w:p>
    <w:p w14:paraId="3A7C6D65" w14:textId="49AFBC8B" w:rsidR="00A95E17" w:rsidRPr="00667FDF" w:rsidRDefault="00A95E17" w:rsidP="006112EA">
      <w:pPr>
        <w:pStyle w:val="NormalWeb"/>
        <w:rPr>
          <w:color w:val="000000"/>
        </w:rPr>
      </w:pPr>
      <w:r w:rsidRPr="00667FDF">
        <w:rPr>
          <w:color w:val="000000"/>
        </w:rPr>
        <w:t xml:space="preserve">6. </w:t>
      </w:r>
      <w:proofErr w:type="spellStart"/>
      <w:r w:rsidRPr="00667FDF">
        <w:rPr>
          <w:color w:val="000000"/>
        </w:rPr>
        <w:t>Dhulabhai</w:t>
      </w:r>
      <w:proofErr w:type="spellEnd"/>
      <w:r w:rsidRPr="00667FDF">
        <w:rPr>
          <w:color w:val="000000"/>
        </w:rPr>
        <w:t xml:space="preserve"> v. State of M.P. 1968 (3) SCR 662</w:t>
      </w:r>
      <w:r w:rsidR="00A9607A">
        <w:rPr>
          <w:color w:val="000000"/>
        </w:rPr>
        <w:t xml:space="preserve"> - </w:t>
      </w:r>
      <w:r w:rsidR="00056BB2">
        <w:rPr>
          <w:color w:val="000000"/>
        </w:rPr>
        <w:t xml:space="preserve"> </w:t>
      </w:r>
      <w:r w:rsidR="00056BB2" w:rsidRPr="00056BB2">
        <w:rPr>
          <w:color w:val="000000"/>
        </w:rPr>
        <w:t>conditions wherein the jurisdiction of Civil Courts shall be barred</w:t>
      </w:r>
      <w:r w:rsidR="00056BB2">
        <w:rPr>
          <w:color w:val="000000"/>
        </w:rPr>
        <w:t xml:space="preserve"> - </w:t>
      </w:r>
      <w:r w:rsidR="006112EA" w:rsidRPr="006112EA">
        <w:rPr>
          <w:color w:val="000000"/>
        </w:rPr>
        <w:t>Where the statute gives finality to the orders of the special Tribunals, the civil courts’ jurisdiction must be held to be excluded.</w:t>
      </w:r>
      <w:r w:rsidR="00056BB2">
        <w:rPr>
          <w:color w:val="000000"/>
        </w:rPr>
        <w:t xml:space="preserve"> </w:t>
      </w:r>
      <w:r w:rsidR="006112EA" w:rsidRPr="006112EA">
        <w:rPr>
          <w:color w:val="000000"/>
        </w:rPr>
        <w:t>Where there is an express bar of the jurisdiction of the court, an examination of the scheme of a particular Act to find the adequacy or sufficiency of the remedies provided may be relevant.</w:t>
      </w:r>
      <w:r w:rsidR="00056BB2">
        <w:rPr>
          <w:color w:val="000000"/>
        </w:rPr>
        <w:t xml:space="preserve"> </w:t>
      </w:r>
      <w:r w:rsidR="006112EA" w:rsidRPr="006112EA">
        <w:rPr>
          <w:color w:val="000000"/>
        </w:rPr>
        <w:t>Challenge to provisions of a particular act as ultra vires cannot be brought before Tribunals constituted under that Act.</w:t>
      </w:r>
      <w:r w:rsidR="00056BB2">
        <w:rPr>
          <w:color w:val="000000"/>
        </w:rPr>
        <w:t xml:space="preserve"> </w:t>
      </w:r>
      <w:r w:rsidR="006112EA" w:rsidRPr="006112EA">
        <w:rPr>
          <w:color w:val="000000"/>
        </w:rPr>
        <w:t>When a provision is declared unconstitutional or the constitutionality of any provision is to be challenged, a suit is open.</w:t>
      </w:r>
    </w:p>
    <w:p w14:paraId="3E0A7E34" w14:textId="71EC72A9" w:rsidR="00A95E17" w:rsidRPr="00667FDF" w:rsidRDefault="00A95E17" w:rsidP="00A95E17">
      <w:pPr>
        <w:pStyle w:val="NormalWeb"/>
        <w:rPr>
          <w:color w:val="000000"/>
        </w:rPr>
      </w:pPr>
      <w:r w:rsidRPr="00667FDF">
        <w:rPr>
          <w:color w:val="000000"/>
        </w:rPr>
        <w:t>7. Nahar Industrial Enterprises Ltd. v. HSBC (2009) 8 SCC 646</w:t>
      </w:r>
      <w:r w:rsidR="00056BB2">
        <w:rPr>
          <w:color w:val="000000"/>
        </w:rPr>
        <w:t xml:space="preserve"> - </w:t>
      </w:r>
      <w:r w:rsidR="00056BB2" w:rsidRPr="00056BB2">
        <w:rPr>
          <w:color w:val="000000"/>
        </w:rPr>
        <w:t>whether the High Court or the Supreme Court has the power to transfer the suit from Civil Court to the Debt Recovery Tribunal</w:t>
      </w:r>
      <w:r w:rsidR="00056BB2">
        <w:rPr>
          <w:color w:val="000000"/>
        </w:rPr>
        <w:t xml:space="preserve"> -  </w:t>
      </w:r>
      <w:r w:rsidR="00056BB2" w:rsidRPr="00056BB2">
        <w:rPr>
          <w:color w:val="000000"/>
        </w:rPr>
        <w:t>The court held that the DRT was constituted for a specific purpose laid down by its statute. Entire focus of the proceedings before DRT centers around the legally recoverable dues of the bank, and hence, it is empowered to grant a relief limited to the same subject matter. Whereas civil courts have wide powers to pass a decree granting relief with respect to a wide variety of civil claims. Hence, DRT must not be considered a civil court. Also, the provisions from Section 22 to 25 of the CPC are exhaustive in nature. Consequently, a suit can only be transferred from a civil court to another. The transfer order of High Court was therefore, dismissed and it was decided that both the questions- validity of contract and recovery of dues must be dealt with by appropriate forums i.e. the civil court and the DRT respectively.</w:t>
      </w:r>
    </w:p>
    <w:p w14:paraId="05FD979E" w14:textId="5A02B956" w:rsidR="00D912CE" w:rsidRDefault="00A95E17" w:rsidP="00D912CE">
      <w:pPr>
        <w:pStyle w:val="NormalWeb"/>
        <w:rPr>
          <w:color w:val="000000"/>
        </w:rPr>
      </w:pPr>
      <w:r w:rsidRPr="00667FDF">
        <w:rPr>
          <w:color w:val="000000"/>
        </w:rPr>
        <w:t>8. CDS Financial v. BPL Communications (2004) 121 Comp Cas 374</w:t>
      </w:r>
      <w:r w:rsidR="00056BB2">
        <w:rPr>
          <w:color w:val="000000"/>
        </w:rPr>
        <w:t xml:space="preserve"> - </w:t>
      </w:r>
      <w:r w:rsidR="00707A13" w:rsidRPr="00707A13">
        <w:rPr>
          <w:color w:val="000000"/>
        </w:rPr>
        <w:t>Whether civil courts have jurisdiction to try a matter for which a special statute is incorporated for the purpose of granting relief?</w:t>
      </w:r>
      <w:r w:rsidR="00707A13">
        <w:rPr>
          <w:color w:val="000000"/>
        </w:rPr>
        <w:t xml:space="preserve"> - </w:t>
      </w:r>
      <w:r w:rsidR="00707A13" w:rsidRPr="00707A13">
        <w:rPr>
          <w:color w:val="000000"/>
        </w:rPr>
        <w:t>It was held that when there is no express provision excluding jurisdiction of civil courts, such exclusion can be implied only in cases where a right itself is created and the machinery for enforcement of such right is also provided by the statute. If the right is traceable to general law of contract, or it is a common law right, it can be enforced through civil court, even though the forum under the statute will also have jurisdiction to enforce that right. The relevant provisions under the Companies Act do not confer exclusive jurisdiction to the Company Court to grant relief against oppression and mismanagement. They only provide for convenient remedy for minority shareholders under certain conditions. Hence, for the minority shareholders who do not fall under those conditions, the provisions of Company Law are not intended to exclude all other remedies including those covered under the jurisdiction of the ordinary courts.</w:t>
      </w:r>
    </w:p>
    <w:p w14:paraId="358D03B1" w14:textId="205CF02A" w:rsidR="007601C3" w:rsidRPr="007601C3" w:rsidRDefault="007601C3" w:rsidP="00D912CE">
      <w:pPr>
        <w:pStyle w:val="ListParagraph"/>
        <w:numPr>
          <w:ilvl w:val="0"/>
          <w:numId w:val="2"/>
        </w:numPr>
        <w:spacing w:line="256" w:lineRule="auto"/>
        <w:ind w:left="86" w:hanging="86"/>
        <w:rPr>
          <w:rFonts w:ascii="Times New Roman" w:hAnsi="Times New Roman" w:cs="Times New Roman"/>
          <w:b/>
          <w:i/>
          <w:sz w:val="24"/>
          <w:szCs w:val="24"/>
        </w:rPr>
      </w:pPr>
      <w:r>
        <w:rPr>
          <w:rFonts w:ascii="Times New Roman" w:hAnsi="Times New Roman" w:cs="Times New Roman"/>
          <w:b/>
          <w:i/>
          <w:sz w:val="24"/>
          <w:szCs w:val="24"/>
        </w:rPr>
        <w:t>Res Sub Judice:</w:t>
      </w:r>
    </w:p>
    <w:p w14:paraId="67A774B4" w14:textId="172D03A5" w:rsidR="00D912CE" w:rsidRPr="00505467" w:rsidRDefault="00D912CE" w:rsidP="00D912CE">
      <w:pPr>
        <w:pStyle w:val="NormalWeb"/>
        <w:rPr>
          <w:color w:val="000000"/>
        </w:rPr>
      </w:pPr>
      <w:r w:rsidRPr="00667FDF">
        <w:rPr>
          <w:color w:val="000000"/>
        </w:rPr>
        <w:t xml:space="preserve">9. </w:t>
      </w:r>
      <w:proofErr w:type="spellStart"/>
      <w:r w:rsidRPr="00667FDF">
        <w:rPr>
          <w:color w:val="000000"/>
        </w:rPr>
        <w:t>Aspi</w:t>
      </w:r>
      <w:proofErr w:type="spellEnd"/>
      <w:r w:rsidRPr="00667FDF">
        <w:rPr>
          <w:color w:val="000000"/>
        </w:rPr>
        <w:t xml:space="preserve"> Jal v. Khushboo Rustom (2013) 4 SCC 333</w:t>
      </w:r>
      <w:r w:rsidR="00707A13">
        <w:rPr>
          <w:color w:val="000000"/>
        </w:rPr>
        <w:t xml:space="preserve"> - </w:t>
      </w:r>
      <w:r w:rsidR="002B3463" w:rsidRPr="00710A74">
        <w:t>The test for applicability of Section 10 is whether</w:t>
      </w:r>
      <w:r w:rsidR="002B3463" w:rsidRPr="00710A74">
        <w:rPr>
          <w:b/>
        </w:rPr>
        <w:t xml:space="preserve"> </w:t>
      </w:r>
      <w:r w:rsidR="002B3463" w:rsidRPr="00710A74">
        <w:t xml:space="preserve">on a final decision being reached on a previously instituted suit, such decision would operate as Res Judicata in the subsequent suit. Although the relief claimed by the plaintiff is the same i.e. eviction of her tenant, but the grounds for claiming the same are different. The cause of action giving rise to such claims is also different because the timeline is changed, and the ground </w:t>
      </w:r>
      <w:r w:rsidR="002B3463" w:rsidRPr="00710A74">
        <w:lastRenderedPageBreak/>
        <w:t>of non-user is for different periods. Hence, the issue is not directly and substantially the same and both the suits can parallelly continue before the same judge.</w:t>
      </w:r>
    </w:p>
    <w:p w14:paraId="5C7AEAF9" w14:textId="59990637" w:rsidR="007601C3" w:rsidRPr="007601C3" w:rsidRDefault="007601C3" w:rsidP="00D912CE">
      <w:pPr>
        <w:pStyle w:val="ListParagraph"/>
        <w:numPr>
          <w:ilvl w:val="0"/>
          <w:numId w:val="2"/>
        </w:numPr>
        <w:spacing w:line="256" w:lineRule="auto"/>
        <w:ind w:left="86" w:hanging="86"/>
        <w:rPr>
          <w:rFonts w:ascii="Times New Roman" w:hAnsi="Times New Roman" w:cs="Times New Roman"/>
          <w:b/>
          <w:i/>
          <w:sz w:val="24"/>
          <w:szCs w:val="24"/>
        </w:rPr>
      </w:pPr>
      <w:r>
        <w:rPr>
          <w:rFonts w:ascii="Times New Roman" w:hAnsi="Times New Roman" w:cs="Times New Roman"/>
          <w:b/>
          <w:i/>
          <w:sz w:val="24"/>
          <w:szCs w:val="24"/>
        </w:rPr>
        <w:t>Constructive Res Judicata:</w:t>
      </w:r>
    </w:p>
    <w:p w14:paraId="39D315FE" w14:textId="2EA2327F" w:rsidR="00667FDF" w:rsidRDefault="00D912CE" w:rsidP="00D912CE">
      <w:pPr>
        <w:pStyle w:val="NormalWeb"/>
      </w:pPr>
      <w:r w:rsidRPr="00667FDF">
        <w:rPr>
          <w:color w:val="000000"/>
        </w:rPr>
        <w:t>10. State of U.P. v. Nawab Hussain 1977(2) SCC 806</w:t>
      </w:r>
      <w:r w:rsidR="002B3463">
        <w:rPr>
          <w:color w:val="000000"/>
        </w:rPr>
        <w:t xml:space="preserve"> - </w:t>
      </w:r>
      <w:r w:rsidR="0092128E" w:rsidRPr="00710A74">
        <w:t>Held that the principle of constructive res judicata will operate when the plaintiff raises an additional plea in the subsequent suit, even though it was available to him in the former suit but was not taken by him therein. Here, although the ground for the present suit was new, but it ought to have been taken in the former suit as it was available to Nawab Hussain. Hence, the suit is barred by constructive res judicata.</w:t>
      </w:r>
    </w:p>
    <w:p w14:paraId="1F781019" w14:textId="2A9E9C3B" w:rsidR="007601C3" w:rsidRPr="007601C3" w:rsidRDefault="007601C3" w:rsidP="00D912CE">
      <w:pPr>
        <w:pStyle w:val="NormalWeb"/>
        <w:rPr>
          <w:b/>
          <w:bCs/>
          <w:color w:val="000000"/>
        </w:rPr>
      </w:pPr>
      <w:r w:rsidRPr="007601C3">
        <w:rPr>
          <w:b/>
          <w:bCs/>
        </w:rPr>
        <w:t>Res judicata</w:t>
      </w:r>
    </w:p>
    <w:p w14:paraId="60B7E188" w14:textId="170EC726" w:rsidR="00667FDF" w:rsidRPr="00505467" w:rsidRDefault="00A71CD4" w:rsidP="00D912CE">
      <w:pPr>
        <w:pStyle w:val="NormalWeb"/>
        <w:rPr>
          <w:color w:val="000000"/>
        </w:rPr>
      </w:pPr>
      <w:r w:rsidRPr="00667FDF">
        <w:rPr>
          <w:color w:val="000000"/>
        </w:rPr>
        <w:t>11. Workmen of Cochin Port Trust v. Board of Trustees 1978(3) SCC 119</w:t>
      </w:r>
      <w:r w:rsidR="0092128E">
        <w:rPr>
          <w:color w:val="000000"/>
        </w:rPr>
        <w:t xml:space="preserve"> - </w:t>
      </w:r>
      <w:r w:rsidR="00270E99">
        <w:t>Supreme court dismissed</w:t>
      </w:r>
      <w:r w:rsidR="00270E99">
        <w:rPr>
          <w:b/>
        </w:rPr>
        <w:t xml:space="preserve"> </w:t>
      </w:r>
      <w:r w:rsidR="00270E99">
        <w:t>workmen’s appeal holding that the effect of non-speaking order of dismissal without indicating any grounds be taken to have decided only that it was not a fit case where special leave should be granted. In the absence of any defined reasons, extending the principal of res judicata to bar trial of the matter in separate proceeding merely on uncertain assumption that the issues must have been decided is not safe.</w:t>
      </w:r>
    </w:p>
    <w:p w14:paraId="5E754D5F" w14:textId="5E904644" w:rsidR="00667FDF" w:rsidRDefault="00A71CD4" w:rsidP="00667FDF">
      <w:pPr>
        <w:pStyle w:val="NormalWeb"/>
        <w:rPr>
          <w:color w:val="000000"/>
        </w:rPr>
      </w:pPr>
      <w:r w:rsidRPr="00596DCD">
        <w:rPr>
          <w:color w:val="000000"/>
        </w:rPr>
        <w:t>12. Modi Entertainment Network v. WSG Cricket (2003) 4 SCC 341</w:t>
      </w:r>
      <w:r w:rsidR="00F72BF8">
        <w:rPr>
          <w:color w:val="000000"/>
        </w:rPr>
        <w:t xml:space="preserve"> - </w:t>
      </w:r>
      <w:r w:rsidR="00F72BF8" w:rsidRPr="00F72BF8">
        <w:rPr>
          <w:color w:val="000000"/>
        </w:rPr>
        <w:t>The court opined that in the course of global commercial activities, parties may agree to submit to exclusive or non-exclusive jurisdiction of a foreign court, and it shows they have foreseen possible breach of agreement by any party and agreed to resolve their disputes through the forum agreed upon under the agreement. London court cannot be considered a forum non-</w:t>
      </w:r>
      <w:proofErr w:type="spellStart"/>
      <w:r w:rsidR="00F72BF8" w:rsidRPr="00F72BF8">
        <w:rPr>
          <w:color w:val="000000"/>
        </w:rPr>
        <w:t>conveniens</w:t>
      </w:r>
      <w:proofErr w:type="spellEnd"/>
      <w:r w:rsidR="00F72BF8" w:rsidRPr="00F72BF8">
        <w:rPr>
          <w:color w:val="000000"/>
        </w:rPr>
        <w:t xml:space="preserve"> only on the basis of </w:t>
      </w:r>
      <w:proofErr w:type="spellStart"/>
      <w:r w:rsidR="00F72BF8" w:rsidRPr="00F72BF8">
        <w:rPr>
          <w:color w:val="000000"/>
        </w:rPr>
        <w:t>Doordarshan’s</w:t>
      </w:r>
      <w:proofErr w:type="spellEnd"/>
      <w:r w:rsidR="00F72BF8" w:rsidRPr="00F72BF8">
        <w:rPr>
          <w:color w:val="000000"/>
        </w:rPr>
        <w:t xml:space="preserve"> argument that continuance of suit in London court would be oppressive and vexatious. Since no good and sufficient reason to grant anti-suit injunction is made out, the court will not aid </w:t>
      </w:r>
      <w:proofErr w:type="spellStart"/>
      <w:r w:rsidR="00F72BF8" w:rsidRPr="00F72BF8">
        <w:rPr>
          <w:color w:val="000000"/>
        </w:rPr>
        <w:t>Doordarshan</w:t>
      </w:r>
      <w:proofErr w:type="spellEnd"/>
      <w:r w:rsidR="00F72BF8" w:rsidRPr="00F72BF8">
        <w:rPr>
          <w:color w:val="000000"/>
        </w:rPr>
        <w:t xml:space="preserve"> to commit breach of agreement by restraining WSG from prosecuting in the agreed forum of choice.</w:t>
      </w:r>
    </w:p>
    <w:p w14:paraId="5FE49A2F" w14:textId="15FD39E1" w:rsidR="007601C3" w:rsidRPr="007601C3" w:rsidRDefault="007601C3" w:rsidP="007601C3">
      <w:pPr>
        <w:rPr>
          <w:rFonts w:ascii="Times New Roman" w:hAnsi="Times New Roman" w:cs="Times New Roman"/>
          <w:b/>
          <w:sz w:val="24"/>
          <w:szCs w:val="24"/>
        </w:rPr>
      </w:pPr>
      <w:r>
        <w:rPr>
          <w:rFonts w:ascii="Times New Roman" w:hAnsi="Times New Roman" w:cs="Times New Roman"/>
          <w:b/>
          <w:sz w:val="24"/>
          <w:szCs w:val="24"/>
        </w:rPr>
        <w:t>Institution of suit ( Order I, II, III, IV, V)</w:t>
      </w:r>
    </w:p>
    <w:p w14:paraId="172951A5" w14:textId="63BCA8F4" w:rsidR="00596DCD" w:rsidRPr="00505467" w:rsidRDefault="00376328" w:rsidP="00D912CE">
      <w:pPr>
        <w:pStyle w:val="NormalWeb"/>
        <w:rPr>
          <w:color w:val="000000"/>
        </w:rPr>
      </w:pPr>
      <w:r w:rsidRPr="00596DCD">
        <w:rPr>
          <w:color w:val="000000"/>
        </w:rPr>
        <w:t>13. Mumbai International Airport v. Regency Convention Centre (2010)7 SCC 417</w:t>
      </w:r>
      <w:r w:rsidR="00F72BF8">
        <w:rPr>
          <w:color w:val="000000"/>
        </w:rPr>
        <w:t xml:space="preserve"> - </w:t>
      </w:r>
      <w:r w:rsidR="00F72BF8">
        <w:t>It was held that the fact that a person is likely to secure interest/right in a suit property depending upon the decision of the court, will not make that person a necessary or proper party to the suit. To be impleaded as a party to a suit is not a matter of right but the choice of the plaintiff to choose its adversary or a judicial discretion which has to be exercised according to reason and fair play. Here, the plaintiff did not even exist in the picture when the suit between RCC and AAI was instituted and holds no nexus to the said suit. Presence of plaintiff is neither necessary for passing a decree nor for complete and effective adjudication of the matters in issue.</w:t>
      </w:r>
    </w:p>
    <w:p w14:paraId="1C036ADC" w14:textId="75DBA2E9" w:rsidR="00596DCD" w:rsidRPr="00505467" w:rsidRDefault="00DD1972" w:rsidP="00D912CE">
      <w:pPr>
        <w:pStyle w:val="NormalWeb"/>
        <w:rPr>
          <w:color w:val="000000"/>
        </w:rPr>
      </w:pPr>
      <w:r w:rsidRPr="00596DCD">
        <w:rPr>
          <w:color w:val="000000"/>
        </w:rPr>
        <w:t>14. Pramod P. Shah v. Ratan N. Tata &amp; Ors. 2017 SCC Online Bom 5269</w:t>
      </w:r>
      <w:r w:rsidR="005B05AF">
        <w:rPr>
          <w:color w:val="000000"/>
        </w:rPr>
        <w:t xml:space="preserve"> - </w:t>
      </w:r>
      <w:r w:rsidR="005B05AF" w:rsidRPr="005B05AF">
        <w:rPr>
          <w:color w:val="000000"/>
        </w:rPr>
        <w:t xml:space="preserve">The question considered by the court was whether there is a ‘commonality of interest’ between all the non-promotor shareholders. It was held that the Tata companies in the group are all separate entities having separate Memorandums &amp; Articles of Association, Board of Directors, etc. If Cyrus Mistry is ousted from Tata Sons, which is a holding company, it has different number of shares </w:t>
      </w:r>
      <w:r w:rsidR="005B05AF" w:rsidRPr="005B05AF">
        <w:rPr>
          <w:color w:val="000000"/>
        </w:rPr>
        <w:lastRenderedPageBreak/>
        <w:t>in different Tata companies; thus, resulting in separate causes of action and no commonality of interest. When the companies in the Tata group are all different entities, then how could there be a commonality of interest warranting the petitioner to represent them all in one suit on the basis of common interest? Therefore, different suits have to be instituted by shareholders of each Tata company to claim a relief. In that case, one person may represent the shareholders of that particular company. It will be extremely unjust to join all those non-promotor shareholders who do not want reinstatement of Cyrus Mistry but would be bound to accept his reinstatement if petitioner succeeds in the representative suit and suffer such reinstatement as something which was prayed for on their behalf or for their benefit. To avoid such predicament, they would be forced to join the suit and defend it, when they really had no intention or obligation to do so. Hence, the application is bound to be dismissed in the absence of no commonality of interest.</w:t>
      </w:r>
    </w:p>
    <w:p w14:paraId="434F71F1" w14:textId="7A67914E" w:rsidR="0081153E" w:rsidRPr="00505467" w:rsidRDefault="00596DCD" w:rsidP="00952130">
      <w:pPr>
        <w:pStyle w:val="NormalWeb"/>
        <w:rPr>
          <w:color w:val="000000"/>
        </w:rPr>
      </w:pPr>
      <w:r w:rsidRPr="00596DCD">
        <w:rPr>
          <w:color w:val="000000"/>
        </w:rPr>
        <w:t xml:space="preserve">15. </w:t>
      </w:r>
      <w:proofErr w:type="spellStart"/>
      <w:r w:rsidRPr="00596DCD">
        <w:rPr>
          <w:color w:val="000000"/>
        </w:rPr>
        <w:t>Inbasagaran</w:t>
      </w:r>
      <w:proofErr w:type="spellEnd"/>
      <w:r w:rsidRPr="00596DCD">
        <w:rPr>
          <w:color w:val="000000"/>
        </w:rPr>
        <w:t xml:space="preserve"> v. S. Natarajan (2015)11 SCC 12</w:t>
      </w:r>
      <w:r w:rsidR="005B05AF">
        <w:rPr>
          <w:color w:val="000000"/>
        </w:rPr>
        <w:t xml:space="preserve"> - </w:t>
      </w:r>
      <w:r w:rsidR="008852A2" w:rsidRPr="008852A2">
        <w:rPr>
          <w:color w:val="000000"/>
        </w:rPr>
        <w:t>Court stated that causes of action for the two suits are different and distinct and the evidence to support the relief in the two suits is also different, therefore, the provisions of Order II Rule 2 will not apply. The first cause of action arose when S tried to forcibly occupy the property. The second cause of action arose when S disclosed that property was transferred in his favor by the Housing Board. Hence, the causes of action are not same and identical.</w:t>
      </w:r>
    </w:p>
    <w:p w14:paraId="6F6181B9" w14:textId="2A4228CC" w:rsidR="00952130" w:rsidRPr="00596DCD" w:rsidRDefault="00952130" w:rsidP="00952130">
      <w:pPr>
        <w:pStyle w:val="NormalWeb"/>
        <w:rPr>
          <w:color w:val="000000"/>
        </w:rPr>
      </w:pPr>
      <w:r w:rsidRPr="00596DCD">
        <w:rPr>
          <w:color w:val="000000"/>
        </w:rPr>
        <w:t>1</w:t>
      </w:r>
      <w:r w:rsidR="00505467">
        <w:rPr>
          <w:color w:val="000000"/>
        </w:rPr>
        <w:t>6</w:t>
      </w:r>
      <w:r w:rsidRPr="00596DCD">
        <w:rPr>
          <w:color w:val="000000"/>
        </w:rPr>
        <w:t xml:space="preserve">. </w:t>
      </w:r>
      <w:proofErr w:type="spellStart"/>
      <w:r w:rsidRPr="00596DCD">
        <w:rPr>
          <w:color w:val="000000"/>
        </w:rPr>
        <w:t>Borrodaile</w:t>
      </w:r>
      <w:proofErr w:type="spellEnd"/>
      <w:r w:rsidRPr="00596DCD">
        <w:rPr>
          <w:color w:val="000000"/>
        </w:rPr>
        <w:t xml:space="preserve"> v. Hunter (1845)5 M&amp;G 639 </w:t>
      </w:r>
      <w:r w:rsidR="008852A2">
        <w:rPr>
          <w:color w:val="000000"/>
        </w:rPr>
        <w:t>-</w:t>
      </w:r>
      <w:r w:rsidR="007601C3">
        <w:rPr>
          <w:color w:val="000000"/>
        </w:rPr>
        <w:t xml:space="preserve"> </w:t>
      </w:r>
      <w:r w:rsidR="007601C3">
        <w:rPr>
          <w:b/>
          <w:color w:val="000000"/>
        </w:rPr>
        <w:t>(Principles of pleadings)-</w:t>
      </w:r>
      <w:r w:rsidR="00CE6266">
        <w:rPr>
          <w:color w:val="000000"/>
        </w:rPr>
        <w:t xml:space="preserve"> </w:t>
      </w:r>
      <w:r w:rsidR="00CE6266" w:rsidRPr="00CE6266">
        <w:rPr>
          <w:color w:val="000000"/>
        </w:rPr>
        <w:t>It was held that the company should only plead that A had committed suicide and therefore, the policy became void because this is the ‘material fact’. Other facts like- A was melancholy for weeks, that he bought a pistol a day before his death, shot himself with the said pistol and that a letter was found with him addressed to his wife stating that he intended to kill himself are all evidences by means of which the material fact is to be proved, and hence, not required to be stated in the pleading. Thus, a pleading should contain a statement of material facts on which the party relies but not the evidence by which those facts are to be proved.</w:t>
      </w:r>
    </w:p>
    <w:p w14:paraId="728DC054" w14:textId="1413C4E7" w:rsidR="00F3346C" w:rsidRPr="00596DCD" w:rsidRDefault="00505467" w:rsidP="00F3346C">
      <w:pPr>
        <w:pStyle w:val="NormalWeb"/>
        <w:rPr>
          <w:color w:val="000000"/>
        </w:rPr>
      </w:pPr>
      <w:r>
        <w:rPr>
          <w:color w:val="000000"/>
        </w:rPr>
        <w:t>18</w:t>
      </w:r>
      <w:r w:rsidR="003940B9" w:rsidRPr="00596DCD">
        <w:rPr>
          <w:color w:val="000000"/>
        </w:rPr>
        <w:t xml:space="preserve">. B.K. Narayana Pillai v. </w:t>
      </w:r>
      <w:proofErr w:type="spellStart"/>
      <w:r w:rsidR="003940B9" w:rsidRPr="00596DCD">
        <w:rPr>
          <w:color w:val="000000"/>
        </w:rPr>
        <w:t>Paremswaran</w:t>
      </w:r>
      <w:proofErr w:type="spellEnd"/>
      <w:r w:rsidR="003940B9" w:rsidRPr="00596DCD">
        <w:rPr>
          <w:color w:val="000000"/>
        </w:rPr>
        <w:t xml:space="preserve">, (2000) 1 SCC 712 </w:t>
      </w:r>
      <w:r w:rsidR="00CE6266">
        <w:rPr>
          <w:color w:val="000000"/>
        </w:rPr>
        <w:t xml:space="preserve">- </w:t>
      </w:r>
      <w:r w:rsidR="007601C3">
        <w:rPr>
          <w:b/>
          <w:color w:val="000000"/>
        </w:rPr>
        <w:t>(Amendment of Pleadings)-</w:t>
      </w:r>
      <w:r w:rsidR="00CE6266" w:rsidRPr="00CE6266">
        <w:rPr>
          <w:color w:val="000000"/>
        </w:rPr>
        <w:t>The amendment sought is nor inconsistent to the pleas already raised neither a withdrawal of any admission made in favor of the other side. Merely because the amendment is filed after a prolonged delay is no ground to reject it particularly when it does not cause such prejudice to the other side which cannot be compensated by costs. The amendment is necessary for determining the real controversies in the suit, and hence, allowed.</w:t>
      </w:r>
    </w:p>
    <w:p w14:paraId="476E0E09" w14:textId="77E254AC" w:rsidR="00596DCD" w:rsidRPr="00505467" w:rsidRDefault="00505467" w:rsidP="00A471FA">
      <w:pPr>
        <w:pStyle w:val="NormalWeb"/>
        <w:rPr>
          <w:color w:val="000000"/>
        </w:rPr>
      </w:pPr>
      <w:r>
        <w:rPr>
          <w:color w:val="000000"/>
        </w:rPr>
        <w:t>19</w:t>
      </w:r>
      <w:r w:rsidR="003940B9" w:rsidRPr="00596DCD">
        <w:rPr>
          <w:color w:val="000000"/>
        </w:rPr>
        <w:t>. Rajesh Kumar Aggarwal v. KK Modi, (2006) 4 SCC 385</w:t>
      </w:r>
      <w:r w:rsidR="000C0545">
        <w:rPr>
          <w:color w:val="000000"/>
        </w:rPr>
        <w:t xml:space="preserve"> </w:t>
      </w:r>
      <w:r w:rsidR="00CE6266">
        <w:rPr>
          <w:color w:val="000000"/>
        </w:rPr>
        <w:t>-</w:t>
      </w:r>
      <w:r w:rsidR="007601C3">
        <w:rPr>
          <w:color w:val="000000"/>
        </w:rPr>
        <w:t xml:space="preserve"> </w:t>
      </w:r>
      <w:r w:rsidR="007601C3">
        <w:rPr>
          <w:b/>
          <w:color w:val="000000"/>
        </w:rPr>
        <w:t>(Amendment of Pleadings)-</w:t>
      </w:r>
      <w:r w:rsidR="00CE6266">
        <w:rPr>
          <w:color w:val="000000"/>
        </w:rPr>
        <w:t xml:space="preserve"> </w:t>
      </w:r>
      <w:r w:rsidR="009004A7" w:rsidRPr="009004A7">
        <w:rPr>
          <w:color w:val="000000"/>
        </w:rPr>
        <w:t>The first part of Order 6 Rule 17 is discretionary which leaves it to the court to allow amendment of pleading at any stage of the suit. The second part, however, is imperative and enjoins the court to allow all such amendments which are necessary for determining the real questions in controversy between the parties (here, for the interest of the beneficiaries of the Trust as the Trustee was in exclusive possession of the shares of GPI and on the dividends and was still exercising voting rights). Here, the proposed amendment does not change the nature of the suit and there is no inconsistency with the relief claimed in original plaint. Considering these reasons, and without going into the merits of the case in amendment, it was held that if the same relief can be prayed for in the new suit, it can also be incorporated in the pending suit.</w:t>
      </w:r>
    </w:p>
    <w:p w14:paraId="22EC4D28" w14:textId="77777777" w:rsidR="007601C3" w:rsidRDefault="007601C3" w:rsidP="003940B9">
      <w:pPr>
        <w:pStyle w:val="NormalWeb"/>
        <w:rPr>
          <w:color w:val="000000"/>
        </w:rPr>
      </w:pPr>
    </w:p>
    <w:p w14:paraId="02DF98CB" w14:textId="17FB68B3" w:rsidR="003940B9" w:rsidRPr="007601C3" w:rsidRDefault="00505467" w:rsidP="003940B9">
      <w:pPr>
        <w:pStyle w:val="NormalWeb"/>
        <w:rPr>
          <w:b/>
          <w:color w:val="000000"/>
        </w:rPr>
      </w:pPr>
      <w:r>
        <w:rPr>
          <w:color w:val="000000"/>
        </w:rPr>
        <w:t>20</w:t>
      </w:r>
      <w:r w:rsidR="00A471FA" w:rsidRPr="00596DCD">
        <w:rPr>
          <w:color w:val="000000"/>
        </w:rPr>
        <w:t xml:space="preserve">. P.V. Gururaj Reddy v P. </w:t>
      </w:r>
      <w:proofErr w:type="spellStart"/>
      <w:r w:rsidR="00A471FA" w:rsidRPr="00596DCD">
        <w:rPr>
          <w:color w:val="000000"/>
        </w:rPr>
        <w:t>Neeradha</w:t>
      </w:r>
      <w:proofErr w:type="spellEnd"/>
      <w:r w:rsidR="00A471FA" w:rsidRPr="00596DCD">
        <w:rPr>
          <w:color w:val="000000"/>
        </w:rPr>
        <w:t xml:space="preserve"> Reddy (2015)8 SCC 331 </w:t>
      </w:r>
      <w:r w:rsidR="009004A7">
        <w:rPr>
          <w:color w:val="000000"/>
        </w:rPr>
        <w:t>-</w:t>
      </w:r>
      <w:r w:rsidR="007601C3">
        <w:rPr>
          <w:color w:val="000000"/>
        </w:rPr>
        <w:t xml:space="preserve"> </w:t>
      </w:r>
      <w:r w:rsidR="007601C3">
        <w:rPr>
          <w:b/>
          <w:color w:val="000000"/>
        </w:rPr>
        <w:t>(Rejection of Plaint for non-disclosure of cause of action)</w:t>
      </w:r>
      <w:r w:rsidR="007601C3">
        <w:rPr>
          <w:color w:val="000000"/>
        </w:rPr>
        <w:t>-</w:t>
      </w:r>
      <w:r w:rsidR="009004A7">
        <w:rPr>
          <w:color w:val="000000"/>
        </w:rPr>
        <w:t xml:space="preserve"> </w:t>
      </w:r>
      <w:r w:rsidR="009004A7" w:rsidRPr="009004A7">
        <w:rPr>
          <w:color w:val="000000"/>
        </w:rPr>
        <w:t>Plaint can be rejected only if the averments made therein do not disclose a cause of action or on a reading thereof the suit appears to be barred under any law. In this case, reading the plaint as a whole and proceeding on the basis that the averments made therein were correct, it could not be said that the pleadings of both suits ex facie disclosed that said suits were barred by limitation or any other provision of law or that they did not disclose a cause of action. Thus, the plaints ought not to be rejected under Order 7 Rule 11 CPC.</w:t>
      </w:r>
    </w:p>
    <w:p w14:paraId="563142E2" w14:textId="23B62296" w:rsidR="00596DCD" w:rsidRPr="00505467" w:rsidRDefault="00505467" w:rsidP="00AC0487">
      <w:pPr>
        <w:pStyle w:val="NormalWeb"/>
        <w:rPr>
          <w:color w:val="000000"/>
        </w:rPr>
      </w:pPr>
      <w:r>
        <w:rPr>
          <w:color w:val="000000"/>
        </w:rPr>
        <w:t>21</w:t>
      </w:r>
      <w:r w:rsidR="00A471FA" w:rsidRPr="00596DCD">
        <w:rPr>
          <w:color w:val="000000"/>
        </w:rPr>
        <w:t xml:space="preserve">. </w:t>
      </w:r>
      <w:r w:rsidR="00AC0487" w:rsidRPr="00596DCD">
        <w:rPr>
          <w:color w:val="000000"/>
        </w:rPr>
        <w:t xml:space="preserve">T </w:t>
      </w:r>
      <w:proofErr w:type="spellStart"/>
      <w:r w:rsidR="00AC0487" w:rsidRPr="00596DCD">
        <w:rPr>
          <w:color w:val="000000"/>
        </w:rPr>
        <w:t>Arivandanam</w:t>
      </w:r>
      <w:proofErr w:type="spellEnd"/>
      <w:r w:rsidR="00AC0487" w:rsidRPr="00596DCD">
        <w:rPr>
          <w:color w:val="000000"/>
        </w:rPr>
        <w:t xml:space="preserve"> v T.V. </w:t>
      </w:r>
      <w:proofErr w:type="spellStart"/>
      <w:r w:rsidR="00AC0487" w:rsidRPr="00596DCD">
        <w:rPr>
          <w:color w:val="000000"/>
        </w:rPr>
        <w:t>Satyapal</w:t>
      </w:r>
      <w:proofErr w:type="spellEnd"/>
      <w:r w:rsidR="00AC0487" w:rsidRPr="00596DCD">
        <w:rPr>
          <w:color w:val="000000"/>
        </w:rPr>
        <w:t xml:space="preserve"> (1977) 4 SCC467 </w:t>
      </w:r>
      <w:r w:rsidR="009004A7">
        <w:rPr>
          <w:color w:val="000000"/>
        </w:rPr>
        <w:t>-</w:t>
      </w:r>
      <w:r w:rsidR="00563E48">
        <w:rPr>
          <w:color w:val="000000"/>
        </w:rPr>
        <w:t xml:space="preserve"> </w:t>
      </w:r>
      <w:r w:rsidR="00563E48">
        <w:rPr>
          <w:b/>
          <w:color w:val="000000"/>
        </w:rPr>
        <w:t xml:space="preserve">(Rejection of Plaint based on frivolous litigation) - </w:t>
      </w:r>
      <w:r w:rsidR="00563E48" w:rsidRPr="00563E48">
        <w:rPr>
          <w:color w:val="000000"/>
        </w:rPr>
        <w:t>If on a meaningful and informal reading of a plaint, it is manifestly meritless in the sense of not disclosing a clear right to sue, it ought to be rejected under Order 7 Rule 11. Here, the court was satisfied that the callous petitioner had been indulging in a series of legal proceedings to evade an eviction order passed against him and hence his plaint was inspired by vexatious motives and altogether groundless.</w:t>
      </w:r>
    </w:p>
    <w:p w14:paraId="17C67A2C" w14:textId="3B57F0C3" w:rsidR="00A471FA" w:rsidRPr="00596DCD" w:rsidRDefault="00505467" w:rsidP="003940B9">
      <w:pPr>
        <w:pStyle w:val="NormalWeb"/>
        <w:rPr>
          <w:color w:val="000000"/>
        </w:rPr>
      </w:pPr>
      <w:r>
        <w:rPr>
          <w:color w:val="000000"/>
        </w:rPr>
        <w:t>22</w:t>
      </w:r>
      <w:r w:rsidR="005D6BD5" w:rsidRPr="00596DCD">
        <w:rPr>
          <w:color w:val="000000"/>
        </w:rPr>
        <w:t xml:space="preserve">. </w:t>
      </w:r>
      <w:r w:rsidR="00E86F2C" w:rsidRPr="00596DCD">
        <w:rPr>
          <w:color w:val="000000"/>
        </w:rPr>
        <w:t>Salem Bar Association v. Union of India, (2005) 6 SCC</w:t>
      </w:r>
      <w:r w:rsidR="000C0545">
        <w:rPr>
          <w:color w:val="000000"/>
        </w:rPr>
        <w:t xml:space="preserve"> 344 </w:t>
      </w:r>
      <w:r w:rsidR="00563E48">
        <w:rPr>
          <w:color w:val="000000"/>
        </w:rPr>
        <w:t xml:space="preserve">- </w:t>
      </w:r>
      <w:r w:rsidR="00563E48">
        <w:rPr>
          <w:b/>
          <w:color w:val="000000"/>
        </w:rPr>
        <w:t>(Time limit to file the WS) -</w:t>
      </w:r>
      <w:r w:rsidR="00563E48" w:rsidRPr="00563E48">
        <w:rPr>
          <w:color w:val="000000"/>
        </w:rPr>
        <w:t xml:space="preserve"> </w:t>
      </w:r>
      <w:r w:rsidR="00563E48">
        <w:rPr>
          <w:color w:val="000000"/>
        </w:rPr>
        <w:t>It was held that the limitation regarding extension of time for filing written statement provided under Order 8 Rule 1 is only directory and finally the Court is empowered to extend time limit in exceptional cases. While extending time, it has to be borne in mind that the legislature has fixed the upper time limit of 90 days. The discretion of the Court to extend the time beyond this limit shall not be so frequently and routinely exercised so as to nullify the period fixed by Order 8 Rule 1.</w:t>
      </w:r>
    </w:p>
    <w:p w14:paraId="60DE772F" w14:textId="3903D7CB" w:rsidR="00563E48" w:rsidRPr="00563E48" w:rsidRDefault="00505467" w:rsidP="00F148BE">
      <w:pPr>
        <w:pStyle w:val="NormalWeb"/>
        <w:rPr>
          <w:color w:val="000000"/>
        </w:rPr>
      </w:pPr>
      <w:r>
        <w:rPr>
          <w:color w:val="000000"/>
        </w:rPr>
        <w:t>23</w:t>
      </w:r>
      <w:r w:rsidR="0092120F" w:rsidRPr="00596DCD">
        <w:rPr>
          <w:color w:val="000000"/>
        </w:rPr>
        <w:t xml:space="preserve">. Union of India v. Agarwal Iron Industries, 2014(15) SCC 215 </w:t>
      </w:r>
      <w:r w:rsidR="00563E48">
        <w:rPr>
          <w:color w:val="000000"/>
        </w:rPr>
        <w:t xml:space="preserve">- </w:t>
      </w:r>
      <w:r w:rsidR="00563E48">
        <w:rPr>
          <w:b/>
          <w:color w:val="000000"/>
        </w:rPr>
        <w:t xml:space="preserve">(Specific Denial- Order 8 Rule 5) - </w:t>
      </w:r>
      <w:r w:rsidR="00563E48">
        <w:rPr>
          <w:color w:val="000000"/>
        </w:rPr>
        <w:t>It was found from the aforesaid reply that there was no specific denial of the averments made in Para 40 of the writ petition. The court held that Order 8 Rule 5 of the Code of Civil Procedure provided that every allegation of fact in the plaint if not denied specifically or by necessary implication or stated to be not admitted in the pleading of the defendant shall be taken to be admitted except against the person under disability. In view of this provision, in absence of a specific denial in the counter-affidavit to the assertions made in the writ petition, it was concluded that there was no denial of the facts stated in the writ petition. It was also held that the Explanation to Section 141 of the Code of Civil Procedure provided that the provisions of the Code of Civil Procedure shall not be applicable, but the principles contained in CPC shall be applicable to Writ Petitions.</w:t>
      </w:r>
    </w:p>
    <w:p w14:paraId="66117476" w14:textId="63BF9E07" w:rsidR="00F148BE" w:rsidRDefault="00505467" w:rsidP="00F148BE">
      <w:pPr>
        <w:pStyle w:val="NormalWeb"/>
        <w:rPr>
          <w:color w:val="000000"/>
        </w:rPr>
      </w:pPr>
      <w:r>
        <w:rPr>
          <w:color w:val="000000"/>
        </w:rPr>
        <w:t>24</w:t>
      </w:r>
      <w:r w:rsidR="00F148BE" w:rsidRPr="00596DCD">
        <w:rPr>
          <w:color w:val="000000"/>
        </w:rPr>
        <w:t xml:space="preserve">. Balraj Taneja v. Sunil Madan, (1998) 8 SCC 396 </w:t>
      </w:r>
      <w:r w:rsidR="00563E48">
        <w:rPr>
          <w:color w:val="000000"/>
        </w:rPr>
        <w:t xml:space="preserve">- </w:t>
      </w:r>
      <w:r w:rsidR="00563E48">
        <w:rPr>
          <w:b/>
          <w:color w:val="000000"/>
        </w:rPr>
        <w:t>(Order 8 Rule 10) -</w:t>
      </w:r>
      <w:r w:rsidR="00563E48" w:rsidRPr="00563E48">
        <w:rPr>
          <w:color w:val="000000"/>
        </w:rPr>
        <w:t xml:space="preserve"> </w:t>
      </w:r>
      <w:r w:rsidR="00563E48">
        <w:rPr>
          <w:color w:val="000000"/>
        </w:rPr>
        <w:t xml:space="preserve">While enabling the court to pronounce judgment in a situation where no WS is filed by the defendant, the Court has also been given the discretion to pass any such order as it may think fit as an alternative. Thus, it is a matter of Court’s satisfaction that in cases where no WS is filed, and if the Court feels no facts need to be proved on account of deemed admission by the defendant, the Court can conveniently pass a judgment against the Defendant who has not filed the WS. This discretion is very wide in nature. Therefore, the court should not proceed blindly to pass judgment merely because a WS has not been filed by the defendant traversing the facts set out by the plaintiff. </w:t>
      </w:r>
      <w:r w:rsidR="00563E48">
        <w:rPr>
          <w:color w:val="000000"/>
        </w:rPr>
        <w:lastRenderedPageBreak/>
        <w:t>Even a decree under Order 8 Rule 10 must be accompanied by a judgment, setting out facts and reasons for the decree being issued.</w:t>
      </w:r>
    </w:p>
    <w:p w14:paraId="1F7A9F34" w14:textId="3C9A3AD9" w:rsidR="00AC5FB3" w:rsidRPr="00B53307" w:rsidRDefault="00505467" w:rsidP="00AC5FB3">
      <w:pPr>
        <w:pStyle w:val="NormalWeb"/>
        <w:rPr>
          <w:color w:val="000000"/>
          <w:u w:val="single"/>
        </w:rPr>
      </w:pPr>
      <w:r>
        <w:rPr>
          <w:color w:val="000000"/>
        </w:rPr>
        <w:t>25</w:t>
      </w:r>
      <w:r w:rsidR="00AC5FB3" w:rsidRPr="00596DCD">
        <w:rPr>
          <w:color w:val="000000"/>
        </w:rPr>
        <w:t xml:space="preserve">. Gujarat Bottling Company Limited v. Coca Cola, 1995 SCC (5) 545 </w:t>
      </w:r>
      <w:r w:rsidR="00563E48">
        <w:rPr>
          <w:color w:val="000000"/>
        </w:rPr>
        <w:t xml:space="preserve">- </w:t>
      </w:r>
      <w:r w:rsidR="00563E48">
        <w:rPr>
          <w:b/>
          <w:color w:val="000000"/>
        </w:rPr>
        <w:t xml:space="preserve">(Order 39- Temporary Injunction)- </w:t>
      </w:r>
      <w:r w:rsidR="00B53307">
        <w:rPr>
          <w:color w:val="000000"/>
        </w:rPr>
        <w:t>Whether Interim Injunction enforcing negative stipulation in the contract is justified?</w:t>
      </w:r>
      <w:r w:rsidR="00B53307">
        <w:rPr>
          <w:b/>
          <w:color w:val="000000"/>
        </w:rPr>
        <w:t xml:space="preserve"> </w:t>
      </w:r>
      <w:r w:rsidR="00B53307">
        <w:rPr>
          <w:color w:val="000000"/>
        </w:rPr>
        <w:t xml:space="preserve">It was held that grant of injunction is justified as it is intended to prevent Pepsi, which came in control of GBC, to gain advantage over Coca Cola. </w:t>
      </w:r>
      <w:r w:rsidR="00B53307">
        <w:rPr>
          <w:color w:val="000000"/>
          <w:u w:val="single"/>
        </w:rPr>
        <w:t>Triple Test Satisfied – Prima facie, balance of convenience, irrepealable injury.</w:t>
      </w:r>
    </w:p>
    <w:p w14:paraId="4F4D2C05" w14:textId="54C8E50A" w:rsidR="00A41CB2" w:rsidRDefault="00505467" w:rsidP="00AC5FB3">
      <w:pPr>
        <w:pStyle w:val="NormalWeb"/>
        <w:rPr>
          <w:color w:val="000000"/>
        </w:rPr>
      </w:pPr>
      <w:r>
        <w:rPr>
          <w:color w:val="000000"/>
        </w:rPr>
        <w:t>26</w:t>
      </w:r>
      <w:r w:rsidR="00A41CB2" w:rsidRPr="00596DCD">
        <w:rPr>
          <w:color w:val="000000"/>
        </w:rPr>
        <w:t xml:space="preserve">. Wander v. </w:t>
      </w:r>
      <w:proofErr w:type="spellStart"/>
      <w:r w:rsidR="00A41CB2" w:rsidRPr="00596DCD">
        <w:rPr>
          <w:color w:val="000000"/>
        </w:rPr>
        <w:t>Antox</w:t>
      </w:r>
      <w:proofErr w:type="spellEnd"/>
      <w:r w:rsidR="00A41CB2" w:rsidRPr="00596DCD">
        <w:rPr>
          <w:color w:val="000000"/>
        </w:rPr>
        <w:t xml:space="preserve"> India (P) Ltd., (1990) Supp SCC 727 </w:t>
      </w:r>
      <w:r w:rsidR="00B53307">
        <w:rPr>
          <w:color w:val="000000"/>
        </w:rPr>
        <w:t xml:space="preserve">- </w:t>
      </w:r>
      <w:r w:rsidR="00B53307">
        <w:rPr>
          <w:b/>
          <w:color w:val="000000"/>
        </w:rPr>
        <w:t xml:space="preserve">(Order 39- Temporary Injunction)-  </w:t>
      </w:r>
      <w:r w:rsidR="00B53307">
        <w:rPr>
          <w:color w:val="000000"/>
        </w:rPr>
        <w:t xml:space="preserve">The appellate court will not interfere with the exercise of discretion by the court of first instance and substitute its own discretion except where the discretion is shown to have been exercised arbitrarily, or capriciously or perversely or where the court had ignored the settled principles of law regulating grant or refusal of injunction. Therefore, present case is not an appropriate case where appellate bench could have interfered with the discretion exercised by the Single judge as the Single judge had passed a reasoned order after hearing the parties and considering the tests for granting injunction which </w:t>
      </w:r>
      <w:proofErr w:type="spellStart"/>
      <w:r w:rsidR="00B53307">
        <w:rPr>
          <w:color w:val="000000"/>
        </w:rPr>
        <w:t>Antox</w:t>
      </w:r>
      <w:proofErr w:type="spellEnd"/>
      <w:r w:rsidR="00B53307">
        <w:rPr>
          <w:color w:val="000000"/>
        </w:rPr>
        <w:t xml:space="preserve"> failed to fulfill.</w:t>
      </w:r>
    </w:p>
    <w:p w14:paraId="3C4224B4" w14:textId="77777777" w:rsidR="00185688" w:rsidRPr="00185688" w:rsidRDefault="007549B9" w:rsidP="00185688">
      <w:pPr>
        <w:pStyle w:val="NormalWeb"/>
        <w:rPr>
          <w:color w:val="000000"/>
          <w:lang w:val="en-IN"/>
        </w:rPr>
      </w:pPr>
      <w:r>
        <w:rPr>
          <w:color w:val="000000"/>
        </w:rPr>
        <w:t>27. Jagdish Singh v Madhuri Devi (2008)10 SCC 497</w:t>
      </w:r>
      <w:r w:rsidR="00B53307">
        <w:rPr>
          <w:color w:val="000000"/>
        </w:rPr>
        <w:t xml:space="preserve"> - </w:t>
      </w:r>
      <w:r w:rsidR="00185688" w:rsidRPr="00185688">
        <w:rPr>
          <w:color w:val="000000"/>
        </w:rPr>
        <w:t>Three requisites should normally be present before an appellate court reverses a finding of the trial court;</w:t>
      </w:r>
    </w:p>
    <w:p w14:paraId="5086E236" w14:textId="77777777" w:rsidR="00185688" w:rsidRPr="00185688" w:rsidRDefault="00185688" w:rsidP="00185688">
      <w:pPr>
        <w:pStyle w:val="NormalWeb"/>
        <w:rPr>
          <w:color w:val="000000"/>
          <w:lang w:val="en-IN"/>
        </w:rPr>
      </w:pPr>
      <w:r w:rsidRPr="00185688">
        <w:rPr>
          <w:color w:val="000000"/>
        </w:rPr>
        <w:t>(</w:t>
      </w:r>
      <w:proofErr w:type="spellStart"/>
      <w:r w:rsidRPr="00185688">
        <w:rPr>
          <w:color w:val="000000"/>
        </w:rPr>
        <w:t>i</w:t>
      </w:r>
      <w:proofErr w:type="spellEnd"/>
      <w:r w:rsidRPr="00185688">
        <w:rPr>
          <w:color w:val="000000"/>
        </w:rPr>
        <w:t>) it applies its mind to reasons given by the trial court;</w:t>
      </w:r>
    </w:p>
    <w:p w14:paraId="61A113C6" w14:textId="77777777" w:rsidR="00185688" w:rsidRPr="00185688" w:rsidRDefault="00185688" w:rsidP="00185688">
      <w:pPr>
        <w:pStyle w:val="NormalWeb"/>
        <w:rPr>
          <w:color w:val="000000"/>
          <w:lang w:val="en-IN"/>
        </w:rPr>
      </w:pPr>
      <w:r w:rsidRPr="00185688">
        <w:rPr>
          <w:color w:val="000000"/>
        </w:rPr>
        <w:t>(ii) it has no advantage of seeing and hearing the witnesses; and</w:t>
      </w:r>
    </w:p>
    <w:p w14:paraId="7B806AD1" w14:textId="77777777" w:rsidR="00185688" w:rsidRPr="00185688" w:rsidRDefault="00185688" w:rsidP="00185688">
      <w:pPr>
        <w:pStyle w:val="NormalWeb"/>
        <w:rPr>
          <w:color w:val="000000"/>
          <w:lang w:val="en-IN"/>
        </w:rPr>
      </w:pPr>
      <w:r w:rsidRPr="00185688">
        <w:rPr>
          <w:color w:val="000000"/>
        </w:rPr>
        <w:t>(iii) it records cogent and convincing reasons for disagreeing with the trial court.</w:t>
      </w:r>
    </w:p>
    <w:p w14:paraId="66E5098F" w14:textId="3D3A69EC" w:rsidR="007549B9" w:rsidRPr="00596DCD" w:rsidRDefault="007549B9" w:rsidP="00AC5FB3">
      <w:pPr>
        <w:pStyle w:val="NormalWeb"/>
        <w:rPr>
          <w:color w:val="000000"/>
        </w:rPr>
      </w:pPr>
    </w:p>
    <w:p w14:paraId="4157F68C" w14:textId="357D08C3" w:rsidR="00E86F2C" w:rsidRPr="00596DCD" w:rsidRDefault="00505467" w:rsidP="003940B9">
      <w:pPr>
        <w:pStyle w:val="NormalWeb"/>
        <w:rPr>
          <w:color w:val="000000"/>
        </w:rPr>
      </w:pPr>
      <w:r>
        <w:rPr>
          <w:color w:val="000000"/>
        </w:rPr>
        <w:t>27</w:t>
      </w:r>
      <w:r w:rsidR="00A41CB2" w:rsidRPr="00596DCD">
        <w:rPr>
          <w:color w:val="000000"/>
        </w:rPr>
        <w:t xml:space="preserve">. A </w:t>
      </w:r>
      <w:proofErr w:type="spellStart"/>
      <w:r w:rsidR="00A41CB2" w:rsidRPr="00596DCD">
        <w:rPr>
          <w:color w:val="000000"/>
        </w:rPr>
        <w:t>Andisamy</w:t>
      </w:r>
      <w:proofErr w:type="spellEnd"/>
      <w:r w:rsidR="00A41CB2" w:rsidRPr="00596DCD">
        <w:rPr>
          <w:color w:val="000000"/>
        </w:rPr>
        <w:t xml:space="preserve"> </w:t>
      </w:r>
      <w:proofErr w:type="spellStart"/>
      <w:r w:rsidR="00A41CB2" w:rsidRPr="00596DCD">
        <w:rPr>
          <w:color w:val="000000"/>
        </w:rPr>
        <w:t>Chettiar</w:t>
      </w:r>
      <w:proofErr w:type="spellEnd"/>
      <w:r w:rsidR="00A41CB2" w:rsidRPr="00596DCD">
        <w:rPr>
          <w:color w:val="000000"/>
        </w:rPr>
        <w:t xml:space="preserve"> v. A </w:t>
      </w:r>
      <w:proofErr w:type="spellStart"/>
      <w:r w:rsidR="00A41CB2" w:rsidRPr="00596DCD">
        <w:rPr>
          <w:color w:val="000000"/>
        </w:rPr>
        <w:t>Subburaj</w:t>
      </w:r>
      <w:proofErr w:type="spellEnd"/>
      <w:r w:rsidR="00A41CB2" w:rsidRPr="00596DCD">
        <w:rPr>
          <w:color w:val="000000"/>
        </w:rPr>
        <w:t xml:space="preserve"> </w:t>
      </w:r>
      <w:proofErr w:type="spellStart"/>
      <w:r w:rsidR="00A41CB2" w:rsidRPr="00596DCD">
        <w:rPr>
          <w:color w:val="000000"/>
        </w:rPr>
        <w:t>Chettiar</w:t>
      </w:r>
      <w:proofErr w:type="spellEnd"/>
      <w:r w:rsidR="00A41CB2" w:rsidRPr="00596DCD">
        <w:rPr>
          <w:color w:val="000000"/>
        </w:rPr>
        <w:t xml:space="preserve">, (2015) 17 SCC 713 </w:t>
      </w:r>
      <w:r w:rsidR="00B53307">
        <w:rPr>
          <w:color w:val="000000"/>
        </w:rPr>
        <w:t xml:space="preserve">- </w:t>
      </w:r>
      <w:r w:rsidR="00B53307">
        <w:rPr>
          <w:b/>
          <w:color w:val="000000"/>
        </w:rPr>
        <w:t xml:space="preserve">(Powers of Appellate Court) (Section 107 &amp; Order 41 Rule 27 - </w:t>
      </w:r>
      <w:r w:rsidR="00B53307">
        <w:rPr>
          <w:color w:val="000000"/>
        </w:rPr>
        <w:t>It was held that as a general rule the evidence is adduced only before the Trial Court. However, Section 107(1)(d) read with Rule 27 of Order 41 lays down certain exceptional circumstances to allow additional evidence before the appellate court. Even though, no application was moved before the Trial Court seeking scientific examination of the document nor it was to be said that the plaintiff with due diligence could not have moved such an application to get proved the documents relied upon by him, but the appellate court itself required the evidence to satisfactorily do justice between the parties. It was held that the true test, therefore, is whether the appellate court is able to pronounce judgment on the materials before it without taking into consideration the additional evidence sought to be adduced.</w:t>
      </w:r>
    </w:p>
    <w:p w14:paraId="01F07C02" w14:textId="04E2E71D" w:rsidR="00C03D4C" w:rsidRPr="00185688" w:rsidRDefault="00505467" w:rsidP="00C03D4C">
      <w:pPr>
        <w:pStyle w:val="NormalWeb"/>
        <w:rPr>
          <w:color w:val="000000"/>
        </w:rPr>
      </w:pPr>
      <w:r>
        <w:rPr>
          <w:color w:val="000000"/>
        </w:rPr>
        <w:t>28</w:t>
      </w:r>
      <w:r w:rsidR="00C03D4C" w:rsidRPr="00596DCD">
        <w:rPr>
          <w:color w:val="000000"/>
        </w:rPr>
        <w:t xml:space="preserve">. Santosh </w:t>
      </w:r>
      <w:proofErr w:type="spellStart"/>
      <w:r w:rsidR="00C03D4C" w:rsidRPr="00596DCD">
        <w:rPr>
          <w:color w:val="000000"/>
        </w:rPr>
        <w:t>Hazari</w:t>
      </w:r>
      <w:proofErr w:type="spellEnd"/>
      <w:r w:rsidR="00C03D4C" w:rsidRPr="00596DCD">
        <w:rPr>
          <w:color w:val="000000"/>
        </w:rPr>
        <w:t xml:space="preserve"> v </w:t>
      </w:r>
      <w:proofErr w:type="spellStart"/>
      <w:r w:rsidR="00C03D4C" w:rsidRPr="00596DCD">
        <w:rPr>
          <w:color w:val="000000"/>
        </w:rPr>
        <w:t>Purushottam</w:t>
      </w:r>
      <w:proofErr w:type="spellEnd"/>
      <w:r w:rsidR="00C03D4C" w:rsidRPr="00596DCD">
        <w:rPr>
          <w:color w:val="000000"/>
        </w:rPr>
        <w:t xml:space="preserve"> Tiwari, (2001) 3 SCC 179 </w:t>
      </w:r>
      <w:r w:rsidR="00B53307">
        <w:rPr>
          <w:color w:val="000000"/>
        </w:rPr>
        <w:t xml:space="preserve">- </w:t>
      </w:r>
      <w:r w:rsidR="00B53307">
        <w:rPr>
          <w:b/>
          <w:color w:val="000000"/>
        </w:rPr>
        <w:t>(Scope of Second Appeal) -</w:t>
      </w:r>
      <w:r w:rsidR="00185688">
        <w:rPr>
          <w:b/>
          <w:color w:val="000000"/>
        </w:rPr>
        <w:t xml:space="preserve"> </w:t>
      </w:r>
      <w:r w:rsidR="00185688">
        <w:rPr>
          <w:color w:val="000000"/>
        </w:rPr>
        <w:t xml:space="preserve">The existence of a substantial question of law is a pre-requisite for exercise of jurisdiction under Section 100 of the Code. To be ‘substantial’, a question of law must be debatable, not previously settled by law of the land or a binding precedent and must have a material bearing on the decision of the case, if answered either way, in so far as the rights of the parties before it are </w:t>
      </w:r>
      <w:r w:rsidR="00185688">
        <w:rPr>
          <w:color w:val="000000"/>
        </w:rPr>
        <w:lastRenderedPageBreak/>
        <w:t>concerned.</w:t>
      </w:r>
      <w:r w:rsidR="00185688">
        <w:rPr>
          <w:b/>
          <w:bCs/>
        </w:rPr>
        <w:t xml:space="preserve"> </w:t>
      </w:r>
      <w:r w:rsidR="00185688">
        <w:rPr>
          <w:color w:val="000000"/>
        </w:rPr>
        <w:t xml:space="preserve">Here, the first appellate court had overturned the finding on the question of possession and dispossession as alleged by </w:t>
      </w:r>
      <w:r w:rsidR="00185688">
        <w:rPr>
          <w:i/>
          <w:color w:val="000000"/>
        </w:rPr>
        <w:t>SH</w:t>
      </w:r>
      <w:r w:rsidR="00185688">
        <w:rPr>
          <w:color w:val="000000"/>
        </w:rPr>
        <w:t xml:space="preserve"> as also on the question of adverse possession as pleaded by </w:t>
      </w:r>
      <w:r w:rsidR="00185688">
        <w:rPr>
          <w:i/>
          <w:color w:val="000000"/>
        </w:rPr>
        <w:t>PT</w:t>
      </w:r>
      <w:r w:rsidR="00185688">
        <w:rPr>
          <w:color w:val="000000"/>
        </w:rPr>
        <w:t xml:space="preserve"> without recording reasons for such reversal which gave rise to a substantial question of law which the appellant was under the duty to state in the memorandum of appeal as per Section 100(3). The High Court having noticed failure on part of the appellant in discharging this statutory obligation, an opportunity to frame such question should have been afforded to the appellant unless he had persisted in his default in spite of the deficiency being brought to his notice by the High Court or the Registry.</w:t>
      </w:r>
    </w:p>
    <w:p w14:paraId="539591E5" w14:textId="1F185883" w:rsidR="00185688" w:rsidRDefault="00505467" w:rsidP="00185688">
      <w:pPr>
        <w:pStyle w:val="NormalWeb"/>
        <w:rPr>
          <w:color w:val="000000"/>
        </w:rPr>
      </w:pPr>
      <w:r>
        <w:rPr>
          <w:color w:val="000000"/>
        </w:rPr>
        <w:t>29</w:t>
      </w:r>
      <w:r w:rsidR="00627A0A" w:rsidRPr="00596DCD">
        <w:rPr>
          <w:color w:val="000000"/>
        </w:rPr>
        <w:t xml:space="preserve">. </w:t>
      </w:r>
      <w:proofErr w:type="spellStart"/>
      <w:r w:rsidR="00627A0A" w:rsidRPr="00596DCD">
        <w:rPr>
          <w:color w:val="000000"/>
        </w:rPr>
        <w:t>Kunhayammed</w:t>
      </w:r>
      <w:proofErr w:type="spellEnd"/>
      <w:r w:rsidR="00627A0A" w:rsidRPr="00596DCD">
        <w:rPr>
          <w:color w:val="000000"/>
        </w:rPr>
        <w:t xml:space="preserve"> v </w:t>
      </w:r>
      <w:r w:rsidR="000C0545">
        <w:rPr>
          <w:color w:val="000000"/>
        </w:rPr>
        <w:t>State of Kerala, (2000)6 SCC 359</w:t>
      </w:r>
      <w:r w:rsidR="00185688">
        <w:rPr>
          <w:color w:val="000000"/>
        </w:rPr>
        <w:t xml:space="preserve"> - </w:t>
      </w:r>
      <w:r w:rsidR="00185688">
        <w:rPr>
          <w:b/>
          <w:color w:val="000000"/>
        </w:rPr>
        <w:t xml:space="preserve">(Doctrine of Merger, Scope of Review Jurisdiction of High Court) - </w:t>
      </w:r>
      <w:r w:rsidR="00185688">
        <w:rPr>
          <w:color w:val="000000"/>
        </w:rPr>
        <w:t xml:space="preserve">Whether Doctrine of Merger applies to a non-speaking order of dismissal of an SLP? Can the High Court review its order against which an SLP is dismissed by a non-speaking order? </w:t>
      </w:r>
      <w:r w:rsidR="00185688">
        <w:rPr>
          <w:color w:val="000000"/>
          <w:u w:val="single"/>
        </w:rPr>
        <w:t>Doctrine of merger</w:t>
      </w:r>
      <w:r w:rsidR="00185688">
        <w:rPr>
          <w:color w:val="000000"/>
        </w:rPr>
        <w:t xml:space="preserve"> lays down that when a decree or order passed by an inferior court, tribunal or authority is set aside, modified or simply confirmed by a superior court, tribunal or authority; it is the superior court’s order or decree which is final, binding and operative wherein merges the decree or order passed by the court below.</w:t>
      </w:r>
      <w:r w:rsidR="00185688">
        <w:rPr>
          <w:b/>
          <w:color w:val="000000"/>
        </w:rPr>
        <w:t xml:space="preserve"> </w:t>
      </w:r>
      <w:r w:rsidR="00185688">
        <w:rPr>
          <w:color w:val="000000"/>
        </w:rPr>
        <w:t>While applying the doctrine of merger, the nature of jurisdiction of the superior forum and subject-matter of challenge need to be kept in view. As nothing is said specifically in the order of dismissal, the aggrieved person is not deprived from seeking any other relief. Similarly, a dismissal of an SLP by a non-speaking order (without assigning reasons for dismissal of SLP) would not result in merger of the order impugned into the order of the Supreme Court nor it would be declaration of law by Supreme Court under Article 141. If an SLP is dismissed by a speaking order (supported by reasons), then also it does not attract doctrine of merger because the jurisdiction exercised was not an appellate one but merely discretionary refusing to grant leave to appeal. However, the reasons stated by the Court may attract applicability of Article 141 if there is a law declared by the Supreme Court. In the present case, State’s SLP against earlier order of the High Court was found devoid of any merits and hence dismissed via a non-speaking and unreasoned order implying that the Supreme Court was not convinced of the need for exercising its appellate jurisdiction. Thus, High Court’s order dated 1982 did not merge with Supreme Court’s order dated 1983. Therefore, such order can be reviewed by the High Court.</w:t>
      </w:r>
    </w:p>
    <w:p w14:paraId="12970334" w14:textId="04962AEB" w:rsidR="00185688" w:rsidRPr="00185688" w:rsidRDefault="00185688" w:rsidP="00185688">
      <w:pPr>
        <w:pStyle w:val="NormalWeb"/>
        <w:rPr>
          <w:b/>
          <w:color w:val="000000"/>
        </w:rPr>
      </w:pPr>
    </w:p>
    <w:p w14:paraId="60D83033" w14:textId="34EEE49A" w:rsidR="008C7734" w:rsidRPr="00596DCD" w:rsidRDefault="008C7734" w:rsidP="008C7734">
      <w:pPr>
        <w:pStyle w:val="NormalWeb"/>
        <w:rPr>
          <w:color w:val="000000"/>
        </w:rPr>
      </w:pPr>
    </w:p>
    <w:p w14:paraId="03342C4C" w14:textId="3C5FAF6C" w:rsidR="00E71D06" w:rsidRDefault="00505467" w:rsidP="00E71D06">
      <w:pPr>
        <w:pStyle w:val="NormalWeb"/>
        <w:rPr>
          <w:color w:val="000000"/>
        </w:rPr>
      </w:pPr>
      <w:r>
        <w:rPr>
          <w:color w:val="000000"/>
        </w:rPr>
        <w:t>30</w:t>
      </w:r>
      <w:r w:rsidR="00E71D06" w:rsidRPr="00596DCD">
        <w:rPr>
          <w:color w:val="000000"/>
        </w:rPr>
        <w:t>. Municipal Corporation of City v. Shiv Shankar Gauri Shankar Mehta (1998) 9 SCC 197</w:t>
      </w:r>
      <w:r>
        <w:rPr>
          <w:color w:val="000000"/>
        </w:rPr>
        <w:t xml:space="preserve"> </w:t>
      </w:r>
      <w:r w:rsidR="00185688">
        <w:rPr>
          <w:color w:val="000000"/>
        </w:rPr>
        <w:t xml:space="preserve">- </w:t>
      </w:r>
      <w:r w:rsidR="00185688">
        <w:rPr>
          <w:b/>
          <w:color w:val="000000"/>
        </w:rPr>
        <w:t xml:space="preserve">(Reference) - </w:t>
      </w:r>
      <w:r w:rsidR="00185688">
        <w:rPr>
          <w:color w:val="000000"/>
        </w:rPr>
        <w:t xml:space="preserve">The question was pertaining to the validity/constitutionality of the provisions of the </w:t>
      </w:r>
      <w:r w:rsidR="00185688">
        <w:rPr>
          <w:i/>
          <w:color w:val="000000"/>
        </w:rPr>
        <w:t xml:space="preserve">BMCA. </w:t>
      </w:r>
      <w:r w:rsidR="00185688">
        <w:rPr>
          <w:color w:val="000000"/>
        </w:rPr>
        <w:t>Therefore, it was held that the observations were unnecessary for the decision of the references which had to be decided within the four corners of Section 113 read with Rule 3 of Order 46 of CPC. They had no legal effect on the result of the suits in connection of which they were made. The court, therefore, did not pronounce on the correctness or legality of the impugned observations and disposed of the appeal.</w:t>
      </w:r>
    </w:p>
    <w:p w14:paraId="76664F8F" w14:textId="0FA9C7A8" w:rsidR="007549B9" w:rsidRPr="00596DCD" w:rsidRDefault="007549B9" w:rsidP="00E71D06">
      <w:pPr>
        <w:pStyle w:val="NormalWeb"/>
        <w:rPr>
          <w:color w:val="000000"/>
        </w:rPr>
      </w:pPr>
    </w:p>
    <w:p w14:paraId="24BC553E" w14:textId="69AE5AA4" w:rsidR="00627A0A" w:rsidRPr="006A54E7" w:rsidRDefault="00627A0A" w:rsidP="00627A0A">
      <w:pPr>
        <w:pStyle w:val="NormalWeb"/>
        <w:rPr>
          <w:b/>
          <w:color w:val="000000"/>
        </w:rPr>
      </w:pPr>
    </w:p>
    <w:p w14:paraId="42BDAF07" w14:textId="1E725F3C" w:rsidR="00C03D4C" w:rsidRPr="00426A7B" w:rsidRDefault="00C03D4C" w:rsidP="003940B9">
      <w:pPr>
        <w:pStyle w:val="NormalWeb"/>
        <w:rPr>
          <w:b/>
          <w:color w:val="000000"/>
        </w:rPr>
      </w:pPr>
    </w:p>
    <w:p w14:paraId="3855632F" w14:textId="77777777" w:rsidR="003940B9" w:rsidRPr="00426A7B" w:rsidRDefault="003940B9" w:rsidP="00F3346C">
      <w:pPr>
        <w:pStyle w:val="NormalWeb"/>
        <w:rPr>
          <w:b/>
          <w:color w:val="000000"/>
        </w:rPr>
      </w:pPr>
    </w:p>
    <w:p w14:paraId="096D1108" w14:textId="2140D461" w:rsidR="00952130" w:rsidRPr="00426A7B" w:rsidRDefault="00952130" w:rsidP="00952130">
      <w:pPr>
        <w:jc w:val="both"/>
        <w:rPr>
          <w:rFonts w:ascii="Times New Roman" w:hAnsi="Times New Roman" w:cs="Times New Roman"/>
        </w:rPr>
      </w:pPr>
    </w:p>
    <w:p w14:paraId="2DEE8BC0" w14:textId="77777777" w:rsidR="00952130" w:rsidRPr="00426A7B" w:rsidRDefault="00952130" w:rsidP="00952130">
      <w:pPr>
        <w:jc w:val="both"/>
        <w:rPr>
          <w:rFonts w:ascii="Times New Roman" w:hAnsi="Times New Roman" w:cs="Times New Roman"/>
        </w:rPr>
      </w:pPr>
    </w:p>
    <w:sectPr w:rsidR="00952130" w:rsidRPr="00426A7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D18A6" w14:textId="77777777" w:rsidR="00561431" w:rsidRDefault="00561431" w:rsidP="00957CC9">
      <w:pPr>
        <w:spacing w:after="0" w:line="240" w:lineRule="auto"/>
      </w:pPr>
      <w:r>
        <w:separator/>
      </w:r>
    </w:p>
  </w:endnote>
  <w:endnote w:type="continuationSeparator" w:id="0">
    <w:p w14:paraId="519D1C2D" w14:textId="77777777" w:rsidR="00561431" w:rsidRDefault="00561431" w:rsidP="00957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92641" w14:textId="77777777" w:rsidR="00957CC9" w:rsidRDefault="00957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3081816"/>
      <w:docPartObj>
        <w:docPartGallery w:val="Page Numbers (Bottom of Page)"/>
        <w:docPartUnique/>
      </w:docPartObj>
    </w:sdtPr>
    <w:sdtEndPr>
      <w:rPr>
        <w:noProof/>
      </w:rPr>
    </w:sdtEndPr>
    <w:sdtContent>
      <w:p w14:paraId="7FCF30B5" w14:textId="2C17B4BA" w:rsidR="00957CC9" w:rsidRDefault="00957CC9">
        <w:pPr>
          <w:pStyle w:val="Footer"/>
          <w:jc w:val="center"/>
        </w:pPr>
        <w:r>
          <w:fldChar w:fldCharType="begin"/>
        </w:r>
        <w:r>
          <w:instrText xml:space="preserve"> PAGE   \* MERGEFORMAT </w:instrText>
        </w:r>
        <w:r>
          <w:fldChar w:fldCharType="separate"/>
        </w:r>
        <w:r w:rsidR="007549B9">
          <w:rPr>
            <w:noProof/>
          </w:rPr>
          <w:t>2</w:t>
        </w:r>
        <w:r>
          <w:rPr>
            <w:noProof/>
          </w:rPr>
          <w:fldChar w:fldCharType="end"/>
        </w:r>
      </w:p>
    </w:sdtContent>
  </w:sdt>
  <w:p w14:paraId="7D84EE10" w14:textId="77777777" w:rsidR="00957CC9" w:rsidRDefault="00957C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44C49" w14:textId="77777777" w:rsidR="00957CC9" w:rsidRDefault="00957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363FF" w14:textId="77777777" w:rsidR="00561431" w:rsidRDefault="00561431" w:rsidP="00957CC9">
      <w:pPr>
        <w:spacing w:after="0" w:line="240" w:lineRule="auto"/>
      </w:pPr>
      <w:r>
        <w:separator/>
      </w:r>
    </w:p>
  </w:footnote>
  <w:footnote w:type="continuationSeparator" w:id="0">
    <w:p w14:paraId="1E92B483" w14:textId="77777777" w:rsidR="00561431" w:rsidRDefault="00561431" w:rsidP="00957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3700F" w14:textId="77777777" w:rsidR="00957CC9" w:rsidRDefault="00957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54B1A" w14:textId="77777777" w:rsidR="00957CC9" w:rsidRDefault="00957C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9C620" w14:textId="77777777" w:rsidR="00957CC9" w:rsidRDefault="00957C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757DC"/>
    <w:multiLevelType w:val="hybridMultilevel"/>
    <w:tmpl w:val="C65AF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92372D"/>
    <w:multiLevelType w:val="hybridMultilevel"/>
    <w:tmpl w:val="21505698"/>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FAF"/>
    <w:rsid w:val="000055DB"/>
    <w:rsid w:val="00056BB2"/>
    <w:rsid w:val="00061858"/>
    <w:rsid w:val="000A190D"/>
    <w:rsid w:val="000C0545"/>
    <w:rsid w:val="00185688"/>
    <w:rsid w:val="00193D12"/>
    <w:rsid w:val="001A2C28"/>
    <w:rsid w:val="00270E99"/>
    <w:rsid w:val="00287D4C"/>
    <w:rsid w:val="002B3463"/>
    <w:rsid w:val="003003E6"/>
    <w:rsid w:val="00376328"/>
    <w:rsid w:val="003940B9"/>
    <w:rsid w:val="0039782B"/>
    <w:rsid w:val="003A2638"/>
    <w:rsid w:val="00424630"/>
    <w:rsid w:val="00426A7B"/>
    <w:rsid w:val="00505467"/>
    <w:rsid w:val="00512F12"/>
    <w:rsid w:val="00561431"/>
    <w:rsid w:val="00563E48"/>
    <w:rsid w:val="00596DCD"/>
    <w:rsid w:val="005B05AF"/>
    <w:rsid w:val="005D6BD5"/>
    <w:rsid w:val="006112EA"/>
    <w:rsid w:val="00627A0A"/>
    <w:rsid w:val="00667FDF"/>
    <w:rsid w:val="006935E7"/>
    <w:rsid w:val="006F7716"/>
    <w:rsid w:val="00707A13"/>
    <w:rsid w:val="007502EF"/>
    <w:rsid w:val="007549B9"/>
    <w:rsid w:val="007601C3"/>
    <w:rsid w:val="00783002"/>
    <w:rsid w:val="007E3BF6"/>
    <w:rsid w:val="00804FAF"/>
    <w:rsid w:val="00805C6A"/>
    <w:rsid w:val="0081153E"/>
    <w:rsid w:val="008852A2"/>
    <w:rsid w:val="008C7734"/>
    <w:rsid w:val="008D2A87"/>
    <w:rsid w:val="009004A7"/>
    <w:rsid w:val="0092120F"/>
    <w:rsid w:val="0092128E"/>
    <w:rsid w:val="00952130"/>
    <w:rsid w:val="00957CC9"/>
    <w:rsid w:val="00A41CB2"/>
    <w:rsid w:val="00A471FA"/>
    <w:rsid w:val="00A71CD4"/>
    <w:rsid w:val="00A95E17"/>
    <w:rsid w:val="00A9607A"/>
    <w:rsid w:val="00AC0487"/>
    <w:rsid w:val="00AC5FB3"/>
    <w:rsid w:val="00B53307"/>
    <w:rsid w:val="00B765FC"/>
    <w:rsid w:val="00C03D4C"/>
    <w:rsid w:val="00C334CD"/>
    <w:rsid w:val="00C80942"/>
    <w:rsid w:val="00CE6266"/>
    <w:rsid w:val="00D3076E"/>
    <w:rsid w:val="00D8699D"/>
    <w:rsid w:val="00D912CE"/>
    <w:rsid w:val="00DD1972"/>
    <w:rsid w:val="00DE28ED"/>
    <w:rsid w:val="00E71D06"/>
    <w:rsid w:val="00E86F2C"/>
    <w:rsid w:val="00ED4953"/>
    <w:rsid w:val="00F148BE"/>
    <w:rsid w:val="00F3346C"/>
    <w:rsid w:val="00F72BF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B2D8"/>
  <w15:chartTrackingRefBased/>
  <w15:docId w15:val="{5B6CA9F0-52BF-4B6D-A40D-0303FE29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213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6DCD"/>
    <w:pPr>
      <w:ind w:left="720"/>
      <w:contextualSpacing/>
    </w:pPr>
  </w:style>
  <w:style w:type="paragraph" w:styleId="Header">
    <w:name w:val="header"/>
    <w:basedOn w:val="Normal"/>
    <w:link w:val="HeaderChar"/>
    <w:uiPriority w:val="99"/>
    <w:unhideWhenUsed/>
    <w:rsid w:val="00957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C9"/>
  </w:style>
  <w:style w:type="paragraph" w:styleId="Footer">
    <w:name w:val="footer"/>
    <w:basedOn w:val="Normal"/>
    <w:link w:val="FooterChar"/>
    <w:uiPriority w:val="99"/>
    <w:unhideWhenUsed/>
    <w:rsid w:val="00957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28031">
      <w:bodyDiv w:val="1"/>
      <w:marLeft w:val="0"/>
      <w:marRight w:val="0"/>
      <w:marTop w:val="0"/>
      <w:marBottom w:val="0"/>
      <w:divBdr>
        <w:top w:val="none" w:sz="0" w:space="0" w:color="auto"/>
        <w:left w:val="none" w:sz="0" w:space="0" w:color="auto"/>
        <w:bottom w:val="none" w:sz="0" w:space="0" w:color="auto"/>
        <w:right w:val="none" w:sz="0" w:space="0" w:color="auto"/>
      </w:divBdr>
    </w:div>
    <w:div w:id="137500716">
      <w:bodyDiv w:val="1"/>
      <w:marLeft w:val="0"/>
      <w:marRight w:val="0"/>
      <w:marTop w:val="0"/>
      <w:marBottom w:val="0"/>
      <w:divBdr>
        <w:top w:val="none" w:sz="0" w:space="0" w:color="auto"/>
        <w:left w:val="none" w:sz="0" w:space="0" w:color="auto"/>
        <w:bottom w:val="none" w:sz="0" w:space="0" w:color="auto"/>
        <w:right w:val="none" w:sz="0" w:space="0" w:color="auto"/>
      </w:divBdr>
    </w:div>
    <w:div w:id="224805949">
      <w:bodyDiv w:val="1"/>
      <w:marLeft w:val="0"/>
      <w:marRight w:val="0"/>
      <w:marTop w:val="0"/>
      <w:marBottom w:val="0"/>
      <w:divBdr>
        <w:top w:val="none" w:sz="0" w:space="0" w:color="auto"/>
        <w:left w:val="none" w:sz="0" w:space="0" w:color="auto"/>
        <w:bottom w:val="none" w:sz="0" w:space="0" w:color="auto"/>
        <w:right w:val="none" w:sz="0" w:space="0" w:color="auto"/>
      </w:divBdr>
    </w:div>
    <w:div w:id="452290065">
      <w:bodyDiv w:val="1"/>
      <w:marLeft w:val="0"/>
      <w:marRight w:val="0"/>
      <w:marTop w:val="0"/>
      <w:marBottom w:val="0"/>
      <w:divBdr>
        <w:top w:val="none" w:sz="0" w:space="0" w:color="auto"/>
        <w:left w:val="none" w:sz="0" w:space="0" w:color="auto"/>
        <w:bottom w:val="none" w:sz="0" w:space="0" w:color="auto"/>
        <w:right w:val="none" w:sz="0" w:space="0" w:color="auto"/>
      </w:divBdr>
    </w:div>
    <w:div w:id="557203495">
      <w:bodyDiv w:val="1"/>
      <w:marLeft w:val="0"/>
      <w:marRight w:val="0"/>
      <w:marTop w:val="0"/>
      <w:marBottom w:val="0"/>
      <w:divBdr>
        <w:top w:val="none" w:sz="0" w:space="0" w:color="auto"/>
        <w:left w:val="none" w:sz="0" w:space="0" w:color="auto"/>
        <w:bottom w:val="none" w:sz="0" w:space="0" w:color="auto"/>
        <w:right w:val="none" w:sz="0" w:space="0" w:color="auto"/>
      </w:divBdr>
    </w:div>
    <w:div w:id="583879595">
      <w:bodyDiv w:val="1"/>
      <w:marLeft w:val="0"/>
      <w:marRight w:val="0"/>
      <w:marTop w:val="0"/>
      <w:marBottom w:val="0"/>
      <w:divBdr>
        <w:top w:val="none" w:sz="0" w:space="0" w:color="auto"/>
        <w:left w:val="none" w:sz="0" w:space="0" w:color="auto"/>
        <w:bottom w:val="none" w:sz="0" w:space="0" w:color="auto"/>
        <w:right w:val="none" w:sz="0" w:space="0" w:color="auto"/>
      </w:divBdr>
    </w:div>
    <w:div w:id="724913817">
      <w:bodyDiv w:val="1"/>
      <w:marLeft w:val="0"/>
      <w:marRight w:val="0"/>
      <w:marTop w:val="0"/>
      <w:marBottom w:val="0"/>
      <w:divBdr>
        <w:top w:val="none" w:sz="0" w:space="0" w:color="auto"/>
        <w:left w:val="none" w:sz="0" w:space="0" w:color="auto"/>
        <w:bottom w:val="none" w:sz="0" w:space="0" w:color="auto"/>
        <w:right w:val="none" w:sz="0" w:space="0" w:color="auto"/>
      </w:divBdr>
    </w:div>
    <w:div w:id="742948425">
      <w:bodyDiv w:val="1"/>
      <w:marLeft w:val="0"/>
      <w:marRight w:val="0"/>
      <w:marTop w:val="0"/>
      <w:marBottom w:val="0"/>
      <w:divBdr>
        <w:top w:val="none" w:sz="0" w:space="0" w:color="auto"/>
        <w:left w:val="none" w:sz="0" w:space="0" w:color="auto"/>
        <w:bottom w:val="none" w:sz="0" w:space="0" w:color="auto"/>
        <w:right w:val="none" w:sz="0" w:space="0" w:color="auto"/>
      </w:divBdr>
    </w:div>
    <w:div w:id="781386187">
      <w:bodyDiv w:val="1"/>
      <w:marLeft w:val="0"/>
      <w:marRight w:val="0"/>
      <w:marTop w:val="0"/>
      <w:marBottom w:val="0"/>
      <w:divBdr>
        <w:top w:val="none" w:sz="0" w:space="0" w:color="auto"/>
        <w:left w:val="none" w:sz="0" w:space="0" w:color="auto"/>
        <w:bottom w:val="none" w:sz="0" w:space="0" w:color="auto"/>
        <w:right w:val="none" w:sz="0" w:space="0" w:color="auto"/>
      </w:divBdr>
    </w:div>
    <w:div w:id="823623057">
      <w:bodyDiv w:val="1"/>
      <w:marLeft w:val="0"/>
      <w:marRight w:val="0"/>
      <w:marTop w:val="0"/>
      <w:marBottom w:val="0"/>
      <w:divBdr>
        <w:top w:val="none" w:sz="0" w:space="0" w:color="auto"/>
        <w:left w:val="none" w:sz="0" w:space="0" w:color="auto"/>
        <w:bottom w:val="none" w:sz="0" w:space="0" w:color="auto"/>
        <w:right w:val="none" w:sz="0" w:space="0" w:color="auto"/>
      </w:divBdr>
    </w:div>
    <w:div w:id="844056003">
      <w:bodyDiv w:val="1"/>
      <w:marLeft w:val="0"/>
      <w:marRight w:val="0"/>
      <w:marTop w:val="0"/>
      <w:marBottom w:val="0"/>
      <w:divBdr>
        <w:top w:val="none" w:sz="0" w:space="0" w:color="auto"/>
        <w:left w:val="none" w:sz="0" w:space="0" w:color="auto"/>
        <w:bottom w:val="none" w:sz="0" w:space="0" w:color="auto"/>
        <w:right w:val="none" w:sz="0" w:space="0" w:color="auto"/>
      </w:divBdr>
    </w:div>
    <w:div w:id="888345773">
      <w:bodyDiv w:val="1"/>
      <w:marLeft w:val="0"/>
      <w:marRight w:val="0"/>
      <w:marTop w:val="0"/>
      <w:marBottom w:val="0"/>
      <w:divBdr>
        <w:top w:val="none" w:sz="0" w:space="0" w:color="auto"/>
        <w:left w:val="none" w:sz="0" w:space="0" w:color="auto"/>
        <w:bottom w:val="none" w:sz="0" w:space="0" w:color="auto"/>
        <w:right w:val="none" w:sz="0" w:space="0" w:color="auto"/>
      </w:divBdr>
    </w:div>
    <w:div w:id="1099791616">
      <w:bodyDiv w:val="1"/>
      <w:marLeft w:val="0"/>
      <w:marRight w:val="0"/>
      <w:marTop w:val="0"/>
      <w:marBottom w:val="0"/>
      <w:divBdr>
        <w:top w:val="none" w:sz="0" w:space="0" w:color="auto"/>
        <w:left w:val="none" w:sz="0" w:space="0" w:color="auto"/>
        <w:bottom w:val="none" w:sz="0" w:space="0" w:color="auto"/>
        <w:right w:val="none" w:sz="0" w:space="0" w:color="auto"/>
      </w:divBdr>
    </w:div>
    <w:div w:id="1125197728">
      <w:bodyDiv w:val="1"/>
      <w:marLeft w:val="0"/>
      <w:marRight w:val="0"/>
      <w:marTop w:val="0"/>
      <w:marBottom w:val="0"/>
      <w:divBdr>
        <w:top w:val="none" w:sz="0" w:space="0" w:color="auto"/>
        <w:left w:val="none" w:sz="0" w:space="0" w:color="auto"/>
        <w:bottom w:val="none" w:sz="0" w:space="0" w:color="auto"/>
        <w:right w:val="none" w:sz="0" w:space="0" w:color="auto"/>
      </w:divBdr>
    </w:div>
    <w:div w:id="1152481744">
      <w:bodyDiv w:val="1"/>
      <w:marLeft w:val="0"/>
      <w:marRight w:val="0"/>
      <w:marTop w:val="0"/>
      <w:marBottom w:val="0"/>
      <w:divBdr>
        <w:top w:val="none" w:sz="0" w:space="0" w:color="auto"/>
        <w:left w:val="none" w:sz="0" w:space="0" w:color="auto"/>
        <w:bottom w:val="none" w:sz="0" w:space="0" w:color="auto"/>
        <w:right w:val="none" w:sz="0" w:space="0" w:color="auto"/>
      </w:divBdr>
    </w:div>
    <w:div w:id="1207836189">
      <w:bodyDiv w:val="1"/>
      <w:marLeft w:val="0"/>
      <w:marRight w:val="0"/>
      <w:marTop w:val="0"/>
      <w:marBottom w:val="0"/>
      <w:divBdr>
        <w:top w:val="none" w:sz="0" w:space="0" w:color="auto"/>
        <w:left w:val="none" w:sz="0" w:space="0" w:color="auto"/>
        <w:bottom w:val="none" w:sz="0" w:space="0" w:color="auto"/>
        <w:right w:val="none" w:sz="0" w:space="0" w:color="auto"/>
      </w:divBdr>
      <w:divsChild>
        <w:div w:id="1945845119">
          <w:marLeft w:val="360"/>
          <w:marRight w:val="0"/>
          <w:marTop w:val="200"/>
          <w:marBottom w:val="0"/>
          <w:divBdr>
            <w:top w:val="none" w:sz="0" w:space="0" w:color="auto"/>
            <w:left w:val="none" w:sz="0" w:space="0" w:color="auto"/>
            <w:bottom w:val="none" w:sz="0" w:space="0" w:color="auto"/>
            <w:right w:val="none" w:sz="0" w:space="0" w:color="auto"/>
          </w:divBdr>
        </w:div>
      </w:divsChild>
    </w:div>
    <w:div w:id="1231307993">
      <w:bodyDiv w:val="1"/>
      <w:marLeft w:val="0"/>
      <w:marRight w:val="0"/>
      <w:marTop w:val="0"/>
      <w:marBottom w:val="0"/>
      <w:divBdr>
        <w:top w:val="none" w:sz="0" w:space="0" w:color="auto"/>
        <w:left w:val="none" w:sz="0" w:space="0" w:color="auto"/>
        <w:bottom w:val="none" w:sz="0" w:space="0" w:color="auto"/>
        <w:right w:val="none" w:sz="0" w:space="0" w:color="auto"/>
      </w:divBdr>
    </w:div>
    <w:div w:id="1310013408">
      <w:bodyDiv w:val="1"/>
      <w:marLeft w:val="0"/>
      <w:marRight w:val="0"/>
      <w:marTop w:val="0"/>
      <w:marBottom w:val="0"/>
      <w:divBdr>
        <w:top w:val="none" w:sz="0" w:space="0" w:color="auto"/>
        <w:left w:val="none" w:sz="0" w:space="0" w:color="auto"/>
        <w:bottom w:val="none" w:sz="0" w:space="0" w:color="auto"/>
        <w:right w:val="none" w:sz="0" w:space="0" w:color="auto"/>
      </w:divBdr>
    </w:div>
    <w:div w:id="1347445672">
      <w:bodyDiv w:val="1"/>
      <w:marLeft w:val="0"/>
      <w:marRight w:val="0"/>
      <w:marTop w:val="0"/>
      <w:marBottom w:val="0"/>
      <w:divBdr>
        <w:top w:val="none" w:sz="0" w:space="0" w:color="auto"/>
        <w:left w:val="none" w:sz="0" w:space="0" w:color="auto"/>
        <w:bottom w:val="none" w:sz="0" w:space="0" w:color="auto"/>
        <w:right w:val="none" w:sz="0" w:space="0" w:color="auto"/>
      </w:divBdr>
    </w:div>
    <w:div w:id="1530484052">
      <w:bodyDiv w:val="1"/>
      <w:marLeft w:val="0"/>
      <w:marRight w:val="0"/>
      <w:marTop w:val="0"/>
      <w:marBottom w:val="0"/>
      <w:divBdr>
        <w:top w:val="none" w:sz="0" w:space="0" w:color="auto"/>
        <w:left w:val="none" w:sz="0" w:space="0" w:color="auto"/>
        <w:bottom w:val="none" w:sz="0" w:space="0" w:color="auto"/>
        <w:right w:val="none" w:sz="0" w:space="0" w:color="auto"/>
      </w:divBdr>
    </w:div>
    <w:div w:id="1534079597">
      <w:bodyDiv w:val="1"/>
      <w:marLeft w:val="0"/>
      <w:marRight w:val="0"/>
      <w:marTop w:val="0"/>
      <w:marBottom w:val="0"/>
      <w:divBdr>
        <w:top w:val="none" w:sz="0" w:space="0" w:color="auto"/>
        <w:left w:val="none" w:sz="0" w:space="0" w:color="auto"/>
        <w:bottom w:val="none" w:sz="0" w:space="0" w:color="auto"/>
        <w:right w:val="none" w:sz="0" w:space="0" w:color="auto"/>
      </w:divBdr>
    </w:div>
    <w:div w:id="1564564651">
      <w:bodyDiv w:val="1"/>
      <w:marLeft w:val="0"/>
      <w:marRight w:val="0"/>
      <w:marTop w:val="0"/>
      <w:marBottom w:val="0"/>
      <w:divBdr>
        <w:top w:val="none" w:sz="0" w:space="0" w:color="auto"/>
        <w:left w:val="none" w:sz="0" w:space="0" w:color="auto"/>
        <w:bottom w:val="none" w:sz="0" w:space="0" w:color="auto"/>
        <w:right w:val="none" w:sz="0" w:space="0" w:color="auto"/>
      </w:divBdr>
    </w:div>
    <w:div w:id="1696226623">
      <w:bodyDiv w:val="1"/>
      <w:marLeft w:val="0"/>
      <w:marRight w:val="0"/>
      <w:marTop w:val="0"/>
      <w:marBottom w:val="0"/>
      <w:divBdr>
        <w:top w:val="none" w:sz="0" w:space="0" w:color="auto"/>
        <w:left w:val="none" w:sz="0" w:space="0" w:color="auto"/>
        <w:bottom w:val="none" w:sz="0" w:space="0" w:color="auto"/>
        <w:right w:val="none" w:sz="0" w:space="0" w:color="auto"/>
      </w:divBdr>
    </w:div>
    <w:div w:id="1941522648">
      <w:bodyDiv w:val="1"/>
      <w:marLeft w:val="0"/>
      <w:marRight w:val="0"/>
      <w:marTop w:val="0"/>
      <w:marBottom w:val="0"/>
      <w:divBdr>
        <w:top w:val="none" w:sz="0" w:space="0" w:color="auto"/>
        <w:left w:val="none" w:sz="0" w:space="0" w:color="auto"/>
        <w:bottom w:val="none" w:sz="0" w:space="0" w:color="auto"/>
        <w:right w:val="none" w:sz="0" w:space="0" w:color="auto"/>
      </w:divBdr>
    </w:div>
    <w:div w:id="1954902306">
      <w:bodyDiv w:val="1"/>
      <w:marLeft w:val="0"/>
      <w:marRight w:val="0"/>
      <w:marTop w:val="0"/>
      <w:marBottom w:val="0"/>
      <w:divBdr>
        <w:top w:val="none" w:sz="0" w:space="0" w:color="auto"/>
        <w:left w:val="none" w:sz="0" w:space="0" w:color="auto"/>
        <w:bottom w:val="none" w:sz="0" w:space="0" w:color="auto"/>
        <w:right w:val="none" w:sz="0" w:space="0" w:color="auto"/>
      </w:divBdr>
    </w:div>
    <w:div w:id="206078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3483</Words>
  <Characters>19857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yashmita bhalla</dc:creator>
  <cp:keywords/>
  <dc:description/>
  <cp:lastModifiedBy>ARCHIT UNIYAL (17JGLS)</cp:lastModifiedBy>
  <cp:revision>2</cp:revision>
  <dcterms:created xsi:type="dcterms:W3CDTF">2020-04-16T07:53:00Z</dcterms:created>
  <dcterms:modified xsi:type="dcterms:W3CDTF">2020-04-16T07:53:00Z</dcterms:modified>
</cp:coreProperties>
</file>