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40E5" w:rsidRPr="00A01F66" w:rsidRDefault="00A940E5" w:rsidP="00A940E5">
      <w:pPr>
        <w:rPr>
          <w:rFonts w:ascii="Times New Roman" w:hAnsi="Times New Roman" w:cs="Times New Roman"/>
          <w:b/>
          <w:bCs/>
          <w:sz w:val="36"/>
          <w:szCs w:val="36"/>
        </w:rPr>
      </w:pPr>
      <w:bookmarkStart w:id="0" w:name="_GoBack"/>
      <w:r>
        <w:rPr>
          <w:rFonts w:ascii="Times New Roman" w:hAnsi="Times New Roman" w:cs="Times New Roman"/>
          <w:b/>
          <w:bCs/>
          <w:sz w:val="36"/>
          <w:szCs w:val="36"/>
        </w:rPr>
        <w:t>Constitutional Law</w:t>
      </w:r>
      <w:r w:rsidRPr="00A01F66">
        <w:rPr>
          <w:rFonts w:ascii="Times New Roman" w:hAnsi="Times New Roman" w:cs="Times New Roman"/>
          <w:b/>
          <w:bCs/>
          <w:sz w:val="36"/>
          <w:szCs w:val="36"/>
        </w:rPr>
        <w:t xml:space="preserve"> 1 </w:t>
      </w:r>
      <w:r w:rsidR="00CD4F4D">
        <w:rPr>
          <w:rFonts w:ascii="Times New Roman" w:hAnsi="Times New Roman" w:cs="Times New Roman"/>
          <w:b/>
          <w:bCs/>
          <w:sz w:val="36"/>
          <w:szCs w:val="36"/>
        </w:rPr>
        <w:t>Notes</w:t>
      </w:r>
      <w:r w:rsidRPr="00A01F66">
        <w:rPr>
          <w:rFonts w:ascii="Times New Roman" w:hAnsi="Times New Roman" w:cs="Times New Roman"/>
          <w:b/>
          <w:bCs/>
          <w:sz w:val="36"/>
          <w:szCs w:val="36"/>
        </w:rPr>
        <w:t xml:space="preserve"> – 4</w:t>
      </w:r>
      <w:r w:rsidRPr="00A01F66">
        <w:rPr>
          <w:rFonts w:ascii="Times New Roman" w:hAnsi="Times New Roman" w:cs="Times New Roman"/>
          <w:b/>
          <w:bCs/>
          <w:sz w:val="36"/>
          <w:szCs w:val="36"/>
          <w:vertAlign w:val="superscript"/>
        </w:rPr>
        <w:t>th</w:t>
      </w:r>
      <w:r w:rsidRPr="00A01F66">
        <w:rPr>
          <w:rFonts w:ascii="Times New Roman" w:hAnsi="Times New Roman" w:cs="Times New Roman"/>
          <w:b/>
          <w:bCs/>
          <w:sz w:val="36"/>
          <w:szCs w:val="36"/>
        </w:rPr>
        <w:t xml:space="preserve"> Semester (OP Jindal Global University Syllabus)</w:t>
      </w:r>
    </w:p>
    <w:bookmarkEnd w:id="0"/>
    <w:p w:rsidR="00A940E5" w:rsidRDefault="00A940E5" w:rsidP="00634631">
      <w:pPr>
        <w:autoSpaceDE w:val="0"/>
        <w:autoSpaceDN w:val="0"/>
        <w:adjustRightInd w:val="0"/>
        <w:spacing w:after="0" w:line="240" w:lineRule="auto"/>
        <w:rPr>
          <w:rFonts w:ascii="TimesNewRomanPS-BoldMT" w:hAnsi="TimesNewRomanPS-BoldMT" w:cs="TimesNewRomanPS-BoldMT"/>
          <w:b/>
          <w:bCs/>
          <w:sz w:val="32"/>
          <w:szCs w:val="32"/>
          <w:u w:val="single"/>
        </w:rPr>
      </w:pPr>
    </w:p>
    <w:p w:rsidR="00A940E5" w:rsidRDefault="00A940E5" w:rsidP="00634631">
      <w:pPr>
        <w:autoSpaceDE w:val="0"/>
        <w:autoSpaceDN w:val="0"/>
        <w:adjustRightInd w:val="0"/>
        <w:spacing w:after="0" w:line="240" w:lineRule="auto"/>
        <w:rPr>
          <w:rFonts w:ascii="TimesNewRomanPS-BoldMT" w:hAnsi="TimesNewRomanPS-BoldMT" w:cs="TimesNewRomanPS-BoldMT"/>
          <w:b/>
          <w:bCs/>
          <w:sz w:val="32"/>
          <w:szCs w:val="32"/>
          <w:u w:val="single"/>
        </w:rPr>
      </w:pPr>
    </w:p>
    <w:p w:rsidR="00444BA4" w:rsidRPr="00A27505" w:rsidRDefault="00444BA4" w:rsidP="00634631">
      <w:pPr>
        <w:autoSpaceDE w:val="0"/>
        <w:autoSpaceDN w:val="0"/>
        <w:adjustRightInd w:val="0"/>
        <w:spacing w:after="0" w:line="240" w:lineRule="auto"/>
        <w:rPr>
          <w:rFonts w:ascii="TimesNewRomanPS-BoldMT" w:hAnsi="TimesNewRomanPS-BoldMT" w:cs="TimesNewRomanPS-BoldMT"/>
          <w:b/>
          <w:bCs/>
          <w:sz w:val="32"/>
          <w:szCs w:val="32"/>
          <w:u w:val="single"/>
        </w:rPr>
      </w:pPr>
      <w:r w:rsidRPr="00A27505">
        <w:rPr>
          <w:rFonts w:ascii="TimesNewRomanPS-BoldMT" w:hAnsi="TimesNewRomanPS-BoldMT" w:cs="TimesNewRomanPS-BoldMT"/>
          <w:b/>
          <w:bCs/>
          <w:sz w:val="32"/>
          <w:szCs w:val="32"/>
          <w:u w:val="single"/>
        </w:rPr>
        <w:t>Article 12</w:t>
      </w:r>
    </w:p>
    <w:p w:rsidR="00444BA4" w:rsidRDefault="00444BA4" w:rsidP="00634631">
      <w:pPr>
        <w:autoSpaceDE w:val="0"/>
        <w:autoSpaceDN w:val="0"/>
        <w:adjustRightInd w:val="0"/>
        <w:spacing w:after="0" w:line="240" w:lineRule="auto"/>
        <w:rPr>
          <w:rFonts w:ascii="TimesNewRomanPSMT" w:hAnsi="TimesNewRomanPSMT" w:cs="TimesNewRomanPSMT"/>
          <w:b/>
          <w:bCs/>
          <w:sz w:val="24"/>
          <w:szCs w:val="24"/>
        </w:rPr>
      </w:pPr>
    </w:p>
    <w:p w:rsidR="00444BA4" w:rsidRDefault="00EA524A" w:rsidP="00634631">
      <w:pPr>
        <w:autoSpaceDE w:val="0"/>
        <w:autoSpaceDN w:val="0"/>
        <w:adjustRightInd w:val="0"/>
        <w:spacing w:after="0" w:line="240" w:lineRule="auto"/>
        <w:rPr>
          <w:rFonts w:ascii="TimesNewRomanPSMT" w:hAnsi="TimesNewRomanPSMT" w:cs="TimesNewRomanPSMT"/>
          <w:sz w:val="24"/>
          <w:szCs w:val="24"/>
        </w:rPr>
      </w:pPr>
      <w:r w:rsidRPr="00EA524A">
        <w:rPr>
          <w:rFonts w:ascii="TimesNewRomanPSMT" w:hAnsi="TimesNewRomanPSMT" w:cs="TimesNewRomanPSMT"/>
          <w:b/>
          <w:bCs/>
          <w:sz w:val="24"/>
          <w:szCs w:val="24"/>
        </w:rPr>
        <w:t>Rajasthan State Electricity Board v. Mohan Lal</w:t>
      </w:r>
      <w:r>
        <w:rPr>
          <w:rFonts w:ascii="TimesNewRomanPSMT" w:hAnsi="TimesNewRomanPSMT" w:cs="TimesNewRomanPSMT"/>
          <w:b/>
          <w:bCs/>
          <w:sz w:val="24"/>
          <w:szCs w:val="24"/>
        </w:rPr>
        <w:t xml:space="preserve"> - </w:t>
      </w:r>
      <w:r w:rsidR="000D35A3">
        <w:rPr>
          <w:rFonts w:ascii="TimesNewRomanPSMT" w:hAnsi="TimesNewRomanPSMT" w:cs="TimesNewRomanPSMT"/>
          <w:b/>
          <w:bCs/>
          <w:sz w:val="24"/>
          <w:szCs w:val="24"/>
        </w:rPr>
        <w:t xml:space="preserve"> </w:t>
      </w:r>
      <w:r w:rsidR="000D35A3" w:rsidRPr="000D35A3">
        <w:rPr>
          <w:rFonts w:ascii="TimesNewRomanPSMT" w:hAnsi="TimesNewRomanPSMT" w:cs="TimesNewRomanPSMT"/>
          <w:sz w:val="24"/>
          <w:szCs w:val="24"/>
        </w:rPr>
        <w:t>Art. 12 will include all constitutional or statutory authorities on whom powers are conferred by law. It is not at all material that some of the powers conferred may be for the purpose of carrying on commercial activities.</w:t>
      </w:r>
    </w:p>
    <w:p w:rsidR="000D35A3" w:rsidRDefault="000D35A3" w:rsidP="00634631">
      <w:pPr>
        <w:autoSpaceDE w:val="0"/>
        <w:autoSpaceDN w:val="0"/>
        <w:adjustRightInd w:val="0"/>
        <w:spacing w:after="0" w:line="240" w:lineRule="auto"/>
        <w:rPr>
          <w:rFonts w:ascii="TimesNewRomanPSMT" w:hAnsi="TimesNewRomanPSMT" w:cs="TimesNewRomanPSMT"/>
          <w:sz w:val="24"/>
          <w:szCs w:val="24"/>
        </w:rPr>
      </w:pPr>
    </w:p>
    <w:p w:rsidR="00444BA4" w:rsidRDefault="000D35A3" w:rsidP="00634631">
      <w:pPr>
        <w:autoSpaceDE w:val="0"/>
        <w:autoSpaceDN w:val="0"/>
        <w:adjustRightInd w:val="0"/>
        <w:spacing w:after="0" w:line="240" w:lineRule="auto"/>
        <w:rPr>
          <w:rFonts w:ascii="TimesNewRomanPSMT" w:hAnsi="TimesNewRomanPSMT" w:cs="TimesNewRomanPSMT"/>
          <w:sz w:val="24"/>
          <w:szCs w:val="24"/>
        </w:rPr>
      </w:pPr>
      <w:r w:rsidRPr="000D35A3">
        <w:rPr>
          <w:rFonts w:ascii="TimesNewRomanPSMT" w:hAnsi="TimesNewRomanPSMT" w:cs="TimesNewRomanPSMT"/>
          <w:b/>
          <w:bCs/>
          <w:sz w:val="24"/>
          <w:szCs w:val="24"/>
        </w:rPr>
        <w:t>Sukhdev</w:t>
      </w:r>
      <w:r w:rsidRPr="000D35A3">
        <w:rPr>
          <w:rFonts w:ascii="TimesNewRomanPSMT" w:hAnsi="TimesNewRomanPSMT" w:cs="TimesNewRomanPSMT"/>
          <w:sz w:val="24"/>
          <w:szCs w:val="24"/>
        </w:rPr>
        <w:t xml:space="preserve"> </w:t>
      </w:r>
      <w:r w:rsidRPr="000D35A3">
        <w:rPr>
          <w:rFonts w:ascii="TimesNewRomanPSMT" w:hAnsi="TimesNewRomanPSMT" w:cs="TimesNewRomanPSMT"/>
          <w:b/>
          <w:bCs/>
          <w:sz w:val="24"/>
          <w:szCs w:val="24"/>
        </w:rPr>
        <w:t>Singh v. Bhagat Ram</w:t>
      </w:r>
      <w:r>
        <w:rPr>
          <w:rFonts w:ascii="TimesNewRomanPSMT" w:hAnsi="TimesNewRomanPSMT" w:cs="TimesNewRomanPSMT"/>
          <w:b/>
          <w:bCs/>
          <w:sz w:val="24"/>
          <w:szCs w:val="24"/>
        </w:rPr>
        <w:t xml:space="preserve"> - </w:t>
      </w:r>
      <w:r w:rsidRPr="000D35A3">
        <w:rPr>
          <w:rFonts w:ascii="TimesNewRomanPSMT" w:hAnsi="TimesNewRomanPSMT" w:cs="TimesNewRomanPSMT"/>
          <w:sz w:val="24"/>
          <w:szCs w:val="24"/>
        </w:rPr>
        <w:t>The statutes for consideration are LIC Act, ONGC Act and Industrial Finance Corporation Act</w:t>
      </w:r>
      <w:r>
        <w:rPr>
          <w:rFonts w:ascii="TimesNewRomanPSMT" w:hAnsi="TimesNewRomanPSMT" w:cs="TimesNewRomanPSMT"/>
          <w:sz w:val="24"/>
          <w:szCs w:val="24"/>
        </w:rPr>
        <w:t xml:space="preserve">. </w:t>
      </w:r>
      <w:r w:rsidRPr="000D35A3">
        <w:rPr>
          <w:rFonts w:ascii="TimesNewRomanPSMT" w:hAnsi="TimesNewRomanPSMT" w:cs="TimesNewRomanPSMT"/>
          <w:sz w:val="24"/>
          <w:szCs w:val="24"/>
        </w:rPr>
        <w:t>The fact that these corporations have independent personalities in the eye of law does not mean that they are not subject to the control of government or that they are not instrumentalities of the government. These corporations are instrumentalities or agencies of the state for carrying on businesses which otherwise would have been run by the state departmentally</w:t>
      </w:r>
      <w:r>
        <w:rPr>
          <w:rFonts w:ascii="TimesNewRomanPSMT" w:hAnsi="TimesNewRomanPSMT" w:cs="TimesNewRomanPSMT"/>
          <w:sz w:val="24"/>
          <w:szCs w:val="24"/>
        </w:rPr>
        <w:t xml:space="preserve">. </w:t>
      </w:r>
      <w:r w:rsidRPr="000D35A3">
        <w:rPr>
          <w:rFonts w:ascii="TimesNewRomanPSMT" w:hAnsi="TimesNewRomanPSMT" w:cs="TimesNewRomanPSMT"/>
          <w:i/>
          <w:iCs/>
          <w:sz w:val="24"/>
          <w:szCs w:val="24"/>
        </w:rPr>
        <w:t>The Court held that bodies which were creatures of the statues having important State functions and where State had pervasive control of activities of those bodies would be State for the purpose of Article 12.</w:t>
      </w:r>
    </w:p>
    <w:p w:rsidR="000D35A3" w:rsidRDefault="000D35A3"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w:t>
      </w:r>
    </w:p>
    <w:p w:rsidR="000D35A3" w:rsidRDefault="000D35A3" w:rsidP="00634631">
      <w:pPr>
        <w:autoSpaceDE w:val="0"/>
        <w:autoSpaceDN w:val="0"/>
        <w:adjustRightInd w:val="0"/>
        <w:spacing w:after="0" w:line="240" w:lineRule="auto"/>
        <w:rPr>
          <w:rFonts w:ascii="TimesNewRomanPSMT" w:hAnsi="TimesNewRomanPSMT" w:cs="TimesNewRomanPSMT"/>
          <w:sz w:val="24"/>
          <w:szCs w:val="24"/>
        </w:rPr>
      </w:pPr>
      <w:proofErr w:type="spellStart"/>
      <w:r w:rsidRPr="000D35A3">
        <w:rPr>
          <w:rFonts w:ascii="TimesNewRomanPSMT" w:hAnsi="TimesNewRomanPSMT" w:cs="TimesNewRomanPSMT"/>
          <w:b/>
          <w:bCs/>
          <w:sz w:val="24"/>
          <w:szCs w:val="24"/>
        </w:rPr>
        <w:t>Sabhajit</w:t>
      </w:r>
      <w:proofErr w:type="spellEnd"/>
      <w:r w:rsidRPr="000D35A3">
        <w:rPr>
          <w:rFonts w:ascii="TimesNewRomanPSMT" w:hAnsi="TimesNewRomanPSMT" w:cs="TimesNewRomanPSMT"/>
          <w:b/>
          <w:bCs/>
          <w:sz w:val="24"/>
          <w:szCs w:val="24"/>
        </w:rPr>
        <w:t xml:space="preserve"> </w:t>
      </w:r>
      <w:proofErr w:type="spellStart"/>
      <w:r w:rsidRPr="000D35A3">
        <w:rPr>
          <w:rFonts w:ascii="TimesNewRomanPSMT" w:hAnsi="TimesNewRomanPSMT" w:cs="TimesNewRomanPSMT"/>
          <w:b/>
          <w:bCs/>
          <w:sz w:val="24"/>
          <w:szCs w:val="24"/>
        </w:rPr>
        <w:t>Tewary</w:t>
      </w:r>
      <w:proofErr w:type="spellEnd"/>
      <w:r w:rsidRPr="000D35A3">
        <w:rPr>
          <w:rFonts w:ascii="TimesNewRomanPSMT" w:hAnsi="TimesNewRomanPSMT" w:cs="TimesNewRomanPSMT"/>
          <w:b/>
          <w:bCs/>
          <w:sz w:val="24"/>
          <w:szCs w:val="24"/>
        </w:rPr>
        <w:t xml:space="preserve"> v. Union of India</w:t>
      </w:r>
      <w:r>
        <w:rPr>
          <w:rFonts w:ascii="TimesNewRomanPSMT" w:hAnsi="TimesNewRomanPSMT" w:cs="TimesNewRomanPSMT"/>
          <w:b/>
          <w:bCs/>
          <w:sz w:val="24"/>
          <w:szCs w:val="24"/>
        </w:rPr>
        <w:t xml:space="preserve"> - </w:t>
      </w:r>
      <w:r w:rsidRPr="000D35A3">
        <w:rPr>
          <w:rFonts w:ascii="TimesNewRomanPSMT" w:hAnsi="TimesNewRomanPSMT" w:cs="TimesNewRomanPSMT"/>
          <w:sz w:val="24"/>
          <w:szCs w:val="24"/>
        </w:rPr>
        <w:t>Council for Scientific and Industrial Research which was only registered under the Societies Registration Act would not come under the term "other authorities" in Article 12.</w:t>
      </w:r>
      <w:r>
        <w:rPr>
          <w:rFonts w:ascii="TimesNewRomanPSMT" w:hAnsi="TimesNewRomanPSMT" w:cs="TimesNewRomanPSMT"/>
          <w:sz w:val="24"/>
          <w:szCs w:val="24"/>
        </w:rPr>
        <w:t xml:space="preserve"> </w:t>
      </w:r>
      <w:r w:rsidRPr="000D35A3">
        <w:rPr>
          <w:rFonts w:ascii="TimesNewRomanPSMT" w:hAnsi="TimesNewRomanPSMT" w:cs="TimesNewRomanPSMT"/>
          <w:sz w:val="24"/>
          <w:szCs w:val="24"/>
        </w:rPr>
        <w:t>The Court held a body which was registered under a statute and not performing important State functions and not functioning under the pervasive control of the Government would not be a State for the purpose of Article 12.</w:t>
      </w:r>
    </w:p>
    <w:p w:rsidR="000D35A3" w:rsidRDefault="000D35A3" w:rsidP="00634631">
      <w:pPr>
        <w:autoSpaceDE w:val="0"/>
        <w:autoSpaceDN w:val="0"/>
        <w:adjustRightInd w:val="0"/>
        <w:spacing w:after="0" w:line="240" w:lineRule="auto"/>
        <w:rPr>
          <w:rFonts w:ascii="TimesNewRomanPSMT" w:hAnsi="TimesNewRomanPSMT" w:cs="TimesNewRomanPSMT"/>
          <w:sz w:val="24"/>
          <w:szCs w:val="24"/>
        </w:rPr>
      </w:pPr>
    </w:p>
    <w:p w:rsidR="000D35A3" w:rsidRDefault="000D35A3" w:rsidP="000D35A3">
      <w:pPr>
        <w:autoSpaceDE w:val="0"/>
        <w:autoSpaceDN w:val="0"/>
        <w:adjustRightInd w:val="0"/>
        <w:spacing w:after="0" w:line="240" w:lineRule="auto"/>
        <w:rPr>
          <w:rFonts w:ascii="TimesNewRomanPSMT" w:hAnsi="TimesNewRomanPSMT" w:cs="TimesNewRomanPSMT"/>
          <w:sz w:val="24"/>
          <w:szCs w:val="24"/>
        </w:rPr>
      </w:pPr>
      <w:r w:rsidRPr="000D35A3">
        <w:rPr>
          <w:rFonts w:ascii="TimesNewRomanPSMT" w:hAnsi="TimesNewRomanPSMT" w:cs="TimesNewRomanPSMT"/>
          <w:b/>
          <w:bCs/>
          <w:sz w:val="24"/>
          <w:szCs w:val="24"/>
        </w:rPr>
        <w:t xml:space="preserve">Ajay </w:t>
      </w:r>
      <w:proofErr w:type="spellStart"/>
      <w:r w:rsidRPr="000D35A3">
        <w:rPr>
          <w:rFonts w:ascii="TimesNewRomanPSMT" w:hAnsi="TimesNewRomanPSMT" w:cs="TimesNewRomanPSMT"/>
          <w:b/>
          <w:bCs/>
          <w:sz w:val="24"/>
          <w:szCs w:val="24"/>
        </w:rPr>
        <w:t>Hasia</w:t>
      </w:r>
      <w:proofErr w:type="spellEnd"/>
      <w:r w:rsidRPr="000D35A3">
        <w:rPr>
          <w:rFonts w:ascii="TimesNewRomanPSMT" w:hAnsi="TimesNewRomanPSMT" w:cs="TimesNewRomanPSMT"/>
          <w:b/>
          <w:bCs/>
          <w:sz w:val="24"/>
          <w:szCs w:val="24"/>
        </w:rPr>
        <w:t xml:space="preserve"> v. Khalid Mujib</w:t>
      </w:r>
      <w:r>
        <w:rPr>
          <w:rFonts w:ascii="TimesNewRomanPSMT" w:hAnsi="TimesNewRomanPSMT" w:cs="TimesNewRomanPSMT"/>
          <w:b/>
          <w:bCs/>
          <w:sz w:val="24"/>
          <w:szCs w:val="24"/>
        </w:rPr>
        <w:t xml:space="preserve"> – </w:t>
      </w:r>
      <w:r w:rsidRPr="000D35A3">
        <w:rPr>
          <w:rFonts w:ascii="TimesNewRomanPSMT" w:hAnsi="TimesNewRomanPSMT" w:cs="TimesNewRomanPSMT"/>
          <w:sz w:val="24"/>
          <w:szCs w:val="24"/>
        </w:rPr>
        <w:t>There are several factors which may have to be considered in determining whether a corporation is an agency or instrumentality of Government.</w:t>
      </w:r>
    </w:p>
    <w:p w:rsidR="000D35A3" w:rsidRPr="000D35A3" w:rsidRDefault="000D35A3" w:rsidP="000D35A3">
      <w:pPr>
        <w:autoSpaceDE w:val="0"/>
        <w:autoSpaceDN w:val="0"/>
        <w:adjustRightInd w:val="0"/>
        <w:spacing w:after="0" w:line="240" w:lineRule="auto"/>
        <w:rPr>
          <w:rFonts w:ascii="TimesNewRomanPSMT" w:hAnsi="TimesNewRomanPSMT" w:cs="TimesNewRomanPSMT"/>
          <w:sz w:val="24"/>
          <w:szCs w:val="24"/>
        </w:rPr>
      </w:pPr>
    </w:p>
    <w:p w:rsidR="000D35A3" w:rsidRDefault="000D35A3" w:rsidP="000D35A3">
      <w:pPr>
        <w:pStyle w:val="ListParagraph"/>
        <w:numPr>
          <w:ilvl w:val="0"/>
          <w:numId w:val="8"/>
        </w:numPr>
        <w:autoSpaceDE w:val="0"/>
        <w:autoSpaceDN w:val="0"/>
        <w:adjustRightInd w:val="0"/>
        <w:spacing w:after="0" w:line="240" w:lineRule="auto"/>
        <w:rPr>
          <w:rFonts w:ascii="TimesNewRomanPSMT" w:hAnsi="TimesNewRomanPSMT" w:cs="TimesNewRomanPSMT"/>
          <w:sz w:val="24"/>
          <w:szCs w:val="24"/>
        </w:rPr>
      </w:pPr>
      <w:r w:rsidRPr="000D35A3">
        <w:rPr>
          <w:rFonts w:ascii="TimesNewRomanPSMT" w:hAnsi="TimesNewRomanPSMT" w:cs="TimesNewRomanPSMT"/>
          <w:sz w:val="24"/>
          <w:szCs w:val="24"/>
        </w:rPr>
        <w:t xml:space="preserve">One thing is clear that if the </w:t>
      </w:r>
      <w:r w:rsidRPr="000D35A3">
        <w:rPr>
          <w:rFonts w:ascii="TimesNewRomanPSMT" w:hAnsi="TimesNewRomanPSMT" w:cs="TimesNewRomanPSMT"/>
          <w:color w:val="FF0000"/>
          <w:sz w:val="24"/>
          <w:szCs w:val="24"/>
        </w:rPr>
        <w:t xml:space="preserve">entire share capital </w:t>
      </w:r>
      <w:r w:rsidRPr="000D35A3">
        <w:rPr>
          <w:rFonts w:ascii="TimesNewRomanPSMT" w:hAnsi="TimesNewRomanPSMT" w:cs="TimesNewRomanPSMT"/>
          <w:sz w:val="24"/>
          <w:szCs w:val="24"/>
        </w:rPr>
        <w:t>of the corporation is held by Government it would go a long way towards indicating that the corporation is an instrumentality or agency of Government.</w:t>
      </w:r>
    </w:p>
    <w:p w:rsidR="000D35A3" w:rsidRPr="000D35A3" w:rsidRDefault="000D35A3" w:rsidP="000D35A3">
      <w:pPr>
        <w:pStyle w:val="ListParagraph"/>
        <w:autoSpaceDE w:val="0"/>
        <w:autoSpaceDN w:val="0"/>
        <w:adjustRightInd w:val="0"/>
        <w:spacing w:after="0" w:line="240" w:lineRule="auto"/>
        <w:rPr>
          <w:rFonts w:ascii="TimesNewRomanPSMT" w:hAnsi="TimesNewRomanPSMT" w:cs="TimesNewRomanPSMT"/>
          <w:sz w:val="24"/>
          <w:szCs w:val="24"/>
        </w:rPr>
      </w:pPr>
    </w:p>
    <w:p w:rsidR="000D35A3" w:rsidRDefault="000D35A3" w:rsidP="000D35A3">
      <w:pPr>
        <w:pStyle w:val="ListParagraph"/>
        <w:numPr>
          <w:ilvl w:val="0"/>
          <w:numId w:val="8"/>
        </w:numPr>
        <w:autoSpaceDE w:val="0"/>
        <w:autoSpaceDN w:val="0"/>
        <w:adjustRightInd w:val="0"/>
        <w:spacing w:after="0" w:line="240" w:lineRule="auto"/>
        <w:rPr>
          <w:rFonts w:ascii="TimesNewRomanPSMT" w:hAnsi="TimesNewRomanPSMT" w:cs="TimesNewRomanPSMT"/>
          <w:sz w:val="24"/>
          <w:szCs w:val="24"/>
        </w:rPr>
      </w:pPr>
      <w:r w:rsidRPr="000D35A3">
        <w:rPr>
          <w:rFonts w:ascii="TimesNewRomanPSMT" w:hAnsi="TimesNewRomanPSMT" w:cs="TimesNewRomanPSMT"/>
          <w:sz w:val="24"/>
          <w:szCs w:val="24"/>
        </w:rPr>
        <w:t xml:space="preserve">Where the </w:t>
      </w:r>
      <w:r w:rsidRPr="000D35A3">
        <w:rPr>
          <w:rFonts w:ascii="TimesNewRomanPSMT" w:hAnsi="TimesNewRomanPSMT" w:cs="TimesNewRomanPSMT"/>
          <w:color w:val="FF0000"/>
          <w:sz w:val="24"/>
          <w:szCs w:val="24"/>
        </w:rPr>
        <w:t xml:space="preserve">financial assistance </w:t>
      </w:r>
      <w:r w:rsidRPr="000D35A3">
        <w:rPr>
          <w:rFonts w:ascii="TimesNewRomanPSMT" w:hAnsi="TimesNewRomanPSMT" w:cs="TimesNewRomanPSMT"/>
          <w:sz w:val="24"/>
          <w:szCs w:val="24"/>
        </w:rPr>
        <w:t>of the State is so much as to meet almost entire expenditure of the corporation, it would afford some indication of the corporation being impregnated with governmental character.</w:t>
      </w:r>
    </w:p>
    <w:p w:rsidR="000D35A3" w:rsidRPr="000D35A3" w:rsidRDefault="000D35A3" w:rsidP="000D35A3">
      <w:pPr>
        <w:autoSpaceDE w:val="0"/>
        <w:autoSpaceDN w:val="0"/>
        <w:adjustRightInd w:val="0"/>
        <w:spacing w:after="0" w:line="240" w:lineRule="auto"/>
        <w:rPr>
          <w:rFonts w:ascii="TimesNewRomanPSMT" w:hAnsi="TimesNewRomanPSMT" w:cs="TimesNewRomanPSMT"/>
          <w:sz w:val="24"/>
          <w:szCs w:val="24"/>
        </w:rPr>
      </w:pPr>
    </w:p>
    <w:p w:rsidR="000D35A3" w:rsidRDefault="000D35A3" w:rsidP="000D35A3">
      <w:pPr>
        <w:pStyle w:val="ListParagraph"/>
        <w:numPr>
          <w:ilvl w:val="0"/>
          <w:numId w:val="8"/>
        </w:numPr>
        <w:autoSpaceDE w:val="0"/>
        <w:autoSpaceDN w:val="0"/>
        <w:adjustRightInd w:val="0"/>
        <w:spacing w:after="0" w:line="240" w:lineRule="auto"/>
        <w:rPr>
          <w:rFonts w:ascii="TimesNewRomanPSMT" w:hAnsi="TimesNewRomanPSMT" w:cs="TimesNewRomanPSMT"/>
          <w:sz w:val="24"/>
          <w:szCs w:val="24"/>
        </w:rPr>
      </w:pPr>
      <w:r w:rsidRPr="000D35A3">
        <w:rPr>
          <w:rFonts w:ascii="TimesNewRomanPSMT" w:hAnsi="TimesNewRomanPSMT" w:cs="TimesNewRomanPSMT"/>
          <w:sz w:val="24"/>
          <w:szCs w:val="24"/>
        </w:rPr>
        <w:t xml:space="preserve">It may also be a relevant factor...whether the corporation enjoys </w:t>
      </w:r>
      <w:r w:rsidRPr="000D35A3">
        <w:rPr>
          <w:rFonts w:ascii="TimesNewRomanPSMT" w:hAnsi="TimesNewRomanPSMT" w:cs="TimesNewRomanPSMT"/>
          <w:color w:val="FF0000"/>
          <w:sz w:val="24"/>
          <w:szCs w:val="24"/>
        </w:rPr>
        <w:t xml:space="preserve">monopoly status </w:t>
      </w:r>
      <w:r w:rsidRPr="000D35A3">
        <w:rPr>
          <w:rFonts w:ascii="TimesNewRomanPSMT" w:hAnsi="TimesNewRomanPSMT" w:cs="TimesNewRomanPSMT"/>
          <w:sz w:val="24"/>
          <w:szCs w:val="24"/>
        </w:rPr>
        <w:t>which is the State conferred or State protected.</w:t>
      </w:r>
    </w:p>
    <w:p w:rsidR="000D35A3" w:rsidRPr="000D35A3" w:rsidRDefault="000D35A3" w:rsidP="000D35A3">
      <w:pPr>
        <w:autoSpaceDE w:val="0"/>
        <w:autoSpaceDN w:val="0"/>
        <w:adjustRightInd w:val="0"/>
        <w:spacing w:after="0" w:line="240" w:lineRule="auto"/>
        <w:rPr>
          <w:rFonts w:ascii="TimesNewRomanPSMT" w:hAnsi="TimesNewRomanPSMT" w:cs="TimesNewRomanPSMT"/>
          <w:sz w:val="24"/>
          <w:szCs w:val="24"/>
        </w:rPr>
      </w:pPr>
    </w:p>
    <w:p w:rsidR="000D35A3" w:rsidRDefault="000D35A3" w:rsidP="000D35A3">
      <w:pPr>
        <w:pStyle w:val="ListParagraph"/>
        <w:numPr>
          <w:ilvl w:val="0"/>
          <w:numId w:val="8"/>
        </w:numPr>
        <w:autoSpaceDE w:val="0"/>
        <w:autoSpaceDN w:val="0"/>
        <w:adjustRightInd w:val="0"/>
        <w:spacing w:after="0" w:line="240" w:lineRule="auto"/>
        <w:rPr>
          <w:rFonts w:ascii="TimesNewRomanPSMT" w:hAnsi="TimesNewRomanPSMT" w:cs="TimesNewRomanPSMT"/>
          <w:sz w:val="24"/>
          <w:szCs w:val="24"/>
        </w:rPr>
      </w:pPr>
      <w:r w:rsidRPr="000D35A3">
        <w:rPr>
          <w:rFonts w:ascii="TimesNewRomanPSMT" w:hAnsi="TimesNewRomanPSMT" w:cs="TimesNewRomanPSMT"/>
          <w:sz w:val="24"/>
          <w:szCs w:val="24"/>
        </w:rPr>
        <w:t xml:space="preserve">Existence of </w:t>
      </w:r>
      <w:r w:rsidRPr="000D35A3">
        <w:rPr>
          <w:rFonts w:ascii="TimesNewRomanPSMT" w:hAnsi="TimesNewRomanPSMT" w:cs="TimesNewRomanPSMT"/>
          <w:color w:val="FF0000"/>
          <w:sz w:val="24"/>
          <w:szCs w:val="24"/>
        </w:rPr>
        <w:t xml:space="preserve">deep and pervasive State control </w:t>
      </w:r>
      <w:r w:rsidRPr="000D35A3">
        <w:rPr>
          <w:rFonts w:ascii="TimesNewRomanPSMT" w:hAnsi="TimesNewRomanPSMT" w:cs="TimesNewRomanPSMT"/>
          <w:sz w:val="24"/>
          <w:szCs w:val="24"/>
        </w:rPr>
        <w:t xml:space="preserve">may afford an indication that the Corporation is a State agency or instrumentality. </w:t>
      </w:r>
    </w:p>
    <w:p w:rsidR="000D35A3" w:rsidRPr="000D35A3" w:rsidRDefault="000D35A3" w:rsidP="000D35A3">
      <w:pPr>
        <w:autoSpaceDE w:val="0"/>
        <w:autoSpaceDN w:val="0"/>
        <w:adjustRightInd w:val="0"/>
        <w:spacing w:after="0" w:line="240" w:lineRule="auto"/>
        <w:rPr>
          <w:rFonts w:ascii="TimesNewRomanPSMT" w:hAnsi="TimesNewRomanPSMT" w:cs="TimesNewRomanPSMT"/>
          <w:sz w:val="24"/>
          <w:szCs w:val="24"/>
        </w:rPr>
      </w:pPr>
    </w:p>
    <w:p w:rsidR="000D35A3" w:rsidRDefault="000D35A3" w:rsidP="000D35A3">
      <w:pPr>
        <w:pStyle w:val="ListParagraph"/>
        <w:numPr>
          <w:ilvl w:val="0"/>
          <w:numId w:val="8"/>
        </w:numPr>
        <w:autoSpaceDE w:val="0"/>
        <w:autoSpaceDN w:val="0"/>
        <w:adjustRightInd w:val="0"/>
        <w:spacing w:after="0" w:line="240" w:lineRule="auto"/>
        <w:rPr>
          <w:rFonts w:ascii="TimesNewRomanPSMT" w:hAnsi="TimesNewRomanPSMT" w:cs="TimesNewRomanPSMT"/>
          <w:sz w:val="24"/>
          <w:szCs w:val="24"/>
        </w:rPr>
      </w:pPr>
      <w:r w:rsidRPr="000D35A3">
        <w:rPr>
          <w:rFonts w:ascii="TimesNewRomanPSMT" w:hAnsi="TimesNewRomanPSMT" w:cs="TimesNewRomanPSMT"/>
          <w:sz w:val="24"/>
          <w:szCs w:val="24"/>
        </w:rPr>
        <w:t xml:space="preserve">If the </w:t>
      </w:r>
      <w:r w:rsidRPr="000D35A3">
        <w:rPr>
          <w:rFonts w:ascii="TimesNewRomanPSMT" w:hAnsi="TimesNewRomanPSMT" w:cs="TimesNewRomanPSMT"/>
          <w:color w:val="FF0000"/>
          <w:sz w:val="24"/>
          <w:szCs w:val="24"/>
        </w:rPr>
        <w:t>functions of the corporation of public importance and closely related to governmental functions</w:t>
      </w:r>
      <w:r w:rsidRPr="000D35A3">
        <w:rPr>
          <w:rFonts w:ascii="TimesNewRomanPSMT" w:hAnsi="TimesNewRomanPSMT" w:cs="TimesNewRomanPSMT"/>
          <w:sz w:val="24"/>
          <w:szCs w:val="24"/>
        </w:rPr>
        <w:t xml:space="preserve">, it would be a relevant factor in classifying the corporation as an instrumentality or agency of Government. </w:t>
      </w:r>
    </w:p>
    <w:p w:rsidR="000D35A3" w:rsidRPr="000D35A3" w:rsidRDefault="000D35A3" w:rsidP="000D35A3">
      <w:pPr>
        <w:autoSpaceDE w:val="0"/>
        <w:autoSpaceDN w:val="0"/>
        <w:adjustRightInd w:val="0"/>
        <w:spacing w:after="0" w:line="240" w:lineRule="auto"/>
        <w:rPr>
          <w:rFonts w:ascii="TimesNewRomanPSMT" w:hAnsi="TimesNewRomanPSMT" w:cs="TimesNewRomanPSMT"/>
          <w:sz w:val="24"/>
          <w:szCs w:val="24"/>
        </w:rPr>
      </w:pPr>
    </w:p>
    <w:p w:rsidR="000D35A3" w:rsidRPr="000D35A3" w:rsidRDefault="000D35A3" w:rsidP="000D35A3">
      <w:pPr>
        <w:pStyle w:val="ListParagraph"/>
        <w:numPr>
          <w:ilvl w:val="0"/>
          <w:numId w:val="8"/>
        </w:numPr>
        <w:autoSpaceDE w:val="0"/>
        <w:autoSpaceDN w:val="0"/>
        <w:adjustRightInd w:val="0"/>
        <w:spacing w:after="0" w:line="240" w:lineRule="auto"/>
        <w:rPr>
          <w:rFonts w:ascii="TimesNewRomanPSMT" w:hAnsi="TimesNewRomanPSMT" w:cs="TimesNewRomanPSMT"/>
          <w:sz w:val="24"/>
          <w:szCs w:val="24"/>
        </w:rPr>
      </w:pPr>
      <w:r w:rsidRPr="000D35A3">
        <w:rPr>
          <w:rFonts w:ascii="TimesNewRomanPSMT" w:hAnsi="TimesNewRomanPSMT" w:cs="TimesNewRomanPSMT"/>
          <w:sz w:val="24"/>
          <w:szCs w:val="24"/>
        </w:rPr>
        <w:lastRenderedPageBreak/>
        <w:t xml:space="preserve">Specifically, if a </w:t>
      </w:r>
      <w:r w:rsidRPr="000D35A3">
        <w:rPr>
          <w:rFonts w:ascii="TimesNewRomanPSMT" w:hAnsi="TimesNewRomanPSMT" w:cs="TimesNewRomanPSMT"/>
          <w:color w:val="FF0000"/>
          <w:sz w:val="24"/>
          <w:szCs w:val="24"/>
        </w:rPr>
        <w:t>department of Government is transferred to a corporation</w:t>
      </w:r>
      <w:r w:rsidRPr="000D35A3">
        <w:rPr>
          <w:rFonts w:ascii="TimesNewRomanPSMT" w:hAnsi="TimesNewRomanPSMT" w:cs="TimesNewRomanPSMT"/>
          <w:sz w:val="24"/>
          <w:szCs w:val="24"/>
        </w:rPr>
        <w:t>, it would be a strong factor supportive of this inference of the corporation being an instrumentality or agency of Government</w:t>
      </w:r>
    </w:p>
    <w:p w:rsidR="000D35A3" w:rsidRDefault="000D35A3" w:rsidP="00634631">
      <w:pPr>
        <w:autoSpaceDE w:val="0"/>
        <w:autoSpaceDN w:val="0"/>
        <w:adjustRightInd w:val="0"/>
        <w:spacing w:after="0" w:line="240" w:lineRule="auto"/>
        <w:rPr>
          <w:rFonts w:ascii="TimesNewRomanPSMT" w:hAnsi="TimesNewRomanPSMT" w:cs="TimesNewRomanPSMT"/>
          <w:sz w:val="24"/>
          <w:szCs w:val="24"/>
        </w:rPr>
      </w:pPr>
    </w:p>
    <w:p w:rsidR="000D35A3" w:rsidRDefault="00C8386D" w:rsidP="00634631">
      <w:pPr>
        <w:autoSpaceDE w:val="0"/>
        <w:autoSpaceDN w:val="0"/>
        <w:adjustRightInd w:val="0"/>
        <w:spacing w:after="0" w:line="240" w:lineRule="auto"/>
        <w:rPr>
          <w:rFonts w:ascii="TimesNewRomanPSMT" w:hAnsi="TimesNewRomanPSMT" w:cs="TimesNewRomanPSMT"/>
          <w:b/>
          <w:bCs/>
          <w:sz w:val="24"/>
          <w:szCs w:val="24"/>
        </w:rPr>
      </w:pPr>
      <w:proofErr w:type="spellStart"/>
      <w:r w:rsidRPr="00C8386D">
        <w:rPr>
          <w:rFonts w:ascii="TimesNewRomanPSMT" w:hAnsi="TimesNewRomanPSMT" w:cs="TimesNewRomanPSMT"/>
          <w:b/>
          <w:bCs/>
          <w:sz w:val="24"/>
          <w:szCs w:val="24"/>
        </w:rPr>
        <w:t>Som</w:t>
      </w:r>
      <w:proofErr w:type="spellEnd"/>
      <w:r w:rsidRPr="00C8386D">
        <w:rPr>
          <w:rFonts w:ascii="TimesNewRomanPSMT" w:hAnsi="TimesNewRomanPSMT" w:cs="TimesNewRomanPSMT"/>
          <w:b/>
          <w:bCs/>
          <w:sz w:val="24"/>
          <w:szCs w:val="24"/>
        </w:rPr>
        <w:t xml:space="preserve"> Prakash </w:t>
      </w:r>
      <w:proofErr w:type="spellStart"/>
      <w:r w:rsidRPr="00C8386D">
        <w:rPr>
          <w:rFonts w:ascii="TimesNewRomanPSMT" w:hAnsi="TimesNewRomanPSMT" w:cs="TimesNewRomanPSMT"/>
          <w:b/>
          <w:bCs/>
          <w:sz w:val="24"/>
          <w:szCs w:val="24"/>
        </w:rPr>
        <w:t>Rekhi</w:t>
      </w:r>
      <w:proofErr w:type="spellEnd"/>
      <w:r w:rsidRPr="00C8386D">
        <w:rPr>
          <w:rFonts w:ascii="TimesNewRomanPSMT" w:hAnsi="TimesNewRomanPSMT" w:cs="TimesNewRomanPSMT"/>
          <w:b/>
          <w:bCs/>
          <w:sz w:val="24"/>
          <w:szCs w:val="24"/>
        </w:rPr>
        <w:t xml:space="preserve"> v. Union of India</w:t>
      </w:r>
      <w:r>
        <w:rPr>
          <w:rFonts w:ascii="TimesNewRomanPSMT" w:hAnsi="TimesNewRomanPSMT" w:cs="TimesNewRomanPSMT"/>
          <w:b/>
          <w:bCs/>
          <w:sz w:val="24"/>
          <w:szCs w:val="24"/>
        </w:rPr>
        <w:t xml:space="preserve"> - </w:t>
      </w:r>
      <w:r w:rsidRPr="00C8386D">
        <w:rPr>
          <w:rFonts w:ascii="TimesNewRomanPSMT" w:hAnsi="TimesNewRomanPSMT" w:cs="TimesNewRomanPSMT"/>
          <w:sz w:val="24"/>
          <w:szCs w:val="24"/>
        </w:rPr>
        <w:t xml:space="preserve">The true test is functional. Not how the legal person is born but why it is created. </w:t>
      </w:r>
      <w:r>
        <w:rPr>
          <w:rFonts w:ascii="TimesNewRomanPSMT" w:hAnsi="TimesNewRomanPSMT" w:cs="TimesNewRomanPSMT"/>
          <w:sz w:val="24"/>
          <w:szCs w:val="24"/>
        </w:rPr>
        <w:t>Any</w:t>
      </w:r>
      <w:r w:rsidRPr="00C8386D">
        <w:rPr>
          <w:rFonts w:ascii="TimesNewRomanPSMT" w:hAnsi="TimesNewRomanPSMT" w:cs="TimesNewRomanPSMT"/>
          <w:sz w:val="24"/>
          <w:szCs w:val="24"/>
        </w:rPr>
        <w:t>more, Apart from discharging functions or doing business as the proxy of the State, wearing the corporate mask there must be an element of ability to affect legal relations by virtue of power vested in it by law</w:t>
      </w:r>
      <w:r w:rsidRPr="00C8386D">
        <w:rPr>
          <w:rFonts w:ascii="TimesNewRomanPSMT" w:hAnsi="TimesNewRomanPSMT" w:cs="TimesNewRomanPSMT"/>
          <w:b/>
          <w:bCs/>
          <w:sz w:val="24"/>
          <w:szCs w:val="24"/>
        </w:rPr>
        <w:t xml:space="preserve">  </w:t>
      </w:r>
    </w:p>
    <w:p w:rsidR="00C8386D" w:rsidRDefault="00C8386D" w:rsidP="00C8386D">
      <w:pPr>
        <w:autoSpaceDE w:val="0"/>
        <w:autoSpaceDN w:val="0"/>
        <w:adjustRightInd w:val="0"/>
        <w:spacing w:after="0" w:line="240" w:lineRule="auto"/>
        <w:ind w:firstLine="360"/>
        <w:rPr>
          <w:rFonts w:ascii="TimesNewRomanPSMT" w:hAnsi="TimesNewRomanPSMT" w:cs="TimesNewRomanPSMT"/>
          <w:sz w:val="24"/>
          <w:szCs w:val="24"/>
        </w:rPr>
      </w:pPr>
      <w:r w:rsidRPr="00C8386D">
        <w:rPr>
          <w:rFonts w:ascii="TimesNewRomanPSMT" w:hAnsi="TimesNewRomanPSMT" w:cs="TimesNewRomanPSMT"/>
          <w:sz w:val="24"/>
          <w:szCs w:val="24"/>
        </w:rPr>
        <w:t>•</w:t>
      </w:r>
      <w:r w:rsidRPr="00C8386D">
        <w:rPr>
          <w:rFonts w:ascii="TimesNewRomanPSMT" w:hAnsi="TimesNewRomanPSMT" w:cs="TimesNewRomanPSMT"/>
          <w:sz w:val="24"/>
          <w:szCs w:val="24"/>
        </w:rPr>
        <w:tab/>
        <w:t xml:space="preserve">A public authority is a body which has public or statutory duties to perform and which performs those duties and carries out its transactions for the benefit of the public and not for private profit </w:t>
      </w:r>
    </w:p>
    <w:p w:rsidR="00C8386D" w:rsidRPr="00C8386D" w:rsidRDefault="00C8386D" w:rsidP="00C8386D">
      <w:pPr>
        <w:autoSpaceDE w:val="0"/>
        <w:autoSpaceDN w:val="0"/>
        <w:adjustRightInd w:val="0"/>
        <w:spacing w:after="0" w:line="240" w:lineRule="auto"/>
        <w:ind w:firstLine="360"/>
        <w:rPr>
          <w:rFonts w:ascii="TimesNewRomanPSMT" w:hAnsi="TimesNewRomanPSMT" w:cs="TimesNewRomanPSMT"/>
          <w:sz w:val="24"/>
          <w:szCs w:val="24"/>
        </w:rPr>
      </w:pPr>
    </w:p>
    <w:p w:rsidR="00C8386D" w:rsidRPr="00C8386D" w:rsidRDefault="00C8386D" w:rsidP="00C8386D">
      <w:pPr>
        <w:pStyle w:val="ListParagraph"/>
        <w:numPr>
          <w:ilvl w:val="0"/>
          <w:numId w:val="9"/>
        </w:num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M</w:t>
      </w:r>
      <w:r w:rsidRPr="00C8386D">
        <w:rPr>
          <w:rFonts w:ascii="TimesNewRomanPSMT" w:hAnsi="TimesNewRomanPSMT" w:cs="TimesNewRomanPSMT"/>
          <w:sz w:val="24"/>
          <w:szCs w:val="24"/>
        </w:rPr>
        <w:t>erely because a corporation has legal personality of its own, it does not follow that the corporation cannot be an agent or instrumentality of the State, if it is subject to control of government in all important matters of policy</w:t>
      </w:r>
    </w:p>
    <w:p w:rsidR="00C8386D" w:rsidRDefault="00C8386D" w:rsidP="00634631">
      <w:pPr>
        <w:autoSpaceDE w:val="0"/>
        <w:autoSpaceDN w:val="0"/>
        <w:adjustRightInd w:val="0"/>
        <w:spacing w:after="0" w:line="240" w:lineRule="auto"/>
        <w:rPr>
          <w:rFonts w:ascii="TimesNewRomanPSMT" w:hAnsi="TimesNewRomanPSMT" w:cs="TimesNewRomanPSMT"/>
          <w:sz w:val="24"/>
          <w:szCs w:val="24"/>
        </w:rPr>
      </w:pPr>
    </w:p>
    <w:p w:rsidR="00C8386D" w:rsidRDefault="00C8386D" w:rsidP="00634631">
      <w:pPr>
        <w:autoSpaceDE w:val="0"/>
        <w:autoSpaceDN w:val="0"/>
        <w:adjustRightInd w:val="0"/>
        <w:spacing w:after="0" w:line="240" w:lineRule="auto"/>
        <w:rPr>
          <w:rFonts w:ascii="TimesNewRomanPSMT" w:hAnsi="TimesNewRomanPSMT" w:cs="TimesNewRomanPSMT"/>
          <w:sz w:val="24"/>
          <w:szCs w:val="24"/>
        </w:rPr>
      </w:pPr>
      <w:proofErr w:type="spellStart"/>
      <w:r w:rsidRPr="00C8386D">
        <w:rPr>
          <w:rFonts w:ascii="TimesNewRomanPSMT" w:hAnsi="TimesNewRomanPSMT" w:cs="TimesNewRomanPSMT"/>
          <w:b/>
          <w:bCs/>
          <w:sz w:val="24"/>
          <w:szCs w:val="24"/>
        </w:rPr>
        <w:t>Chander</w:t>
      </w:r>
      <w:proofErr w:type="spellEnd"/>
      <w:r w:rsidRPr="00C8386D">
        <w:rPr>
          <w:rFonts w:ascii="TimesNewRomanPSMT" w:hAnsi="TimesNewRomanPSMT" w:cs="TimesNewRomanPSMT"/>
          <w:b/>
          <w:bCs/>
          <w:sz w:val="24"/>
          <w:szCs w:val="24"/>
        </w:rPr>
        <w:t xml:space="preserve"> Mohan Khanna v. NCERT</w:t>
      </w:r>
      <w:r>
        <w:rPr>
          <w:rFonts w:ascii="TimesNewRomanPSMT" w:hAnsi="TimesNewRomanPSMT" w:cs="TimesNewRomanPSMT"/>
          <w:b/>
          <w:bCs/>
          <w:sz w:val="24"/>
          <w:szCs w:val="24"/>
        </w:rPr>
        <w:t xml:space="preserve"> - </w:t>
      </w:r>
      <w:r w:rsidRPr="00C8386D">
        <w:rPr>
          <w:rFonts w:ascii="TimesNewRomanPSMT" w:hAnsi="TimesNewRomanPSMT" w:cs="TimesNewRomanPSMT"/>
          <w:sz w:val="24"/>
          <w:szCs w:val="24"/>
        </w:rPr>
        <w:t>This Court came to the conclusion that since NCERT was largely an autonomous body and the activities of NCERT were not wholly related to governmental functions and that the governmental control was confined only to the proper utilisation of the grant and since its funding was not entirely from government resources, the case did not satisfy the requirements of the State under Article 12 of the Constitution.</w:t>
      </w:r>
    </w:p>
    <w:p w:rsidR="00C8386D" w:rsidRDefault="00C8386D" w:rsidP="00634631">
      <w:pPr>
        <w:autoSpaceDE w:val="0"/>
        <w:autoSpaceDN w:val="0"/>
        <w:adjustRightInd w:val="0"/>
        <w:spacing w:after="0" w:line="240" w:lineRule="auto"/>
        <w:rPr>
          <w:rFonts w:ascii="TimesNewRomanPSMT" w:hAnsi="TimesNewRomanPSMT" w:cs="TimesNewRomanPSMT"/>
          <w:b/>
          <w:bCs/>
          <w:sz w:val="24"/>
          <w:szCs w:val="24"/>
        </w:rPr>
      </w:pPr>
    </w:p>
    <w:p w:rsidR="00C8386D" w:rsidRDefault="00C8386D" w:rsidP="00634631">
      <w:pPr>
        <w:autoSpaceDE w:val="0"/>
        <w:autoSpaceDN w:val="0"/>
        <w:adjustRightInd w:val="0"/>
        <w:spacing w:after="0" w:line="240" w:lineRule="auto"/>
        <w:rPr>
          <w:rFonts w:ascii="TimesNewRomanPSMT" w:hAnsi="TimesNewRomanPSMT" w:cs="TimesNewRomanPSMT"/>
          <w:sz w:val="24"/>
          <w:szCs w:val="24"/>
        </w:rPr>
      </w:pPr>
      <w:r w:rsidRPr="00C8386D">
        <w:rPr>
          <w:rFonts w:ascii="TimesNewRomanPSMT" w:hAnsi="TimesNewRomanPSMT" w:cs="TimesNewRomanPSMT"/>
          <w:b/>
          <w:bCs/>
          <w:sz w:val="24"/>
          <w:szCs w:val="24"/>
        </w:rPr>
        <w:t>Pradeep Kumar Biswas v. Indian Institute of Chemical Biology and Ors</w:t>
      </w:r>
      <w:r>
        <w:rPr>
          <w:rFonts w:ascii="TimesNewRomanPSMT" w:hAnsi="TimesNewRomanPSMT" w:cs="TimesNewRomanPSMT"/>
          <w:b/>
          <w:bCs/>
          <w:sz w:val="24"/>
          <w:szCs w:val="24"/>
        </w:rPr>
        <w:t xml:space="preserve"> - </w:t>
      </w:r>
      <w:r w:rsidRPr="00C8386D">
        <w:rPr>
          <w:rFonts w:ascii="TimesNewRomanPSMT" w:hAnsi="TimesNewRomanPSMT" w:cs="TimesNewRomanPSMT"/>
          <w:sz w:val="24"/>
          <w:szCs w:val="24"/>
        </w:rPr>
        <w:t>Mere regulatory control whether under statute or otherwise would not serve to make a body a State.</w:t>
      </w:r>
    </w:p>
    <w:p w:rsidR="00C8386D" w:rsidRDefault="00C8386D" w:rsidP="00634631">
      <w:pPr>
        <w:autoSpaceDE w:val="0"/>
        <w:autoSpaceDN w:val="0"/>
        <w:adjustRightInd w:val="0"/>
        <w:spacing w:after="0" w:line="240" w:lineRule="auto"/>
        <w:rPr>
          <w:rFonts w:ascii="TimesNewRomanPSMT" w:hAnsi="TimesNewRomanPSMT" w:cs="TimesNewRomanPSMT"/>
          <w:b/>
          <w:bCs/>
          <w:sz w:val="24"/>
          <w:szCs w:val="24"/>
        </w:rPr>
      </w:pPr>
    </w:p>
    <w:p w:rsidR="00C8386D" w:rsidRPr="00C8386D" w:rsidRDefault="00C8386D" w:rsidP="00C8386D">
      <w:pPr>
        <w:autoSpaceDE w:val="0"/>
        <w:autoSpaceDN w:val="0"/>
        <w:adjustRightInd w:val="0"/>
        <w:spacing w:after="0" w:line="240" w:lineRule="auto"/>
        <w:rPr>
          <w:rFonts w:ascii="TimesNewRomanPSMT" w:hAnsi="TimesNewRomanPSMT" w:cs="TimesNewRomanPSMT"/>
          <w:sz w:val="24"/>
          <w:szCs w:val="24"/>
        </w:rPr>
      </w:pPr>
      <w:r w:rsidRPr="00C8386D">
        <w:rPr>
          <w:rFonts w:ascii="TimesNewRomanPSMT" w:hAnsi="TimesNewRomanPSMT" w:cs="TimesNewRomanPSMT"/>
          <w:b/>
          <w:bCs/>
          <w:sz w:val="24"/>
          <w:szCs w:val="24"/>
        </w:rPr>
        <w:t>Zee Telefilms Ltd v. Union of India (2005)</w:t>
      </w:r>
      <w:r>
        <w:rPr>
          <w:rFonts w:ascii="TimesNewRomanPSMT" w:hAnsi="TimesNewRomanPSMT" w:cs="TimesNewRomanPSMT"/>
          <w:b/>
          <w:bCs/>
          <w:sz w:val="24"/>
          <w:szCs w:val="24"/>
        </w:rPr>
        <w:t xml:space="preserve"> - </w:t>
      </w:r>
      <w:r w:rsidRPr="00C8386D">
        <w:rPr>
          <w:rFonts w:ascii="TimesNewRomanPSMT" w:hAnsi="TimesNewRomanPSMT" w:cs="TimesNewRomanPSMT"/>
          <w:sz w:val="24"/>
          <w:szCs w:val="24"/>
        </w:rPr>
        <w:t>Held BCCI is not state, as it is not created by a statute, no governmental share in it, autonomous lacking deep and pervasive state control, financial assistance is not taken, monopoly status is not due to government and government is free to make its own board.</w:t>
      </w:r>
    </w:p>
    <w:p w:rsidR="00C8386D" w:rsidRDefault="00C8386D" w:rsidP="00C8386D">
      <w:pPr>
        <w:autoSpaceDE w:val="0"/>
        <w:autoSpaceDN w:val="0"/>
        <w:adjustRightInd w:val="0"/>
        <w:spacing w:after="0" w:line="240" w:lineRule="auto"/>
        <w:rPr>
          <w:rFonts w:ascii="TimesNewRomanPSMT" w:hAnsi="TimesNewRomanPSMT" w:cs="TimesNewRomanPSMT"/>
          <w:sz w:val="24"/>
          <w:szCs w:val="24"/>
        </w:rPr>
      </w:pPr>
      <w:r w:rsidRPr="00C8386D">
        <w:rPr>
          <w:rFonts w:ascii="TimesNewRomanPSMT" w:hAnsi="TimesNewRomanPSMT" w:cs="TimesNewRomanPSMT"/>
          <w:sz w:val="24"/>
          <w:szCs w:val="24"/>
        </w:rPr>
        <w:t>Merely because a non-governmental body exercise some public duty it is not sufficient to hold it as a state for purposes of Article 12.</w:t>
      </w:r>
    </w:p>
    <w:p w:rsidR="00BC58FC" w:rsidRDefault="00BC58FC" w:rsidP="00C8386D">
      <w:pPr>
        <w:autoSpaceDE w:val="0"/>
        <w:autoSpaceDN w:val="0"/>
        <w:adjustRightInd w:val="0"/>
        <w:spacing w:after="0" w:line="240" w:lineRule="auto"/>
        <w:rPr>
          <w:rFonts w:ascii="TimesNewRomanPSMT" w:hAnsi="TimesNewRomanPSMT" w:cs="TimesNewRomanPSMT"/>
          <w:sz w:val="24"/>
          <w:szCs w:val="24"/>
        </w:rPr>
      </w:pPr>
    </w:p>
    <w:p w:rsidR="00BC58FC" w:rsidRPr="00A27505" w:rsidRDefault="00BC58FC" w:rsidP="00C8386D">
      <w:pPr>
        <w:autoSpaceDE w:val="0"/>
        <w:autoSpaceDN w:val="0"/>
        <w:adjustRightInd w:val="0"/>
        <w:spacing w:after="0" w:line="240" w:lineRule="auto"/>
        <w:rPr>
          <w:rFonts w:ascii="TimesNewRomanPSMT" w:hAnsi="TimesNewRomanPSMT" w:cs="TimesNewRomanPSMT"/>
          <w:b/>
          <w:sz w:val="32"/>
          <w:szCs w:val="32"/>
          <w:u w:val="single"/>
        </w:rPr>
      </w:pPr>
      <w:r w:rsidRPr="00A27505">
        <w:rPr>
          <w:rFonts w:ascii="TimesNewRomanPSMT" w:hAnsi="TimesNewRomanPSMT" w:cs="TimesNewRomanPSMT"/>
          <w:b/>
          <w:sz w:val="32"/>
          <w:szCs w:val="32"/>
          <w:u w:val="single"/>
        </w:rPr>
        <w:t>Article 13</w:t>
      </w:r>
    </w:p>
    <w:p w:rsidR="00C8386D" w:rsidRDefault="00C8386D" w:rsidP="00C8386D">
      <w:pPr>
        <w:autoSpaceDE w:val="0"/>
        <w:autoSpaceDN w:val="0"/>
        <w:adjustRightInd w:val="0"/>
        <w:spacing w:after="0" w:line="240" w:lineRule="auto"/>
        <w:rPr>
          <w:rFonts w:ascii="TimesNewRomanPSMT" w:hAnsi="TimesNewRomanPSMT" w:cs="TimesNewRomanPSMT"/>
          <w:sz w:val="24"/>
          <w:szCs w:val="24"/>
        </w:rPr>
      </w:pPr>
    </w:p>
    <w:p w:rsidR="00BC58FC" w:rsidRPr="00BC58FC" w:rsidRDefault="00BC58FC" w:rsidP="00BC58FC">
      <w:pPr>
        <w:pStyle w:val="ListParagraph"/>
        <w:numPr>
          <w:ilvl w:val="0"/>
          <w:numId w:val="23"/>
        </w:numPr>
        <w:autoSpaceDE w:val="0"/>
        <w:autoSpaceDN w:val="0"/>
        <w:adjustRightInd w:val="0"/>
        <w:spacing w:after="0" w:line="240" w:lineRule="auto"/>
        <w:rPr>
          <w:rFonts w:ascii="TimesNewRomanPSMT" w:hAnsi="TimesNewRomanPSMT" w:cs="TimesNewRomanPSMT"/>
          <w:sz w:val="24"/>
          <w:szCs w:val="24"/>
        </w:rPr>
      </w:pPr>
      <w:r w:rsidRPr="00BC58FC">
        <w:rPr>
          <w:rFonts w:ascii="TimesNewRomanPSMT" w:hAnsi="TimesNewRomanPSMT" w:cs="TimesNewRomanPSMT"/>
          <w:b/>
          <w:bCs/>
          <w:sz w:val="24"/>
          <w:szCs w:val="24"/>
        </w:rPr>
        <w:t>No Retrospective Effect</w:t>
      </w:r>
      <w:r w:rsidRPr="00BC58FC">
        <w:rPr>
          <w:rFonts w:ascii="TimesNewRomanPSMT" w:hAnsi="TimesNewRomanPSMT" w:cs="TimesNewRomanPSMT"/>
          <w:sz w:val="24"/>
          <w:szCs w:val="24"/>
        </w:rPr>
        <w:t>- Article 13(1) of the Constitution relating to the fundamental Rights have no retrospective effect. All inconsistent existing laws, therefore, become void only from the commencement of the Constitution. Acts done before the commencement of the Constitution in pursuance or in contravention of the provisions of any law, which after the commencement of the Constitution become void because of the inconsistency with the fundamental rights cannot be challenged in any court of law. The inconsistent law is not wiped out so far as the past acts are concerned.</w:t>
      </w:r>
    </w:p>
    <w:p w:rsidR="00BC58FC" w:rsidRDefault="00BC58FC" w:rsidP="00BC58FC">
      <w:pPr>
        <w:pStyle w:val="ListParagraph"/>
        <w:autoSpaceDE w:val="0"/>
        <w:autoSpaceDN w:val="0"/>
        <w:adjustRightInd w:val="0"/>
        <w:spacing w:after="0" w:line="240" w:lineRule="auto"/>
        <w:rPr>
          <w:rFonts w:ascii="TimesNewRomanPS-BoldItalicMT" w:hAnsi="TimesNewRomanPS-BoldItalicMT" w:cs="TimesNewRomanPS-BoldItalicMT"/>
          <w:b/>
          <w:bCs/>
          <w:i/>
          <w:iCs/>
          <w:sz w:val="24"/>
          <w:szCs w:val="24"/>
        </w:rPr>
      </w:pPr>
    </w:p>
    <w:p w:rsidR="00BC58FC" w:rsidRPr="00BC58FC" w:rsidRDefault="00BC58FC" w:rsidP="00BC58FC">
      <w:pPr>
        <w:pStyle w:val="ListParagraph"/>
        <w:autoSpaceDE w:val="0"/>
        <w:autoSpaceDN w:val="0"/>
        <w:adjustRightInd w:val="0"/>
        <w:spacing w:after="0" w:line="240" w:lineRule="auto"/>
        <w:rPr>
          <w:rFonts w:ascii="TimesNewRomanPSMT" w:hAnsi="TimesNewRomanPSMT" w:cs="TimesNewRomanPSMT"/>
          <w:sz w:val="24"/>
          <w:szCs w:val="24"/>
        </w:rPr>
      </w:pPr>
      <w:proofErr w:type="spellStart"/>
      <w:r w:rsidRPr="00BC58FC">
        <w:rPr>
          <w:rFonts w:ascii="TimesNewRomanPS-BoldItalicMT" w:hAnsi="TimesNewRomanPS-BoldItalicMT" w:cs="TimesNewRomanPS-BoldItalicMT"/>
          <w:b/>
          <w:bCs/>
          <w:i/>
          <w:iCs/>
          <w:sz w:val="24"/>
          <w:szCs w:val="24"/>
        </w:rPr>
        <w:t>Keshavan</w:t>
      </w:r>
      <w:proofErr w:type="spellEnd"/>
      <w:r w:rsidRPr="00BC58FC">
        <w:rPr>
          <w:rFonts w:ascii="TimesNewRomanPS-BoldItalicMT" w:hAnsi="TimesNewRomanPS-BoldItalicMT" w:cs="TimesNewRomanPS-BoldItalicMT"/>
          <w:b/>
          <w:bCs/>
          <w:i/>
          <w:iCs/>
          <w:sz w:val="24"/>
          <w:szCs w:val="24"/>
        </w:rPr>
        <w:t xml:space="preserve"> Madhava Menon v. State of Bombay</w:t>
      </w:r>
      <w:r w:rsidRPr="00BC58FC">
        <w:rPr>
          <w:rFonts w:ascii="TimesNewRomanPS-ItalicMT" w:hAnsi="TimesNewRomanPS-ItalicMT" w:cs="TimesNewRomanPS-ItalicMT"/>
          <w:i/>
          <w:iCs/>
          <w:sz w:val="24"/>
          <w:szCs w:val="24"/>
        </w:rPr>
        <w:t xml:space="preserve">, </w:t>
      </w:r>
      <w:r w:rsidRPr="00BC58FC">
        <w:rPr>
          <w:rFonts w:ascii="TimesNewRomanPSMT" w:hAnsi="TimesNewRomanPSMT" w:cs="TimesNewRomanPSMT"/>
          <w:sz w:val="24"/>
          <w:szCs w:val="24"/>
        </w:rPr>
        <w:t>a person was being prosecuted under</w:t>
      </w:r>
      <w:r>
        <w:rPr>
          <w:rFonts w:ascii="TimesNewRomanPSMT" w:hAnsi="TimesNewRomanPSMT" w:cs="TimesNewRomanPSMT"/>
          <w:sz w:val="24"/>
          <w:szCs w:val="24"/>
        </w:rPr>
        <w:t xml:space="preserve"> </w:t>
      </w:r>
      <w:r w:rsidRPr="00BC58FC">
        <w:rPr>
          <w:rFonts w:ascii="TimesNewRomanPSMT" w:hAnsi="TimesNewRomanPSMT" w:cs="TimesNewRomanPSMT"/>
          <w:sz w:val="24"/>
          <w:szCs w:val="24"/>
        </w:rPr>
        <w:t>a law before the</w:t>
      </w:r>
      <w:r>
        <w:rPr>
          <w:rFonts w:ascii="TimesNewRomanPSMT" w:hAnsi="TimesNewRomanPSMT" w:cs="TimesNewRomanPSMT"/>
          <w:sz w:val="24"/>
          <w:szCs w:val="24"/>
        </w:rPr>
        <w:t xml:space="preserve"> </w:t>
      </w:r>
      <w:r w:rsidRPr="00BC58FC">
        <w:rPr>
          <w:rFonts w:ascii="TimesNewRomanPSMT" w:hAnsi="TimesNewRomanPSMT" w:cs="TimesNewRomanPSMT"/>
          <w:sz w:val="24"/>
          <w:szCs w:val="24"/>
        </w:rPr>
        <w:t>Constitution came into force. After the Constitution came into force, the law i.e. Section 18 of Press</w:t>
      </w:r>
      <w:r>
        <w:rPr>
          <w:rFonts w:ascii="TimesNewRomanPSMT" w:hAnsi="TimesNewRomanPSMT" w:cs="TimesNewRomanPSMT"/>
          <w:sz w:val="24"/>
          <w:szCs w:val="24"/>
        </w:rPr>
        <w:t xml:space="preserve"> </w:t>
      </w:r>
      <w:r w:rsidRPr="00BC58FC">
        <w:rPr>
          <w:rFonts w:ascii="TimesNewRomanPSMT" w:hAnsi="TimesNewRomanPSMT" w:cs="TimesNewRomanPSMT"/>
          <w:sz w:val="24"/>
          <w:szCs w:val="24"/>
        </w:rPr>
        <w:t>(Emergency Powers) Act became void under Art 19(1)(a). It was contended that Art. 13(1) could not</w:t>
      </w:r>
      <w:r>
        <w:rPr>
          <w:rFonts w:ascii="TimesNewRomanPSMT" w:hAnsi="TimesNewRomanPSMT" w:cs="TimesNewRomanPSMT"/>
          <w:sz w:val="24"/>
          <w:szCs w:val="24"/>
        </w:rPr>
        <w:t xml:space="preserve"> </w:t>
      </w:r>
      <w:r w:rsidRPr="00BC58FC">
        <w:rPr>
          <w:rFonts w:ascii="TimesNewRomanPSMT" w:hAnsi="TimesNewRomanPSMT" w:cs="TimesNewRomanPSMT"/>
          <w:sz w:val="24"/>
          <w:szCs w:val="24"/>
        </w:rPr>
        <w:t>apply to him as the offence had been committed before the enforcement of the Constitution and,</w:t>
      </w:r>
      <w:r>
        <w:rPr>
          <w:rFonts w:ascii="TimesNewRomanPSMT" w:hAnsi="TimesNewRomanPSMT" w:cs="TimesNewRomanPSMT"/>
          <w:sz w:val="24"/>
          <w:szCs w:val="24"/>
        </w:rPr>
        <w:t xml:space="preserve"> </w:t>
      </w:r>
      <w:r w:rsidRPr="00BC58FC">
        <w:rPr>
          <w:rFonts w:ascii="TimesNewRomanPSMT" w:hAnsi="TimesNewRomanPSMT" w:cs="TimesNewRomanPSMT"/>
          <w:sz w:val="24"/>
          <w:szCs w:val="24"/>
        </w:rPr>
        <w:t>therefore, the</w:t>
      </w:r>
      <w:r>
        <w:rPr>
          <w:rFonts w:ascii="TimesNewRomanPSMT" w:hAnsi="TimesNewRomanPSMT" w:cs="TimesNewRomanPSMT"/>
          <w:sz w:val="24"/>
          <w:szCs w:val="24"/>
        </w:rPr>
        <w:t xml:space="preserve"> </w:t>
      </w:r>
      <w:r w:rsidRPr="00BC58FC">
        <w:rPr>
          <w:rFonts w:ascii="TimesNewRomanPSMT" w:hAnsi="TimesNewRomanPSMT" w:cs="TimesNewRomanPSMT"/>
          <w:sz w:val="24"/>
          <w:szCs w:val="24"/>
        </w:rPr>
        <w:t xml:space="preserve">proceedings against him should not be continued. </w:t>
      </w:r>
      <w:r w:rsidRPr="00BC58FC">
        <w:rPr>
          <w:rFonts w:ascii="TimesNewRomanPSMT" w:hAnsi="TimesNewRomanPSMT" w:cs="TimesNewRomanPSMT"/>
          <w:i/>
          <w:iCs/>
          <w:sz w:val="24"/>
          <w:szCs w:val="24"/>
        </w:rPr>
        <w:t xml:space="preserve">The Supreme Court said that the </w:t>
      </w:r>
      <w:r w:rsidRPr="00BC58FC">
        <w:rPr>
          <w:rFonts w:ascii="TimesNewRomanPSMT" w:hAnsi="TimesNewRomanPSMT" w:cs="TimesNewRomanPSMT"/>
          <w:i/>
          <w:iCs/>
          <w:sz w:val="24"/>
          <w:szCs w:val="24"/>
        </w:rPr>
        <w:lastRenderedPageBreak/>
        <w:t xml:space="preserve">article did not have the effect of rendering the laws, which existed on the date of the commencement of the Constitution, </w:t>
      </w:r>
      <w:r w:rsidRPr="00BC58FC">
        <w:rPr>
          <w:rFonts w:ascii="TimesNewRomanPS-ItalicMT" w:hAnsi="TimesNewRomanPS-ItalicMT" w:cs="TimesNewRomanPS-ItalicMT"/>
          <w:i/>
          <w:iCs/>
          <w:sz w:val="24"/>
          <w:szCs w:val="24"/>
        </w:rPr>
        <w:t xml:space="preserve">void ab initio </w:t>
      </w:r>
      <w:r w:rsidRPr="00BC58FC">
        <w:rPr>
          <w:rFonts w:ascii="TimesNewRomanPSMT" w:hAnsi="TimesNewRomanPSMT" w:cs="TimesNewRomanPSMT"/>
          <w:i/>
          <w:iCs/>
          <w:sz w:val="24"/>
          <w:szCs w:val="24"/>
        </w:rPr>
        <w:t>for all purposes if they were inconsistent with the fundamental rights.</w:t>
      </w:r>
    </w:p>
    <w:p w:rsidR="00BC58FC" w:rsidRDefault="00BC58FC" w:rsidP="00BC58FC">
      <w:pPr>
        <w:pStyle w:val="ListParagraph"/>
        <w:autoSpaceDE w:val="0"/>
        <w:autoSpaceDN w:val="0"/>
        <w:adjustRightInd w:val="0"/>
        <w:spacing w:after="0" w:line="240" w:lineRule="auto"/>
        <w:rPr>
          <w:rFonts w:ascii="TimesNewRomanPSMT" w:hAnsi="TimesNewRomanPSMT" w:cs="TimesNewRomanPSMT"/>
          <w:sz w:val="24"/>
          <w:szCs w:val="24"/>
        </w:rPr>
      </w:pPr>
    </w:p>
    <w:p w:rsidR="00BC58FC" w:rsidRDefault="00BC58FC" w:rsidP="00BC58FC">
      <w:pPr>
        <w:pStyle w:val="ListParagraph"/>
        <w:numPr>
          <w:ilvl w:val="0"/>
          <w:numId w:val="23"/>
        </w:numPr>
        <w:autoSpaceDE w:val="0"/>
        <w:autoSpaceDN w:val="0"/>
        <w:adjustRightInd w:val="0"/>
        <w:spacing w:after="0" w:line="240" w:lineRule="auto"/>
        <w:rPr>
          <w:rFonts w:ascii="TimesNewRomanPSMT" w:hAnsi="TimesNewRomanPSMT" w:cs="TimesNewRomanPSMT"/>
          <w:sz w:val="24"/>
          <w:szCs w:val="24"/>
        </w:rPr>
      </w:pPr>
      <w:r w:rsidRPr="00BC58FC">
        <w:rPr>
          <w:rFonts w:ascii="TimesNewRomanPSMT" w:hAnsi="TimesNewRomanPSMT" w:cs="TimesNewRomanPSMT"/>
          <w:b/>
          <w:bCs/>
          <w:sz w:val="24"/>
          <w:szCs w:val="24"/>
        </w:rPr>
        <w:t>Doctrine of Eclipse -</w:t>
      </w:r>
      <w:r>
        <w:rPr>
          <w:rFonts w:ascii="TimesNewRomanPSMT" w:hAnsi="TimesNewRomanPSMT" w:cs="TimesNewRomanPSMT"/>
          <w:sz w:val="24"/>
          <w:szCs w:val="24"/>
        </w:rPr>
        <w:t xml:space="preserve"> </w:t>
      </w:r>
      <w:r w:rsidRPr="00BC58FC">
        <w:rPr>
          <w:rFonts w:ascii="TimesNewRomanPSMT" w:hAnsi="TimesNewRomanPSMT" w:cs="TimesNewRomanPSMT"/>
          <w:sz w:val="24"/>
          <w:szCs w:val="24"/>
        </w:rPr>
        <w:t xml:space="preserve">The Doctrine was enunciated in </w:t>
      </w:r>
      <w:proofErr w:type="spellStart"/>
      <w:r w:rsidRPr="00BC58FC">
        <w:rPr>
          <w:rFonts w:ascii="TimesNewRomanPSMT" w:hAnsi="TimesNewRomanPSMT" w:cs="TimesNewRomanPSMT"/>
          <w:b/>
          <w:bCs/>
          <w:sz w:val="24"/>
          <w:szCs w:val="24"/>
        </w:rPr>
        <w:t>Bhikaji</w:t>
      </w:r>
      <w:proofErr w:type="spellEnd"/>
      <w:r w:rsidRPr="00BC58FC">
        <w:rPr>
          <w:rFonts w:ascii="TimesNewRomanPSMT" w:hAnsi="TimesNewRomanPSMT" w:cs="TimesNewRomanPSMT"/>
          <w:b/>
          <w:bCs/>
          <w:sz w:val="24"/>
          <w:szCs w:val="24"/>
        </w:rPr>
        <w:t xml:space="preserve"> v, State of Madhya </w:t>
      </w:r>
      <w:r w:rsidRPr="00BC58FC">
        <w:rPr>
          <w:rFonts w:ascii="TimesNewRomanPSMT" w:hAnsi="TimesNewRomanPSMT" w:cs="TimesNewRomanPSMT"/>
          <w:sz w:val="24"/>
          <w:szCs w:val="24"/>
        </w:rPr>
        <w:t>Pradesh and it envisages that a pre-</w:t>
      </w:r>
      <w:r>
        <w:rPr>
          <w:rFonts w:ascii="TimesNewRomanPSMT" w:hAnsi="TimesNewRomanPSMT" w:cs="TimesNewRomanPSMT"/>
          <w:sz w:val="24"/>
          <w:szCs w:val="24"/>
        </w:rPr>
        <w:t xml:space="preserve"> </w:t>
      </w:r>
      <w:r w:rsidRPr="00BC58FC">
        <w:rPr>
          <w:rFonts w:ascii="TimesNewRomanPSMT" w:hAnsi="TimesNewRomanPSMT" w:cs="TimesNewRomanPSMT"/>
          <w:sz w:val="24"/>
          <w:szCs w:val="24"/>
        </w:rPr>
        <w:t>Constitution law inconsistent with a Fundament Right was not wiped out altogether from the statute book</w:t>
      </w:r>
      <w:r>
        <w:rPr>
          <w:rFonts w:ascii="TimesNewRomanPSMT" w:hAnsi="TimesNewRomanPSMT" w:cs="TimesNewRomanPSMT"/>
          <w:sz w:val="24"/>
          <w:szCs w:val="24"/>
        </w:rPr>
        <w:t xml:space="preserve"> </w:t>
      </w:r>
      <w:r w:rsidRPr="00BC58FC">
        <w:rPr>
          <w:rFonts w:ascii="TimesNewRomanPSMT" w:hAnsi="TimesNewRomanPSMT" w:cs="TimesNewRomanPSMT"/>
          <w:sz w:val="24"/>
          <w:szCs w:val="24"/>
        </w:rPr>
        <w:t>after the commencement of the Constitution as it continued to exist in respect of rights and liabilitie</w:t>
      </w:r>
      <w:r>
        <w:rPr>
          <w:rFonts w:ascii="TimesNewRomanPSMT" w:hAnsi="TimesNewRomanPSMT" w:cs="TimesNewRomanPSMT"/>
          <w:sz w:val="24"/>
          <w:szCs w:val="24"/>
        </w:rPr>
        <w:t xml:space="preserve">s </w:t>
      </w:r>
      <w:r w:rsidRPr="00BC58FC">
        <w:rPr>
          <w:rFonts w:ascii="TimesNewRomanPSMT" w:hAnsi="TimesNewRomanPSMT" w:cs="TimesNewRomanPSMT"/>
          <w:sz w:val="24"/>
          <w:szCs w:val="24"/>
        </w:rPr>
        <w:t>which had accrued before the date of the Constitution. Therefore, the law in question will be regarded as</w:t>
      </w:r>
      <w:r>
        <w:rPr>
          <w:rFonts w:ascii="TimesNewRomanPSMT" w:hAnsi="TimesNewRomanPSMT" w:cs="TimesNewRomanPSMT"/>
          <w:sz w:val="24"/>
          <w:szCs w:val="24"/>
        </w:rPr>
        <w:t xml:space="preserve"> </w:t>
      </w:r>
      <w:r w:rsidRPr="00BC58FC">
        <w:rPr>
          <w:rFonts w:ascii="TimesNewRomanPSMT" w:hAnsi="TimesNewRomanPSMT" w:cs="TimesNewRomanPSMT"/>
          <w:sz w:val="24"/>
          <w:szCs w:val="24"/>
        </w:rPr>
        <w:t xml:space="preserve">having been ‘eclipsed’ for the time being by the relevant Fundamental Right. It was in a dormant or moribund condition for the time being. Such a law was not dead for all purposes. The doctrine of eclipse has been held to apply only to the pre-Constitution and not to the post- Constitution laws. The reason is that while a pre-Constitution law was valid </w:t>
      </w:r>
      <w:proofErr w:type="spellStart"/>
      <w:r w:rsidRPr="00BC58FC">
        <w:rPr>
          <w:rFonts w:ascii="TimesNewRomanPSMT" w:hAnsi="TimesNewRomanPSMT" w:cs="TimesNewRomanPSMT"/>
          <w:sz w:val="24"/>
          <w:szCs w:val="24"/>
        </w:rPr>
        <w:t>whenenacted</w:t>
      </w:r>
      <w:proofErr w:type="spellEnd"/>
      <w:r w:rsidRPr="00BC58FC">
        <w:rPr>
          <w:rFonts w:ascii="TimesNewRomanPSMT" w:hAnsi="TimesNewRomanPSMT" w:cs="TimesNewRomanPSMT"/>
          <w:sz w:val="24"/>
          <w:szCs w:val="24"/>
        </w:rPr>
        <w:t xml:space="preserve"> and, therefore, was not void ab initio,</w:t>
      </w:r>
    </w:p>
    <w:p w:rsidR="00BC58FC" w:rsidRPr="00BC58FC" w:rsidRDefault="00BC58FC" w:rsidP="00BC58FC">
      <w:pPr>
        <w:pStyle w:val="ListParagraph"/>
        <w:autoSpaceDE w:val="0"/>
        <w:autoSpaceDN w:val="0"/>
        <w:adjustRightInd w:val="0"/>
        <w:spacing w:after="0" w:line="240" w:lineRule="auto"/>
        <w:rPr>
          <w:rFonts w:ascii="TimesNewRomanPSMT" w:hAnsi="TimesNewRomanPSMT" w:cs="TimesNewRomanPSMT"/>
          <w:sz w:val="24"/>
          <w:szCs w:val="24"/>
        </w:rPr>
      </w:pPr>
    </w:p>
    <w:p w:rsidR="001B12D9" w:rsidRPr="001B12D9" w:rsidRDefault="001B12D9" w:rsidP="001B12D9">
      <w:pPr>
        <w:numPr>
          <w:ilvl w:val="0"/>
          <w:numId w:val="23"/>
        </w:numPr>
        <w:spacing w:after="120" w:line="240" w:lineRule="auto"/>
        <w:contextualSpacing/>
        <w:jc w:val="both"/>
        <w:rPr>
          <w:rFonts w:ascii="Times New Roman" w:eastAsia="Calibri" w:hAnsi="Times New Roman" w:cs="Times New Roman"/>
          <w:sz w:val="24"/>
          <w:szCs w:val="24"/>
        </w:rPr>
      </w:pPr>
      <w:r w:rsidRPr="005F41E6">
        <w:rPr>
          <w:rFonts w:ascii="Times New Roman" w:eastAsia="Calibri" w:hAnsi="Times New Roman" w:cs="Times New Roman"/>
          <w:sz w:val="24"/>
          <w:szCs w:val="24"/>
        </w:rPr>
        <w:t xml:space="preserve">Doctrine of severability: Void only to the extent of the inconsistency. Only if the inconsistency cannot be separated from the rest of the Act or the Act cannot stand without the part which is ultra vires thee constitution will it be </w:t>
      </w:r>
      <w:proofErr w:type="spellStart"/>
      <w:r w:rsidRPr="005F41E6">
        <w:rPr>
          <w:rFonts w:ascii="Times New Roman" w:eastAsia="Calibri" w:hAnsi="Times New Roman" w:cs="Times New Roman"/>
          <w:sz w:val="24"/>
          <w:szCs w:val="24"/>
        </w:rPr>
        <w:t>void.</w:t>
      </w:r>
      <w:r w:rsidRPr="005F41E6">
        <w:rPr>
          <w:rFonts w:ascii="Times New Roman" w:eastAsia="Calibri" w:hAnsi="Times New Roman" w:cs="Times New Roman"/>
          <w:b/>
          <w:sz w:val="24"/>
          <w:szCs w:val="24"/>
          <w:highlight w:val="yellow"/>
        </w:rPr>
        <w:t>The</w:t>
      </w:r>
      <w:proofErr w:type="spellEnd"/>
      <w:r w:rsidRPr="005F41E6">
        <w:rPr>
          <w:rFonts w:ascii="Times New Roman" w:eastAsia="Calibri" w:hAnsi="Times New Roman" w:cs="Times New Roman"/>
          <w:b/>
          <w:sz w:val="24"/>
          <w:szCs w:val="24"/>
          <w:highlight w:val="yellow"/>
        </w:rPr>
        <w:t xml:space="preserve"> test is whether the legislature would have enacted the rest of the parts of the Act had they known the others were ultra vires the constitution</w:t>
      </w:r>
      <w:r w:rsidRPr="005F41E6">
        <w:rPr>
          <w:rFonts w:ascii="Times New Roman" w:eastAsia="Calibri" w:hAnsi="Times New Roman" w:cs="Times New Roman"/>
          <w:sz w:val="24"/>
          <w:szCs w:val="24"/>
          <w:highlight w:val="yellow"/>
        </w:rPr>
        <w:t>.</w:t>
      </w:r>
      <w:r>
        <w:rPr>
          <w:rFonts w:ascii="Times New Roman" w:eastAsia="Calibri" w:hAnsi="Times New Roman" w:cs="Times New Roman"/>
          <w:sz w:val="24"/>
          <w:szCs w:val="24"/>
          <w:highlight w:val="yellow"/>
        </w:rPr>
        <w:t xml:space="preserve"> </w:t>
      </w:r>
    </w:p>
    <w:p w:rsidR="001B12D9" w:rsidRPr="001B12D9" w:rsidRDefault="001B12D9" w:rsidP="001B12D9">
      <w:pPr>
        <w:pStyle w:val="ListParagraph"/>
        <w:autoSpaceDE w:val="0"/>
        <w:autoSpaceDN w:val="0"/>
        <w:adjustRightInd w:val="0"/>
        <w:spacing w:after="0" w:line="240" w:lineRule="auto"/>
        <w:rPr>
          <w:rFonts w:ascii="TimesNewRomanPSMT" w:hAnsi="TimesNewRomanPSMT" w:cs="TimesNewRomanPSMT"/>
          <w:color w:val="000000"/>
          <w:sz w:val="24"/>
          <w:szCs w:val="24"/>
        </w:rPr>
      </w:pPr>
      <w:r w:rsidRPr="001B12D9">
        <w:rPr>
          <w:rFonts w:ascii="TimesNewRomanPSMT" w:hAnsi="TimesNewRomanPSMT" w:cs="TimesNewRomanPSMT"/>
          <w:b/>
          <w:bCs/>
          <w:color w:val="000000"/>
          <w:sz w:val="24"/>
          <w:szCs w:val="24"/>
        </w:rPr>
        <w:t xml:space="preserve">In </w:t>
      </w:r>
      <w:r w:rsidRPr="001B12D9">
        <w:rPr>
          <w:rFonts w:ascii="TimesNewRomanPS-ItalicMT" w:hAnsi="TimesNewRomanPS-ItalicMT" w:cs="TimesNewRomanPS-ItalicMT"/>
          <w:b/>
          <w:bCs/>
          <w:i/>
          <w:iCs/>
          <w:color w:val="000000"/>
          <w:sz w:val="24"/>
          <w:szCs w:val="24"/>
        </w:rPr>
        <w:t>RMDC v. Union of India</w:t>
      </w:r>
      <w:r w:rsidRPr="001B12D9">
        <w:rPr>
          <w:rFonts w:ascii="TimesNewRomanPSMT" w:hAnsi="TimesNewRomanPSMT" w:cs="TimesNewRomanPSMT"/>
          <w:color w:val="000000"/>
          <w:sz w:val="24"/>
          <w:szCs w:val="24"/>
        </w:rPr>
        <w:t>, the Prize Competition Act which was broad enough to include competitions</w:t>
      </w:r>
      <w:r>
        <w:rPr>
          <w:rFonts w:ascii="TimesNewRomanPSMT" w:hAnsi="TimesNewRomanPSMT" w:cs="TimesNewRomanPSMT"/>
          <w:color w:val="000000"/>
          <w:sz w:val="24"/>
          <w:szCs w:val="24"/>
        </w:rPr>
        <w:t xml:space="preserve"> </w:t>
      </w:r>
      <w:r w:rsidRPr="001B12D9">
        <w:rPr>
          <w:rFonts w:ascii="TimesNewRomanPSMT" w:hAnsi="TimesNewRomanPSMT" w:cs="TimesNewRomanPSMT"/>
          <w:color w:val="000000"/>
          <w:sz w:val="24"/>
          <w:szCs w:val="24"/>
        </w:rPr>
        <w:t>of a gambling nature as well as those involving skills. Under Art. 19(1)(g), Parliament could restrict prize</w:t>
      </w:r>
      <w:r>
        <w:rPr>
          <w:rFonts w:ascii="TimesNewRomanPSMT" w:hAnsi="TimesNewRomanPSMT" w:cs="TimesNewRomanPSMT"/>
          <w:color w:val="000000"/>
          <w:sz w:val="24"/>
          <w:szCs w:val="24"/>
        </w:rPr>
        <w:t xml:space="preserve"> </w:t>
      </w:r>
      <w:r w:rsidRPr="001B12D9">
        <w:rPr>
          <w:rFonts w:ascii="TimesNewRomanPSMT" w:hAnsi="TimesNewRomanPSMT" w:cs="TimesNewRomanPSMT"/>
          <w:color w:val="000000"/>
          <w:sz w:val="24"/>
          <w:szCs w:val="24"/>
        </w:rPr>
        <w:t>competitions only of a gambling nature but not those involving skills. The Supreme Court let some parts</w:t>
      </w:r>
      <w:r>
        <w:rPr>
          <w:rFonts w:ascii="TimesNewRomanPSMT" w:hAnsi="TimesNewRomanPSMT" w:cs="TimesNewRomanPSMT"/>
          <w:color w:val="000000"/>
          <w:sz w:val="24"/>
          <w:szCs w:val="24"/>
        </w:rPr>
        <w:t xml:space="preserve"> </w:t>
      </w:r>
      <w:r w:rsidRPr="001B12D9">
        <w:rPr>
          <w:rFonts w:ascii="TimesNewRomanPSMT" w:hAnsi="TimesNewRomanPSMT" w:cs="TimesNewRomanPSMT"/>
          <w:color w:val="000000"/>
          <w:sz w:val="24"/>
          <w:szCs w:val="24"/>
        </w:rPr>
        <w:t>of the act intact because Parliament would have still enacted the law to regulate competitions of gambling</w:t>
      </w:r>
      <w:r>
        <w:rPr>
          <w:rFonts w:ascii="TimesNewRomanPSMT" w:hAnsi="TimesNewRomanPSMT" w:cs="TimesNewRomanPSMT"/>
          <w:color w:val="000000"/>
          <w:sz w:val="24"/>
          <w:szCs w:val="24"/>
        </w:rPr>
        <w:t xml:space="preserve"> </w:t>
      </w:r>
      <w:r w:rsidRPr="001B12D9">
        <w:rPr>
          <w:rFonts w:ascii="TimesNewRomanPSMT" w:hAnsi="TimesNewRomanPSMT" w:cs="TimesNewRomanPSMT"/>
          <w:color w:val="000000"/>
          <w:sz w:val="24"/>
          <w:szCs w:val="24"/>
        </w:rPr>
        <w:t xml:space="preserve">nature. </w:t>
      </w:r>
      <w:r w:rsidRPr="001B12D9">
        <w:rPr>
          <w:rFonts w:ascii="TimesNewRomanPSMT" w:hAnsi="TimesNewRomanPSMT" w:cs="TimesNewRomanPSMT"/>
          <w:color w:val="111111"/>
          <w:sz w:val="24"/>
          <w:szCs w:val="24"/>
        </w:rPr>
        <w:t xml:space="preserve">Where the provisions of the act are so mixed together </w:t>
      </w:r>
      <w:proofErr w:type="spellStart"/>
      <w:r w:rsidRPr="001B12D9">
        <w:rPr>
          <w:rFonts w:ascii="TimesNewRomanPSMT" w:hAnsi="TimesNewRomanPSMT" w:cs="TimesNewRomanPSMT"/>
          <w:color w:val="111111"/>
          <w:sz w:val="24"/>
          <w:szCs w:val="24"/>
        </w:rPr>
        <w:t>i.e</w:t>
      </w:r>
      <w:proofErr w:type="spellEnd"/>
      <w:r w:rsidRPr="001B12D9">
        <w:rPr>
          <w:rFonts w:ascii="TimesNewRomanPSMT" w:hAnsi="TimesNewRomanPSMT" w:cs="TimesNewRomanPSMT"/>
          <w:color w:val="111111"/>
          <w:sz w:val="24"/>
          <w:szCs w:val="24"/>
        </w:rPr>
        <w:t xml:space="preserve"> the invalid portion and the valid portion</w:t>
      </w:r>
      <w:r>
        <w:rPr>
          <w:rFonts w:ascii="TimesNewRomanPSMT" w:hAnsi="TimesNewRomanPSMT" w:cs="TimesNewRomanPSMT"/>
          <w:color w:val="111111"/>
          <w:sz w:val="24"/>
          <w:szCs w:val="24"/>
        </w:rPr>
        <w:t xml:space="preserve"> </w:t>
      </w:r>
      <w:r w:rsidRPr="001B12D9">
        <w:rPr>
          <w:rFonts w:ascii="TimesNewRomanPSMT" w:hAnsi="TimesNewRomanPSMT" w:cs="TimesNewRomanPSMT"/>
          <w:color w:val="111111"/>
          <w:sz w:val="24"/>
          <w:szCs w:val="24"/>
        </w:rPr>
        <w:t>such that it would not possible to separate them, then the act as whole would deemed to be void.</w:t>
      </w:r>
    </w:p>
    <w:p w:rsidR="00C8386D" w:rsidRDefault="00C8386D" w:rsidP="001B12D9">
      <w:pPr>
        <w:pStyle w:val="ListParagraph"/>
        <w:autoSpaceDE w:val="0"/>
        <w:autoSpaceDN w:val="0"/>
        <w:adjustRightInd w:val="0"/>
        <w:spacing w:after="0" w:line="240" w:lineRule="auto"/>
        <w:rPr>
          <w:rFonts w:ascii="TimesNewRomanPSMT" w:hAnsi="TimesNewRomanPSMT" w:cs="TimesNewRomanPSMT"/>
          <w:sz w:val="24"/>
          <w:szCs w:val="24"/>
        </w:rPr>
      </w:pPr>
    </w:p>
    <w:p w:rsidR="001B12D9" w:rsidRPr="001B12D9" w:rsidRDefault="001B12D9" w:rsidP="00C8386D">
      <w:pPr>
        <w:pStyle w:val="ListParagraph"/>
        <w:numPr>
          <w:ilvl w:val="0"/>
          <w:numId w:val="23"/>
        </w:num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 xml:space="preserve">Future Laws – laws made after the commencement of the Constitution - </w:t>
      </w:r>
      <w:r>
        <w:rPr>
          <w:rFonts w:ascii="TimesNewRomanPS-BoldItalicMT" w:hAnsi="TimesNewRomanPS-BoldItalicMT" w:cs="TimesNewRomanPS-BoldItalicMT"/>
          <w:b/>
          <w:bCs/>
          <w:i/>
          <w:iCs/>
          <w:sz w:val="24"/>
          <w:szCs w:val="24"/>
        </w:rPr>
        <w:t xml:space="preserve">State of Gujarat vs. Shri </w:t>
      </w:r>
      <w:proofErr w:type="spellStart"/>
      <w:r>
        <w:rPr>
          <w:rFonts w:ascii="TimesNewRomanPS-BoldItalicMT" w:hAnsi="TimesNewRomanPS-BoldItalicMT" w:cs="TimesNewRomanPS-BoldItalicMT"/>
          <w:b/>
          <w:bCs/>
          <w:i/>
          <w:iCs/>
          <w:sz w:val="24"/>
          <w:szCs w:val="24"/>
        </w:rPr>
        <w:t>Ambica</w:t>
      </w:r>
      <w:proofErr w:type="spellEnd"/>
      <w:r>
        <w:rPr>
          <w:rFonts w:ascii="TimesNewRomanPS-BoldItalicMT" w:hAnsi="TimesNewRomanPS-BoldItalicMT" w:cs="TimesNewRomanPS-BoldItalicMT"/>
          <w:b/>
          <w:bCs/>
          <w:i/>
          <w:iCs/>
          <w:sz w:val="24"/>
          <w:szCs w:val="24"/>
        </w:rPr>
        <w:t xml:space="preserve"> Mills - </w:t>
      </w:r>
      <w:r w:rsidRPr="005F41E6">
        <w:rPr>
          <w:rFonts w:ascii="Times New Roman" w:eastAsia="Calibri" w:hAnsi="Times New Roman" w:cs="Times New Roman"/>
          <w:sz w:val="24"/>
          <w:szCs w:val="24"/>
        </w:rPr>
        <w:t>The FR eclipse the pre-constitutional laws to the extent that they are applicable to citizens and not corporation. The pre-</w:t>
      </w:r>
      <w:proofErr w:type="spellStart"/>
      <w:r w:rsidRPr="005F41E6">
        <w:rPr>
          <w:rFonts w:ascii="Times New Roman" w:eastAsia="Calibri" w:hAnsi="Times New Roman" w:cs="Times New Roman"/>
          <w:sz w:val="24"/>
          <w:szCs w:val="24"/>
        </w:rPr>
        <w:t>consitiutional</w:t>
      </w:r>
      <w:proofErr w:type="spellEnd"/>
      <w:r w:rsidRPr="005F41E6">
        <w:rPr>
          <w:rFonts w:ascii="Times New Roman" w:eastAsia="Calibri" w:hAnsi="Times New Roman" w:cs="Times New Roman"/>
          <w:sz w:val="24"/>
          <w:szCs w:val="24"/>
        </w:rPr>
        <w:t xml:space="preserve"> laws which are ultra vires continue to be in existence for non-citizens to whom the FRs do not apply. An amendment to the FRs to bring a pre-constitutional law which was unlawful before the constitution but became lawful because of the Constitution will stand.</w:t>
      </w:r>
    </w:p>
    <w:p w:rsidR="001B12D9" w:rsidRPr="001B12D9" w:rsidRDefault="001B12D9" w:rsidP="001B12D9">
      <w:pPr>
        <w:pStyle w:val="ListParagraph"/>
        <w:autoSpaceDE w:val="0"/>
        <w:autoSpaceDN w:val="0"/>
        <w:adjustRightInd w:val="0"/>
        <w:spacing w:after="0" w:line="240" w:lineRule="auto"/>
        <w:rPr>
          <w:rFonts w:ascii="TimesNewRomanPSMT" w:hAnsi="TimesNewRomanPSMT" w:cs="TimesNewRomanPSMT"/>
          <w:sz w:val="24"/>
          <w:szCs w:val="24"/>
        </w:rPr>
      </w:pPr>
    </w:p>
    <w:p w:rsidR="001B12D9" w:rsidRDefault="00C81CD5" w:rsidP="00C8386D">
      <w:pPr>
        <w:pStyle w:val="ListParagraph"/>
        <w:numPr>
          <w:ilvl w:val="0"/>
          <w:numId w:val="23"/>
        </w:num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Waiver of FR</w:t>
      </w:r>
    </w:p>
    <w:p w:rsidR="00C81CD5" w:rsidRPr="00C81CD5" w:rsidRDefault="00C81CD5" w:rsidP="00C81CD5">
      <w:pPr>
        <w:pStyle w:val="ListParagraph"/>
        <w:rPr>
          <w:rFonts w:ascii="TimesNewRomanPSMT" w:hAnsi="TimesNewRomanPSMT" w:cs="TimesNewRomanPSMT"/>
          <w:sz w:val="24"/>
          <w:szCs w:val="24"/>
        </w:rPr>
      </w:pPr>
    </w:p>
    <w:p w:rsidR="00C81CD5" w:rsidRPr="00DB71FF" w:rsidRDefault="00C81CD5" w:rsidP="00C81CD5">
      <w:pPr>
        <w:numPr>
          <w:ilvl w:val="0"/>
          <w:numId w:val="23"/>
        </w:numPr>
        <w:spacing w:after="200" w:line="276" w:lineRule="auto"/>
        <w:contextualSpacing/>
        <w:rPr>
          <w:rFonts w:ascii="Times New Roman" w:hAnsi="Times New Roman"/>
          <w:sz w:val="23"/>
          <w:szCs w:val="23"/>
          <w:lang w:val="en-US"/>
        </w:rPr>
      </w:pPr>
      <w:r w:rsidRPr="00DB71FF">
        <w:rPr>
          <w:rFonts w:ascii="Times New Roman" w:hAnsi="Times New Roman"/>
          <w:sz w:val="23"/>
          <w:szCs w:val="23"/>
          <w:lang w:val="en-US"/>
        </w:rPr>
        <w:t>Are constitutional amendments law?</w:t>
      </w:r>
      <w:r>
        <w:rPr>
          <w:rFonts w:ascii="Times New Roman" w:hAnsi="Times New Roman"/>
          <w:sz w:val="23"/>
          <w:szCs w:val="23"/>
          <w:lang w:val="en-US"/>
        </w:rPr>
        <w:t xml:space="preserve"> </w:t>
      </w:r>
    </w:p>
    <w:p w:rsidR="00C81CD5" w:rsidRPr="001B12D9" w:rsidRDefault="00C81CD5" w:rsidP="00C81CD5">
      <w:pPr>
        <w:pStyle w:val="ListParagraph"/>
        <w:autoSpaceDE w:val="0"/>
        <w:autoSpaceDN w:val="0"/>
        <w:adjustRightInd w:val="0"/>
        <w:spacing w:after="0" w:line="240" w:lineRule="auto"/>
        <w:rPr>
          <w:rFonts w:ascii="TimesNewRomanPSMT" w:hAnsi="TimesNewRomanPSMT" w:cs="TimesNewRomanPSMT"/>
          <w:sz w:val="24"/>
          <w:szCs w:val="24"/>
        </w:rPr>
      </w:pPr>
    </w:p>
    <w:p w:rsidR="00C8386D" w:rsidRPr="00A27505" w:rsidRDefault="00C81CD5" w:rsidP="00634631">
      <w:pPr>
        <w:autoSpaceDE w:val="0"/>
        <w:autoSpaceDN w:val="0"/>
        <w:adjustRightInd w:val="0"/>
        <w:spacing w:after="0" w:line="240" w:lineRule="auto"/>
        <w:rPr>
          <w:rFonts w:ascii="TimesNewRomanPSMT" w:hAnsi="TimesNewRomanPSMT" w:cs="TimesNewRomanPSMT"/>
          <w:b/>
          <w:bCs/>
          <w:sz w:val="28"/>
          <w:szCs w:val="28"/>
          <w:u w:val="single"/>
        </w:rPr>
      </w:pPr>
      <w:r w:rsidRPr="00A27505">
        <w:rPr>
          <w:rFonts w:ascii="TimesNewRomanPSMT" w:hAnsi="TimesNewRomanPSMT" w:cs="TimesNewRomanPSMT"/>
          <w:b/>
          <w:bCs/>
          <w:sz w:val="32"/>
          <w:szCs w:val="32"/>
          <w:u w:val="single"/>
        </w:rPr>
        <w:t>Article 14</w:t>
      </w:r>
    </w:p>
    <w:p w:rsidR="00C8386D" w:rsidRDefault="00C8386D" w:rsidP="00634631">
      <w:pPr>
        <w:autoSpaceDE w:val="0"/>
        <w:autoSpaceDN w:val="0"/>
        <w:adjustRightInd w:val="0"/>
        <w:spacing w:after="0" w:line="240" w:lineRule="auto"/>
        <w:rPr>
          <w:rFonts w:ascii="TimesNewRomanPSMT" w:hAnsi="TimesNewRomanPSMT" w:cs="TimesNewRomanPSMT"/>
          <w:sz w:val="24"/>
          <w:szCs w:val="24"/>
        </w:rPr>
      </w:pP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Two concepts are involves in Article 14, viz. ‘equality before the law’ and ‘equal protection of law’. The first is a negative concept which ensures that there is no special privilege in favour of any one, that all are equal subject to the ordinary law of the land and that no person, whatever be his rank or condition, is above the law. There are certain exceptions to it, such as – foreign diplomats enjoy immunity from the country’s judicial process, Art. 361 extends </w:t>
      </w:r>
      <w:r>
        <w:rPr>
          <w:rFonts w:ascii="TimesNewRomanPSMT" w:hAnsi="TimesNewRomanPSMT" w:cs="TimesNewRomanPSMT"/>
          <w:sz w:val="24"/>
          <w:szCs w:val="24"/>
        </w:rPr>
        <w:lastRenderedPageBreak/>
        <w:t>immunity to the President of India. The second concept, ‘equal protection of laws’, is positive in content. It does not mean that identically the same law should apply to all persons, or that every law must have a universal application within the country irrespective of different circumstances. Equal protection of the laws does not postulate equal treatment of all person without distinctions. What it postulates is the application of the same laws alike and without discrimination to all persons similarly situated. It denotes equality of treatment in equal circumstances.</w:t>
      </w:r>
    </w:p>
    <w:p w:rsidR="00C81CD5" w:rsidRDefault="00C81CD5" w:rsidP="00634631">
      <w:pPr>
        <w:autoSpaceDE w:val="0"/>
        <w:autoSpaceDN w:val="0"/>
        <w:adjustRightInd w:val="0"/>
        <w:spacing w:after="0" w:line="240" w:lineRule="auto"/>
        <w:rPr>
          <w:rFonts w:ascii="TimesNewRomanPSMT" w:hAnsi="TimesNewRomanPSMT" w:cs="TimesNewRomanPSMT"/>
          <w:sz w:val="24"/>
          <w:szCs w:val="24"/>
        </w:rPr>
      </w:pPr>
    </w:p>
    <w:p w:rsidR="00C81CD5" w:rsidRDefault="00C81CD5" w:rsidP="00C81CD5">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Doctrine of Reasonable Classification</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Article 14 forbids class legislation but does not prohibit legislative classification (special</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legislations for doctors, lawyers etc.).</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Article 14 allows for reasonable classification of persons, objects and transactions by the</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Legislature for the purpose of achieving specific ends. Classification to be reasonable should</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fulfil following two test –</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p>
    <w:p w:rsidR="00C81CD5" w:rsidRPr="00C81CD5" w:rsidRDefault="00C81CD5" w:rsidP="00C81CD5">
      <w:pPr>
        <w:pStyle w:val="ListParagraph"/>
        <w:numPr>
          <w:ilvl w:val="0"/>
          <w:numId w:val="26"/>
        </w:numPr>
        <w:autoSpaceDE w:val="0"/>
        <w:autoSpaceDN w:val="0"/>
        <w:adjustRightInd w:val="0"/>
        <w:spacing w:after="0" w:line="240" w:lineRule="auto"/>
        <w:rPr>
          <w:rFonts w:ascii="TimesNewRomanPSMT" w:hAnsi="TimesNewRomanPSMT" w:cs="TimesNewRomanPSMT"/>
          <w:sz w:val="24"/>
          <w:szCs w:val="24"/>
        </w:rPr>
      </w:pPr>
      <w:r w:rsidRPr="00C81CD5">
        <w:rPr>
          <w:rFonts w:ascii="TimesNewRomanPSMT" w:hAnsi="TimesNewRomanPSMT" w:cs="TimesNewRomanPSMT"/>
          <w:sz w:val="24"/>
          <w:szCs w:val="24"/>
        </w:rPr>
        <w:t xml:space="preserve"> It should not be arbitrary, artificial or evasive. It should be based on an intelligible</w:t>
      </w:r>
    </w:p>
    <w:p w:rsidR="00C81CD5" w:rsidRDefault="00C81CD5" w:rsidP="00C81CD5">
      <w:pPr>
        <w:autoSpaceDE w:val="0"/>
        <w:autoSpaceDN w:val="0"/>
        <w:adjustRightInd w:val="0"/>
        <w:spacing w:after="0" w:line="240" w:lineRule="auto"/>
        <w:ind w:left="720"/>
        <w:rPr>
          <w:rFonts w:ascii="TimesNewRomanPSMT" w:hAnsi="TimesNewRomanPSMT" w:cs="TimesNewRomanPSMT"/>
          <w:sz w:val="24"/>
          <w:szCs w:val="24"/>
        </w:rPr>
      </w:pPr>
      <w:r>
        <w:rPr>
          <w:rFonts w:ascii="TimesNewRomanPSMT" w:hAnsi="TimesNewRomanPSMT" w:cs="TimesNewRomanPSMT"/>
          <w:sz w:val="24"/>
          <w:szCs w:val="24"/>
        </w:rPr>
        <w:t>differentia, some real and substantial distinction, which distinguishes persons or things grouped together in the class from others left out of it.</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p>
    <w:p w:rsidR="00C81CD5" w:rsidRDefault="00C81CD5" w:rsidP="00613DDE">
      <w:pPr>
        <w:pStyle w:val="ListParagraph"/>
        <w:numPr>
          <w:ilvl w:val="0"/>
          <w:numId w:val="26"/>
        </w:numPr>
        <w:autoSpaceDE w:val="0"/>
        <w:autoSpaceDN w:val="0"/>
        <w:adjustRightInd w:val="0"/>
        <w:spacing w:after="0" w:line="240" w:lineRule="auto"/>
        <w:rPr>
          <w:rFonts w:ascii="TimesNewRomanPSMT" w:hAnsi="TimesNewRomanPSMT" w:cs="TimesNewRomanPSMT"/>
          <w:sz w:val="24"/>
          <w:szCs w:val="24"/>
        </w:rPr>
      </w:pPr>
      <w:r w:rsidRPr="00C81CD5">
        <w:rPr>
          <w:rFonts w:ascii="TimesNewRomanPSMT" w:hAnsi="TimesNewRomanPSMT" w:cs="TimesNewRomanPSMT"/>
          <w:sz w:val="24"/>
          <w:szCs w:val="24"/>
        </w:rPr>
        <w:t xml:space="preserve"> The differentia adopted as the basis of classification must have a rational or   reasonable </w:t>
      </w:r>
      <w:r w:rsidRPr="00C81CD5">
        <w:rPr>
          <w:rFonts w:ascii="TimesNewRomanPS-ItalicMT" w:hAnsi="TimesNewRomanPS-ItalicMT" w:cs="TimesNewRomanPS-ItalicMT"/>
          <w:i/>
          <w:iCs/>
          <w:sz w:val="24"/>
          <w:szCs w:val="24"/>
        </w:rPr>
        <w:t xml:space="preserve">nexus </w:t>
      </w:r>
      <w:r w:rsidRPr="00C81CD5">
        <w:rPr>
          <w:rFonts w:ascii="TimesNewRomanPSMT" w:hAnsi="TimesNewRomanPSMT" w:cs="TimesNewRomanPSMT"/>
          <w:sz w:val="24"/>
          <w:szCs w:val="24"/>
        </w:rPr>
        <w:t>with the object sought to be achieved by the statute in question.</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person who pleads that article 14 has been violated, must not only prove that he has been treated differently from others, but he has also been treated differently from persons similarly circumstanced.</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r w:rsidRPr="005F41E6">
        <w:rPr>
          <w:rFonts w:ascii="Times New Roman" w:eastAsia="Calibri" w:hAnsi="Times New Roman" w:cs="Times New Roman"/>
          <w:b/>
          <w:sz w:val="24"/>
          <w:szCs w:val="24"/>
        </w:rPr>
        <w:t>State of West Bengal v Anwar Ali Sarkar</w:t>
      </w:r>
      <w:r w:rsidRPr="005F41E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NewRomanPSMT" w:hAnsi="TimesNewRomanPSMT" w:cs="TimesNewRomanPSMT"/>
          <w:sz w:val="24"/>
          <w:szCs w:val="24"/>
        </w:rPr>
        <w:t>The court said that the act did not lay down any basis for classification nor did it mention clearly what kind of cases were to be directed for trial by special courts. The procedure laid down by the act varied substantially from the procedure laid down for trial by CrPC.</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r w:rsidRPr="005F41E6">
        <w:rPr>
          <w:rFonts w:ascii="Times New Roman" w:eastAsia="Calibri" w:hAnsi="Times New Roman" w:cs="Times New Roman"/>
          <w:b/>
          <w:sz w:val="24"/>
          <w:szCs w:val="24"/>
        </w:rPr>
        <w:t>Kathi Rani Rawat v State of Saurashtra</w:t>
      </w:r>
      <w:r>
        <w:rPr>
          <w:rFonts w:ascii="Times New Roman" w:eastAsia="Calibri" w:hAnsi="Times New Roman" w:cs="Times New Roman"/>
          <w:b/>
          <w:sz w:val="24"/>
          <w:szCs w:val="24"/>
        </w:rPr>
        <w:t xml:space="preserve"> - </w:t>
      </w:r>
      <w:r>
        <w:rPr>
          <w:rFonts w:ascii="TimesNewRomanPSMT" w:hAnsi="TimesNewRomanPSMT" w:cs="TimesNewRomanPSMT"/>
          <w:sz w:val="24"/>
          <w:szCs w:val="24"/>
        </w:rPr>
        <w:t>Court held that a distinction must be drawn between ‘discrimination without reason’ and ‘discrimination with reason’. Court held that state is competent to deal with offences which affect the maintenance of public order and that such offences shall be tried as expeditiously as possible in accordance with a special procedure.</w:t>
      </w:r>
    </w:p>
    <w:p w:rsidR="00C81CD5" w:rsidRDefault="00C81CD5" w:rsidP="00C81CD5">
      <w:pPr>
        <w:autoSpaceDE w:val="0"/>
        <w:autoSpaceDN w:val="0"/>
        <w:adjustRightInd w:val="0"/>
        <w:spacing w:after="0" w:line="240" w:lineRule="auto"/>
        <w:rPr>
          <w:rFonts w:ascii="TimesNewRomanPSMT" w:hAnsi="TimesNewRomanPSMT" w:cs="TimesNewRomanPSMT"/>
          <w:sz w:val="24"/>
          <w:szCs w:val="24"/>
        </w:rPr>
      </w:pPr>
    </w:p>
    <w:p w:rsidR="00C81CD5" w:rsidRPr="00C81CD5" w:rsidRDefault="00C81CD5" w:rsidP="00C81CD5">
      <w:pPr>
        <w:autoSpaceDE w:val="0"/>
        <w:autoSpaceDN w:val="0"/>
        <w:adjustRightInd w:val="0"/>
        <w:spacing w:after="0" w:line="240" w:lineRule="auto"/>
        <w:rPr>
          <w:rFonts w:ascii="TimesNewRomanPS-BoldItalicMT" w:hAnsi="TimesNewRomanPS-BoldItalicMT" w:cs="TimesNewRomanPS-BoldItalicMT"/>
          <w:b/>
          <w:bCs/>
          <w:i/>
          <w:iCs/>
          <w:sz w:val="24"/>
          <w:szCs w:val="24"/>
        </w:rPr>
      </w:pPr>
      <w:proofErr w:type="spellStart"/>
      <w:r w:rsidRPr="00C81CD5">
        <w:rPr>
          <w:rFonts w:ascii="Times New Roman" w:hAnsi="Times New Roman"/>
          <w:b/>
          <w:bCs/>
          <w:sz w:val="24"/>
          <w:szCs w:val="24"/>
          <w:lang w:val="en-US"/>
        </w:rPr>
        <w:t>Kedar</w:t>
      </w:r>
      <w:proofErr w:type="spellEnd"/>
      <w:r w:rsidRPr="00C81CD5">
        <w:rPr>
          <w:rFonts w:ascii="Times New Roman" w:hAnsi="Times New Roman"/>
          <w:b/>
          <w:bCs/>
          <w:sz w:val="24"/>
          <w:szCs w:val="24"/>
          <w:lang w:val="en-US"/>
        </w:rPr>
        <w:t xml:space="preserve"> Nath </w:t>
      </w:r>
      <w:proofErr w:type="spellStart"/>
      <w:r w:rsidRPr="00C81CD5">
        <w:rPr>
          <w:rFonts w:ascii="Times New Roman" w:hAnsi="Times New Roman"/>
          <w:b/>
          <w:bCs/>
          <w:sz w:val="24"/>
          <w:szCs w:val="24"/>
          <w:lang w:val="en-US"/>
        </w:rPr>
        <w:t>Bajoria</w:t>
      </w:r>
      <w:proofErr w:type="spellEnd"/>
      <w:r w:rsidRPr="00C81CD5">
        <w:rPr>
          <w:rFonts w:ascii="Times New Roman" w:hAnsi="Times New Roman"/>
          <w:b/>
          <w:bCs/>
          <w:sz w:val="24"/>
          <w:szCs w:val="24"/>
          <w:lang w:val="en-US"/>
        </w:rPr>
        <w:t xml:space="preserve"> v State of West Bengal</w:t>
      </w:r>
      <w:r w:rsidRPr="00881FCA">
        <w:rPr>
          <w:rFonts w:ascii="Times New Roman" w:hAnsi="Times New Roman"/>
          <w:sz w:val="24"/>
          <w:szCs w:val="24"/>
          <w:lang w:val="en-US"/>
        </w:rPr>
        <w:t xml:space="preserve"> </w:t>
      </w:r>
      <w:r>
        <w:rPr>
          <w:rFonts w:ascii="Times New Roman" w:hAnsi="Times New Roman"/>
          <w:sz w:val="24"/>
          <w:szCs w:val="24"/>
          <w:lang w:val="en-US"/>
        </w:rPr>
        <w:t xml:space="preserve">- </w:t>
      </w:r>
      <w:r w:rsidRPr="00C81CD5">
        <w:rPr>
          <w:rFonts w:ascii="TimesNewRomanPS-BoldItalicMT" w:hAnsi="TimesNewRomanPS-BoldItalicMT" w:cs="TimesNewRomanPS-BoldItalicMT"/>
          <w:sz w:val="24"/>
          <w:szCs w:val="24"/>
        </w:rPr>
        <w:t>viewed against this background, it will be seen that by and large the types of offences mentioned in the schedule to the Act are those that were common and widely prevalent, during this period, and it was evidently to prevent or to place an effective check upon the commission of such offences that the impugned legislation was considered necessary. Hence the system of special courts deal with the special type of offences under a shortened and simplified procedure was devised, and it seems to us that the legislation in question is based on a perfectly intelligible principle of classification having a clear and reasonable relation to the object sought to be attained.”</w:t>
      </w:r>
    </w:p>
    <w:p w:rsidR="00C81CD5" w:rsidRPr="00A27505" w:rsidRDefault="00C81CD5" w:rsidP="00C81CD5">
      <w:pPr>
        <w:autoSpaceDE w:val="0"/>
        <w:autoSpaceDN w:val="0"/>
        <w:adjustRightInd w:val="0"/>
        <w:spacing w:after="0" w:line="240" w:lineRule="auto"/>
        <w:rPr>
          <w:rFonts w:ascii="TimesNewRomanPSMT" w:hAnsi="TimesNewRomanPSMT" w:cs="TimesNewRomanPSMT"/>
          <w:b/>
          <w:bCs/>
          <w:sz w:val="24"/>
          <w:szCs w:val="24"/>
        </w:rPr>
      </w:pPr>
    </w:p>
    <w:p w:rsidR="00A27505" w:rsidRDefault="00C81CD5" w:rsidP="00C81CD5">
      <w:pPr>
        <w:autoSpaceDE w:val="0"/>
        <w:autoSpaceDN w:val="0"/>
        <w:adjustRightInd w:val="0"/>
        <w:spacing w:after="0" w:line="240" w:lineRule="auto"/>
        <w:rPr>
          <w:rFonts w:ascii="TimesNewRomanPSMT" w:hAnsi="TimesNewRomanPSMT" w:cs="TimesNewRomanPSMT"/>
          <w:sz w:val="24"/>
          <w:szCs w:val="24"/>
        </w:rPr>
      </w:pPr>
      <w:proofErr w:type="spellStart"/>
      <w:r w:rsidRPr="00A27505">
        <w:rPr>
          <w:rFonts w:ascii="Times New Roman" w:hAnsi="Times New Roman"/>
          <w:b/>
          <w:bCs/>
          <w:sz w:val="24"/>
          <w:szCs w:val="24"/>
          <w:lang w:val="en-US"/>
        </w:rPr>
        <w:t>Maganlal</w:t>
      </w:r>
      <w:proofErr w:type="spellEnd"/>
      <w:r w:rsidRPr="00A27505">
        <w:rPr>
          <w:rFonts w:ascii="Times New Roman" w:hAnsi="Times New Roman"/>
          <w:b/>
          <w:bCs/>
          <w:sz w:val="24"/>
          <w:szCs w:val="24"/>
          <w:lang w:val="en-US"/>
        </w:rPr>
        <w:t xml:space="preserve"> </w:t>
      </w:r>
      <w:proofErr w:type="spellStart"/>
      <w:r w:rsidRPr="00A27505">
        <w:rPr>
          <w:rFonts w:ascii="Times New Roman" w:hAnsi="Times New Roman"/>
          <w:b/>
          <w:bCs/>
          <w:sz w:val="24"/>
          <w:szCs w:val="24"/>
          <w:lang w:val="en-US"/>
        </w:rPr>
        <w:t>Chhaganlal</w:t>
      </w:r>
      <w:proofErr w:type="spellEnd"/>
      <w:r w:rsidRPr="00A27505">
        <w:rPr>
          <w:rFonts w:ascii="Times New Roman" w:hAnsi="Times New Roman"/>
          <w:b/>
          <w:bCs/>
          <w:sz w:val="24"/>
          <w:szCs w:val="24"/>
          <w:lang w:val="en-US"/>
        </w:rPr>
        <w:t xml:space="preserve"> Ltd. V Municipal Corporation of Greater Bombay</w:t>
      </w:r>
      <w:r>
        <w:rPr>
          <w:rFonts w:ascii="Times New Roman" w:hAnsi="Times New Roman"/>
          <w:sz w:val="24"/>
          <w:szCs w:val="24"/>
          <w:lang w:val="en-US"/>
        </w:rPr>
        <w:t xml:space="preserve"> - </w:t>
      </w:r>
      <w:r>
        <w:rPr>
          <w:rFonts w:ascii="TimesNewRomanPSMT" w:hAnsi="TimesNewRomanPSMT" w:cs="TimesNewRomanPSMT"/>
          <w:sz w:val="24"/>
          <w:szCs w:val="24"/>
        </w:rPr>
        <w:t xml:space="preserve">How to check the validity of the legislation – ascertain the policy and object of the statute. Then apply dual </w:t>
      </w:r>
      <w:r>
        <w:rPr>
          <w:rFonts w:ascii="TimesNewRomanPSMT" w:hAnsi="TimesNewRomanPSMT" w:cs="TimesNewRomanPSMT"/>
          <w:sz w:val="24"/>
          <w:szCs w:val="24"/>
        </w:rPr>
        <w:lastRenderedPageBreak/>
        <w:t>test – classification must be based on intelligible differentia and the basis of classification has nexus with the policy or object.</w:t>
      </w:r>
    </w:p>
    <w:p w:rsidR="00A27505" w:rsidRDefault="00A27505" w:rsidP="00C81CD5">
      <w:pPr>
        <w:autoSpaceDE w:val="0"/>
        <w:autoSpaceDN w:val="0"/>
        <w:adjustRightInd w:val="0"/>
        <w:spacing w:after="0" w:line="240" w:lineRule="auto"/>
        <w:rPr>
          <w:rFonts w:ascii="TimesNewRomanPSMT" w:hAnsi="TimesNewRomanPSMT" w:cs="TimesNewRomanPSMT"/>
          <w:sz w:val="24"/>
          <w:szCs w:val="24"/>
        </w:rPr>
      </w:pPr>
    </w:p>
    <w:p w:rsidR="00A27505" w:rsidRDefault="00A27505" w:rsidP="00A2750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present position is that Article 14 is no longer equated with doctrine of reasonable classification. Article 14 is primarily a guarantee against arbitrariness in State Action and doctrine of reasonable classification has been evolved only as a subsidiary rule for testing whether a particular state action is arbitrary or not.</w:t>
      </w:r>
    </w:p>
    <w:p w:rsidR="00C81CD5" w:rsidRPr="00C81CD5" w:rsidRDefault="00C81CD5" w:rsidP="00C81CD5">
      <w:pPr>
        <w:autoSpaceDE w:val="0"/>
        <w:autoSpaceDN w:val="0"/>
        <w:adjustRightInd w:val="0"/>
        <w:spacing w:after="0" w:line="240" w:lineRule="auto"/>
        <w:rPr>
          <w:rFonts w:ascii="TimesNewRomanPSMT" w:hAnsi="TimesNewRomanPSMT" w:cs="TimesNewRomanPSMT"/>
          <w:sz w:val="24"/>
          <w:szCs w:val="24"/>
        </w:rPr>
      </w:pPr>
    </w:p>
    <w:p w:rsidR="00634631" w:rsidRPr="00A27505" w:rsidRDefault="00634631" w:rsidP="00634631">
      <w:pPr>
        <w:autoSpaceDE w:val="0"/>
        <w:autoSpaceDN w:val="0"/>
        <w:adjustRightInd w:val="0"/>
        <w:spacing w:after="0" w:line="240" w:lineRule="auto"/>
        <w:rPr>
          <w:rFonts w:ascii="TimesNewRomanPSMT" w:hAnsi="TimesNewRomanPSMT" w:cs="TimesNewRomanPSMT"/>
          <w:b/>
          <w:bCs/>
          <w:sz w:val="32"/>
          <w:szCs w:val="32"/>
          <w:u w:val="single"/>
        </w:rPr>
      </w:pPr>
      <w:r w:rsidRPr="00A27505">
        <w:rPr>
          <w:rFonts w:ascii="TimesNewRomanPSMT" w:hAnsi="TimesNewRomanPSMT" w:cs="TimesNewRomanPSMT"/>
          <w:b/>
          <w:bCs/>
          <w:sz w:val="32"/>
          <w:szCs w:val="32"/>
          <w:u w:val="single"/>
        </w:rPr>
        <w:t>Article 15</w:t>
      </w:r>
    </w:p>
    <w:p w:rsidR="00A27505" w:rsidRPr="00D61498" w:rsidRDefault="00A27505" w:rsidP="00634631">
      <w:pPr>
        <w:autoSpaceDE w:val="0"/>
        <w:autoSpaceDN w:val="0"/>
        <w:adjustRightInd w:val="0"/>
        <w:spacing w:after="0" w:line="240" w:lineRule="auto"/>
        <w:rPr>
          <w:rFonts w:ascii="TimesNewRomanPSMT" w:hAnsi="TimesNewRomanPSMT" w:cs="TimesNewRomanPSMT"/>
          <w:b/>
          <w:bCs/>
          <w:sz w:val="24"/>
          <w:szCs w:val="24"/>
        </w:rPr>
      </w:pP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right guaranteed in clause (1) is conferred on a citizen as an individual and is</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available against his being subjected to discrimination in matter of rights and</w:t>
      </w:r>
    </w:p>
    <w:p w:rsidR="002B084E" w:rsidRDefault="00634631" w:rsidP="00634631">
      <w:pPr>
        <w:rPr>
          <w:rFonts w:ascii="TimesNewRomanPSMT" w:hAnsi="TimesNewRomanPSMT" w:cs="TimesNewRomanPSMT"/>
          <w:sz w:val="24"/>
          <w:szCs w:val="24"/>
        </w:rPr>
      </w:pPr>
      <w:r>
        <w:rPr>
          <w:rFonts w:ascii="TimesNewRomanPSMT" w:hAnsi="TimesNewRomanPSMT" w:cs="TimesNewRomanPSMT"/>
          <w:sz w:val="24"/>
          <w:szCs w:val="24"/>
        </w:rPr>
        <w:t>privileges pertaining to him as a citizen generally.</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word “only” has two interpretations – one is that the prohibited ground should</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not be the only or sole consideration for discriminatory treatment i.e., the courts must</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consider the scope and object of the impugned law so as to determine the grounds on</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which such law is based. The other interpretation is that it is the effect or operation of</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statute which is the determining factor and not its purpose or motive. The court</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should hold a law objectionable to the guarantee given by article 15 (1), if a person is</w:t>
      </w:r>
    </w:p>
    <w:p w:rsidR="00634631" w:rsidRDefault="00634631" w:rsidP="00634631">
      <w:pPr>
        <w:rPr>
          <w:rFonts w:ascii="TimesNewRomanPSMT" w:hAnsi="TimesNewRomanPSMT" w:cs="TimesNewRomanPSMT"/>
          <w:sz w:val="24"/>
          <w:szCs w:val="24"/>
        </w:rPr>
      </w:pPr>
      <w:r>
        <w:rPr>
          <w:rFonts w:ascii="TimesNewRomanPSMT" w:hAnsi="TimesNewRomanPSMT" w:cs="TimesNewRomanPSMT"/>
          <w:sz w:val="24"/>
          <w:szCs w:val="24"/>
        </w:rPr>
        <w:t>denied any right or privilege solely because of his religion, caste, race or sex.</w:t>
      </w:r>
    </w:p>
    <w:p w:rsidR="00634631" w:rsidRPr="00D61498" w:rsidRDefault="00D61498" w:rsidP="00634631">
      <w:pPr>
        <w:autoSpaceDE w:val="0"/>
        <w:autoSpaceDN w:val="0"/>
        <w:adjustRightInd w:val="0"/>
        <w:spacing w:after="0" w:line="240" w:lineRule="auto"/>
        <w:rPr>
          <w:rFonts w:ascii="TimesNewRomanPSMT" w:hAnsi="TimesNewRomanPSMT" w:cs="TimesNewRomanPSMT"/>
          <w:b/>
          <w:bCs/>
          <w:sz w:val="24"/>
          <w:szCs w:val="24"/>
        </w:rPr>
      </w:pPr>
      <w:r>
        <w:rPr>
          <w:rFonts w:ascii="TimesNewRomanPSMT" w:hAnsi="TimesNewRomanPSMT" w:cs="TimesNewRomanPSMT"/>
          <w:b/>
          <w:bCs/>
          <w:sz w:val="24"/>
          <w:szCs w:val="24"/>
        </w:rPr>
        <w:t>15(</w:t>
      </w:r>
      <w:r w:rsidR="00634631" w:rsidRPr="00634631">
        <w:rPr>
          <w:rFonts w:ascii="TimesNewRomanPSMT" w:hAnsi="TimesNewRomanPSMT" w:cs="TimesNewRomanPSMT"/>
          <w:b/>
          <w:bCs/>
          <w:sz w:val="24"/>
          <w:szCs w:val="24"/>
        </w:rPr>
        <w:t>3</w:t>
      </w:r>
      <w:r w:rsidR="00634631">
        <w:rPr>
          <w:rFonts w:ascii="TimesNewRomanPSMT" w:hAnsi="TimesNewRomanPSMT" w:cs="TimesNewRomanPSMT"/>
          <w:b/>
          <w:bCs/>
          <w:sz w:val="24"/>
          <w:szCs w:val="24"/>
        </w:rPr>
        <w:t>)</w:t>
      </w:r>
      <w:r>
        <w:rPr>
          <w:rFonts w:ascii="TimesNewRomanPSMT" w:hAnsi="TimesNewRomanPSMT" w:cs="TimesNewRomanPSMT"/>
          <w:b/>
          <w:bCs/>
          <w:sz w:val="24"/>
          <w:szCs w:val="24"/>
        </w:rPr>
        <w:t xml:space="preserve"> - </w:t>
      </w:r>
      <w:r w:rsidR="00634631">
        <w:rPr>
          <w:rFonts w:ascii="TimesNewRomanPSMT" w:hAnsi="TimesNewRomanPSMT" w:cs="TimesNewRomanPSMT"/>
          <w:sz w:val="24"/>
          <w:szCs w:val="24"/>
        </w:rPr>
        <w:t>In Indira Sawhney case, women are weaker section of our society for whose</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upliftment article 15(3) has been made, which should be given widest possible</w:t>
      </w:r>
    </w:p>
    <w:p w:rsidR="00634631" w:rsidRDefault="00634631" w:rsidP="00634631">
      <w:pPr>
        <w:rPr>
          <w:rFonts w:ascii="TimesNewRomanPSMT" w:hAnsi="TimesNewRomanPSMT" w:cs="TimesNewRomanPSMT"/>
          <w:sz w:val="24"/>
          <w:szCs w:val="24"/>
        </w:rPr>
      </w:pPr>
      <w:r>
        <w:rPr>
          <w:rFonts w:ascii="TimesNewRomanPSMT" w:hAnsi="TimesNewRomanPSMT" w:cs="TimesNewRomanPSMT"/>
          <w:sz w:val="24"/>
          <w:szCs w:val="24"/>
        </w:rPr>
        <w:t>interpretation and subject to the condition that reservation must not exceed 50%.</w:t>
      </w:r>
    </w:p>
    <w:p w:rsidR="00634631" w:rsidRPr="00D61498" w:rsidRDefault="00D61498" w:rsidP="00634631">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15</w:t>
      </w:r>
      <w:r w:rsidR="00634631">
        <w:rPr>
          <w:rFonts w:ascii="TimesNewRomanPS-BoldMT" w:hAnsi="TimesNewRomanPS-BoldMT" w:cs="TimesNewRomanPS-BoldMT"/>
          <w:b/>
          <w:bCs/>
          <w:sz w:val="24"/>
          <w:szCs w:val="24"/>
        </w:rPr>
        <w:t>(4)</w:t>
      </w:r>
      <w:r>
        <w:rPr>
          <w:rFonts w:ascii="TimesNewRomanPS-BoldMT" w:hAnsi="TimesNewRomanPS-BoldMT" w:cs="TimesNewRomanPS-BoldMT"/>
          <w:b/>
          <w:bCs/>
          <w:sz w:val="24"/>
          <w:szCs w:val="24"/>
        </w:rPr>
        <w:t xml:space="preserve"> - </w:t>
      </w:r>
      <w:r w:rsidR="00634631">
        <w:rPr>
          <w:rFonts w:ascii="TimesNewRomanPSMT" w:hAnsi="TimesNewRomanPSMT" w:cs="TimesNewRomanPSMT"/>
          <w:sz w:val="24"/>
          <w:szCs w:val="24"/>
        </w:rPr>
        <w:t>Enables the state to make special provisions for the advancement of socially and</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educationally backward classes – includes reservations or quotas and can be made in</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exercise of executive powers without any legislative support. Two most</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contentious issues in application of article 15(4) –</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 Determination of backward classes</w:t>
      </w:r>
    </w:p>
    <w:p w:rsidR="00634631" w:rsidRDefault="00634631" w:rsidP="00634631">
      <w:pPr>
        <w:rPr>
          <w:rFonts w:ascii="TimesNewRomanPSMT" w:hAnsi="TimesNewRomanPSMT" w:cs="TimesNewRomanPSMT"/>
          <w:sz w:val="24"/>
          <w:szCs w:val="24"/>
        </w:rPr>
      </w:pPr>
      <w:r>
        <w:rPr>
          <w:rFonts w:ascii="TimesNewRomanPSMT" w:hAnsi="TimesNewRomanPSMT" w:cs="TimesNewRomanPSMT"/>
          <w:sz w:val="24"/>
          <w:szCs w:val="24"/>
        </w:rPr>
        <w:t>2) Extent or quantum of reservation</w:t>
      </w:r>
    </w:p>
    <w:p w:rsidR="001B12D9" w:rsidRDefault="001B12D9" w:rsidP="00634631">
      <w:pPr>
        <w:rPr>
          <w:rFonts w:ascii="TimesNewRomanPSMT" w:hAnsi="TimesNewRomanPSMT" w:cs="TimesNewRomanPSMT"/>
          <w:b/>
          <w:bCs/>
          <w:sz w:val="24"/>
          <w:szCs w:val="24"/>
        </w:rPr>
      </w:pPr>
    </w:p>
    <w:p w:rsidR="00634631" w:rsidRDefault="00634631" w:rsidP="00634631">
      <w:pPr>
        <w:rPr>
          <w:rFonts w:ascii="TimesNewRomanPSMT" w:hAnsi="TimesNewRomanPSMT" w:cs="TimesNewRomanPSMT"/>
          <w:b/>
          <w:bCs/>
          <w:sz w:val="24"/>
          <w:szCs w:val="24"/>
        </w:rPr>
      </w:pPr>
      <w:r w:rsidRPr="00634631">
        <w:rPr>
          <w:rFonts w:ascii="TimesNewRomanPSMT" w:hAnsi="TimesNewRomanPSMT" w:cs="TimesNewRomanPSMT"/>
          <w:b/>
          <w:bCs/>
          <w:sz w:val="24"/>
          <w:szCs w:val="24"/>
        </w:rPr>
        <w:t>Indra</w:t>
      </w:r>
      <w:r w:rsidR="003D1FF5">
        <w:rPr>
          <w:rFonts w:ascii="TimesNewRomanPSMT" w:hAnsi="TimesNewRomanPSMT" w:cs="TimesNewRomanPSMT"/>
          <w:b/>
          <w:bCs/>
          <w:sz w:val="24"/>
          <w:szCs w:val="24"/>
        </w:rPr>
        <w:t xml:space="preserve"> </w:t>
      </w:r>
      <w:r w:rsidRPr="00634631">
        <w:rPr>
          <w:rFonts w:ascii="TimesNewRomanPSMT" w:hAnsi="TimesNewRomanPSMT" w:cs="TimesNewRomanPSMT"/>
          <w:b/>
          <w:bCs/>
          <w:sz w:val="24"/>
          <w:szCs w:val="24"/>
        </w:rPr>
        <w:t xml:space="preserve">Sawhney v UOI: </w:t>
      </w:r>
    </w:p>
    <w:p w:rsidR="00634631" w:rsidRPr="00634631" w:rsidRDefault="00634631" w:rsidP="00634631">
      <w:pPr>
        <w:pStyle w:val="ListParagraph"/>
        <w:numPr>
          <w:ilvl w:val="0"/>
          <w:numId w:val="2"/>
        </w:numPr>
        <w:rPr>
          <w:rFonts w:ascii="TimesNewRomanPSMT" w:hAnsi="TimesNewRomanPSMT" w:cs="TimesNewRomanPSMT"/>
          <w:sz w:val="24"/>
          <w:szCs w:val="24"/>
        </w:rPr>
      </w:pPr>
      <w:r w:rsidRPr="00634631">
        <w:rPr>
          <w:rFonts w:ascii="TimesNewRomanPSMT" w:hAnsi="TimesNewRomanPSMT" w:cs="TimesNewRomanPSMT"/>
          <w:sz w:val="24"/>
          <w:szCs w:val="24"/>
        </w:rPr>
        <w:t xml:space="preserve">15(4) and 16(4) are very similar – whether 16 (4) is a an exception to 16(1) or is it to be read implicitly? </w:t>
      </w:r>
    </w:p>
    <w:p w:rsidR="00634631" w:rsidRPr="00634631" w:rsidRDefault="00634631" w:rsidP="00634631">
      <w:pPr>
        <w:pStyle w:val="ListParagraph"/>
        <w:numPr>
          <w:ilvl w:val="0"/>
          <w:numId w:val="2"/>
        </w:numPr>
        <w:rPr>
          <w:rFonts w:ascii="TimesNewRomanPSMT" w:hAnsi="TimesNewRomanPSMT" w:cs="TimesNewRomanPSMT"/>
          <w:sz w:val="24"/>
          <w:szCs w:val="24"/>
        </w:rPr>
      </w:pPr>
      <w:r w:rsidRPr="00634631">
        <w:rPr>
          <w:rFonts w:ascii="TimesNewRomanPSMT" w:hAnsi="TimesNewRomanPSMT" w:cs="TimesNewRomanPSMT"/>
          <w:sz w:val="24"/>
          <w:szCs w:val="24"/>
        </w:rPr>
        <w:t>Reservation cannot exceed 50%</w:t>
      </w:r>
    </w:p>
    <w:p w:rsidR="00634631" w:rsidRPr="00634631" w:rsidRDefault="00634631" w:rsidP="00634631">
      <w:pPr>
        <w:pStyle w:val="ListParagraph"/>
        <w:numPr>
          <w:ilvl w:val="0"/>
          <w:numId w:val="2"/>
        </w:numPr>
        <w:rPr>
          <w:rFonts w:ascii="TimesNewRomanPSMT" w:hAnsi="TimesNewRomanPSMT" w:cs="TimesNewRomanPSMT"/>
          <w:sz w:val="24"/>
          <w:szCs w:val="24"/>
        </w:rPr>
      </w:pPr>
      <w:r w:rsidRPr="00634631">
        <w:rPr>
          <w:rFonts w:ascii="TimesNewRomanPSMT" w:hAnsi="TimesNewRomanPSMT" w:cs="TimesNewRomanPSMT"/>
          <w:sz w:val="24"/>
          <w:szCs w:val="24"/>
        </w:rPr>
        <w:t>Only economic criteria is not valid</w:t>
      </w:r>
    </w:p>
    <w:p w:rsidR="00634631" w:rsidRPr="00634631" w:rsidRDefault="00634631" w:rsidP="00634631">
      <w:pPr>
        <w:pStyle w:val="ListParagraph"/>
        <w:numPr>
          <w:ilvl w:val="0"/>
          <w:numId w:val="2"/>
        </w:numPr>
        <w:rPr>
          <w:rFonts w:ascii="TimesNewRomanPSMT" w:hAnsi="TimesNewRomanPSMT" w:cs="TimesNewRomanPSMT"/>
          <w:sz w:val="24"/>
          <w:szCs w:val="24"/>
        </w:rPr>
      </w:pPr>
      <w:r w:rsidRPr="00634631">
        <w:rPr>
          <w:rFonts w:ascii="TimesNewRomanPSMT" w:hAnsi="TimesNewRomanPSMT" w:cs="TimesNewRomanPSMT"/>
          <w:sz w:val="24"/>
          <w:szCs w:val="24"/>
        </w:rPr>
        <w:t>Creamy layer must be excluded</w:t>
      </w:r>
    </w:p>
    <w:p w:rsidR="00634631" w:rsidRDefault="00634631" w:rsidP="00634631">
      <w:pPr>
        <w:pStyle w:val="ListParagraph"/>
        <w:numPr>
          <w:ilvl w:val="0"/>
          <w:numId w:val="2"/>
        </w:numPr>
        <w:rPr>
          <w:rFonts w:ascii="TimesNewRomanPSMT" w:hAnsi="TimesNewRomanPSMT" w:cs="TimesNewRomanPSMT"/>
          <w:sz w:val="24"/>
          <w:szCs w:val="24"/>
        </w:rPr>
      </w:pPr>
      <w:r w:rsidRPr="00634631">
        <w:rPr>
          <w:rFonts w:ascii="TimesNewRomanPSMT" w:hAnsi="TimesNewRomanPSMT" w:cs="TimesNewRomanPSMT"/>
          <w:sz w:val="24"/>
          <w:szCs w:val="24"/>
        </w:rPr>
        <w:t>16(4) is not an exception to 16(1)- it is an instance of positive classification. Reservation can be done under 16(1) as well.</w:t>
      </w:r>
    </w:p>
    <w:p w:rsidR="00AA31CF" w:rsidRPr="00AA31CF" w:rsidRDefault="00AA31CF" w:rsidP="00AA31CF">
      <w:pPr>
        <w:rPr>
          <w:rFonts w:ascii="TimesNewRomanPSMT" w:hAnsi="TimesNewRomanPSMT" w:cs="TimesNewRomanPSMT"/>
          <w:sz w:val="24"/>
          <w:szCs w:val="24"/>
        </w:rPr>
      </w:pPr>
      <w:r w:rsidRPr="00AA31CF">
        <w:rPr>
          <w:rFonts w:ascii="TimesNewRomanPSMT" w:hAnsi="TimesNewRomanPSMT" w:cs="TimesNewRomanPSMT"/>
          <w:sz w:val="24"/>
          <w:szCs w:val="24"/>
        </w:rPr>
        <w:t>The Mandal Comm case held that</w:t>
      </w:r>
      <w:r>
        <w:rPr>
          <w:rFonts w:ascii="TimesNewRomanPSMT" w:hAnsi="TimesNewRomanPSMT" w:cs="TimesNewRomanPSMT"/>
          <w:sz w:val="24"/>
          <w:szCs w:val="24"/>
        </w:rPr>
        <w:t xml:space="preserve"> </w:t>
      </w:r>
      <w:r w:rsidRPr="00AA31CF">
        <w:rPr>
          <w:rFonts w:ascii="TimesNewRomanPSMT" w:hAnsi="TimesNewRomanPSMT" w:cs="TimesNewRomanPSMT"/>
          <w:sz w:val="24"/>
          <w:szCs w:val="24"/>
        </w:rPr>
        <w:t>Clause(4) is inclusive of all benefits and concessions that could be given to backward</w:t>
      </w:r>
      <w:r>
        <w:rPr>
          <w:rFonts w:ascii="TimesNewRomanPSMT" w:hAnsi="TimesNewRomanPSMT" w:cs="TimesNewRomanPSMT"/>
          <w:sz w:val="24"/>
          <w:szCs w:val="24"/>
        </w:rPr>
        <w:t xml:space="preserve"> </w:t>
      </w:r>
      <w:r w:rsidRPr="00AA31CF">
        <w:rPr>
          <w:rFonts w:ascii="TimesNewRomanPSMT" w:hAnsi="TimesNewRomanPSMT" w:cs="TimesNewRomanPSMT"/>
          <w:sz w:val="24"/>
          <w:szCs w:val="24"/>
        </w:rPr>
        <w:t>classes in matters of employments such as age, relaxation, fee concession, etc.</w:t>
      </w:r>
    </w:p>
    <w:p w:rsidR="00634631" w:rsidRDefault="00634631" w:rsidP="00634631">
      <w:pPr>
        <w:rPr>
          <w:rFonts w:ascii="TimesNewRomanPSMT" w:hAnsi="TimesNewRomanPSMT" w:cs="TimesNewRomanPSMT"/>
          <w:sz w:val="24"/>
          <w:szCs w:val="24"/>
        </w:rPr>
      </w:pPr>
      <w:r w:rsidRPr="00634631">
        <w:rPr>
          <w:rFonts w:ascii="TimesNewRomanPSMT" w:hAnsi="TimesNewRomanPSMT" w:cs="TimesNewRomanPSMT"/>
          <w:b/>
          <w:bCs/>
          <w:sz w:val="24"/>
          <w:szCs w:val="24"/>
        </w:rPr>
        <w:lastRenderedPageBreak/>
        <w:t>Reservation in Educational Institutions : State of Madras v Champakam Dorairajan:</w:t>
      </w:r>
      <w:r w:rsidRPr="00634631">
        <w:rPr>
          <w:rFonts w:ascii="TimesNewRomanPSMT" w:hAnsi="TimesNewRomanPSMT" w:cs="TimesNewRomanPSMT"/>
          <w:sz w:val="24"/>
          <w:szCs w:val="24"/>
        </w:rPr>
        <w:t xml:space="preserve"> While the directive principles states that one must provide education to backward classes, it cannot be done in a manner that is in contravention to the FRs</w:t>
      </w:r>
    </w:p>
    <w:p w:rsidR="00634631" w:rsidRDefault="00634631" w:rsidP="00634631">
      <w:pPr>
        <w:rPr>
          <w:rFonts w:ascii="TimesNewRomanPSMT" w:hAnsi="TimesNewRomanPSMT" w:cs="TimesNewRomanPSMT"/>
          <w:sz w:val="24"/>
          <w:szCs w:val="24"/>
        </w:rPr>
      </w:pPr>
      <w:r w:rsidRPr="00634631">
        <w:rPr>
          <w:rFonts w:ascii="TimesNewRomanPSMT" w:hAnsi="TimesNewRomanPSMT" w:cs="TimesNewRomanPSMT"/>
          <w:b/>
          <w:bCs/>
          <w:sz w:val="24"/>
          <w:szCs w:val="24"/>
        </w:rPr>
        <w:t>Anuj Garg vs Hotel Association of India: Gender Discrimination:</w:t>
      </w:r>
      <w:r w:rsidRPr="00634631">
        <w:rPr>
          <w:rFonts w:ascii="TimesNewRomanPSMT" w:hAnsi="TimesNewRomanPSMT" w:cs="TimesNewRomanPSMT"/>
          <w:sz w:val="24"/>
          <w:szCs w:val="24"/>
        </w:rPr>
        <w:t xml:space="preserve"> Prohibiting women employees in a bar: Invalidated act prohibiting employment of women in any part of premises where liquor was being served. Administrative convenience cannot overpower </w:t>
      </w:r>
      <w:proofErr w:type="spellStart"/>
      <w:r w:rsidRPr="00634631">
        <w:rPr>
          <w:rFonts w:ascii="TimesNewRomanPSMT" w:hAnsi="TimesNewRomanPSMT" w:cs="TimesNewRomanPSMT"/>
          <w:sz w:val="24"/>
          <w:szCs w:val="24"/>
        </w:rPr>
        <w:t>FRs.</w:t>
      </w:r>
      <w:proofErr w:type="spellEnd"/>
      <w:r w:rsidRPr="00634631">
        <w:rPr>
          <w:rFonts w:ascii="TimesNewRomanPSMT" w:hAnsi="TimesNewRomanPSMT" w:cs="TimesNewRomanPSMT"/>
          <w:sz w:val="24"/>
          <w:szCs w:val="24"/>
        </w:rPr>
        <w:t xml:space="preserve"> Right to equality cannot be restricted in areas.</w:t>
      </w:r>
    </w:p>
    <w:p w:rsidR="00634631" w:rsidRDefault="00634631" w:rsidP="00634631">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State of Kerala vs, NM Thomas</w:t>
      </w:r>
      <w:r>
        <w:rPr>
          <w:rFonts w:ascii="TimesNewRomanPSMT" w:hAnsi="TimesNewRomanPSMT" w:cs="TimesNewRomanPSMT"/>
          <w:sz w:val="24"/>
          <w:szCs w:val="24"/>
        </w:rPr>
        <w:t>, majority of court rejected the argument that article 16(4) was an exception to article 16(1) and emphasized that art 16(4) were emphatic and directions to state to take effective affirmative steps to enforce the concept of equality. To bring about equality, State could make reservations to any extent and certainly it could do that in order to provide adequate representation.</w:t>
      </w:r>
    </w:p>
    <w:p w:rsidR="00C81CD5" w:rsidRDefault="00C81CD5" w:rsidP="00634631">
      <w:pPr>
        <w:autoSpaceDE w:val="0"/>
        <w:autoSpaceDN w:val="0"/>
        <w:adjustRightInd w:val="0"/>
        <w:spacing w:after="0" w:line="240" w:lineRule="auto"/>
        <w:rPr>
          <w:rFonts w:ascii="TimesNewRomanPSMT" w:hAnsi="TimesNewRomanPSMT" w:cs="TimesNewRomanPSMT"/>
          <w:sz w:val="24"/>
          <w:szCs w:val="24"/>
        </w:rPr>
      </w:pPr>
    </w:p>
    <w:p w:rsidR="003D1FF5" w:rsidRPr="00A27505" w:rsidRDefault="003D1FF5" w:rsidP="003D1FF5">
      <w:pPr>
        <w:autoSpaceDE w:val="0"/>
        <w:autoSpaceDN w:val="0"/>
        <w:adjustRightInd w:val="0"/>
        <w:spacing w:after="0" w:line="240" w:lineRule="auto"/>
        <w:rPr>
          <w:rFonts w:ascii="TimesNewRomanPS-BoldMT" w:hAnsi="TimesNewRomanPS-BoldMT" w:cs="TimesNewRomanPS-BoldMT"/>
          <w:b/>
          <w:bCs/>
          <w:sz w:val="32"/>
          <w:szCs w:val="32"/>
          <w:u w:val="single"/>
        </w:rPr>
      </w:pPr>
      <w:r w:rsidRPr="00A27505">
        <w:rPr>
          <w:rFonts w:ascii="TimesNewRomanPS-BoldMT" w:hAnsi="TimesNewRomanPS-BoldMT" w:cs="TimesNewRomanPS-BoldMT"/>
          <w:b/>
          <w:bCs/>
          <w:sz w:val="32"/>
          <w:szCs w:val="32"/>
          <w:u w:val="single"/>
        </w:rPr>
        <w:t>Article 16 –</w:t>
      </w: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r w:rsidRPr="003D1FF5">
        <w:rPr>
          <w:rFonts w:ascii="TimesNewRomanPSMT" w:hAnsi="TimesNewRomanPSMT" w:cs="TimesNewRomanPSMT"/>
          <w:sz w:val="24"/>
          <w:szCs w:val="24"/>
        </w:rPr>
        <w:t>Article 16 basically talks about the</w:t>
      </w:r>
      <w:r>
        <w:rPr>
          <w:rFonts w:ascii="TimesNewRomanPSMT" w:hAnsi="TimesNewRomanPSMT" w:cs="TimesNewRomanPSMT"/>
          <w:sz w:val="24"/>
          <w:szCs w:val="24"/>
        </w:rPr>
        <w:t xml:space="preserve"> </w:t>
      </w:r>
      <w:r w:rsidRPr="003D1FF5">
        <w:rPr>
          <w:rFonts w:ascii="TimesNewRomanPSMT" w:hAnsi="TimesNewRomanPSMT" w:cs="TimesNewRomanPSMT"/>
          <w:sz w:val="24"/>
          <w:szCs w:val="24"/>
        </w:rPr>
        <w:t>matters relating to employment or appointment to any office under the State.</w:t>
      </w:r>
    </w:p>
    <w:p w:rsidR="00634631" w:rsidRDefault="00634631" w:rsidP="00634631">
      <w:pPr>
        <w:rPr>
          <w:rFonts w:ascii="TimesNewRomanPSMT" w:hAnsi="TimesNewRomanPSMT" w:cs="TimesNewRomanPSMT"/>
          <w:sz w:val="24"/>
          <w:szCs w:val="24"/>
        </w:rPr>
      </w:pPr>
    </w:p>
    <w:p w:rsidR="003D1FF5" w:rsidRDefault="003D1FF5" w:rsidP="003D1FF5">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Equality of opportunity in matters of public employment</w:t>
      </w:r>
    </w:p>
    <w:p w:rsidR="003D1FF5" w:rsidRDefault="003D1FF5" w:rsidP="003D1FF5">
      <w:pPr>
        <w:autoSpaceDE w:val="0"/>
        <w:autoSpaceDN w:val="0"/>
        <w:adjustRightInd w:val="0"/>
        <w:spacing w:after="0" w:line="240" w:lineRule="auto"/>
        <w:rPr>
          <w:rFonts w:ascii="TimesNewRomanPS-BoldMT" w:hAnsi="TimesNewRomanPS-BoldMT" w:cs="TimesNewRomanPS-BoldMT"/>
          <w:b/>
          <w:bCs/>
          <w:sz w:val="24"/>
          <w:szCs w:val="24"/>
        </w:rPr>
      </w:pP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 xml:space="preserve">16(1) - </w:t>
      </w:r>
      <w:r>
        <w:rPr>
          <w:rFonts w:ascii="TimesNewRomanPSMT" w:hAnsi="TimesNewRomanPSMT" w:cs="TimesNewRomanPSMT"/>
          <w:sz w:val="24"/>
          <w:szCs w:val="24"/>
        </w:rPr>
        <w:t>It lays down a general rule for equal opportunity for all citizens in</w:t>
      </w: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matters relating to employment or appointment to any office under the State. It does</w:t>
      </w: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not give any right to be employed but only the right to be considered for employment</w:t>
      </w: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or appointment. The law however does not prevent the State from laying down any</w:t>
      </w: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requisite qualifications that might be necessary for government service. The State can</w:t>
      </w: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also lay down conditions that might be necessary for proper maintenance among</w:t>
      </w: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government servants. As long as there has been a fair selection process for choosing</w:t>
      </w:r>
    </w:p>
    <w:p w:rsidR="003D1FF5" w:rsidRDefault="003D1FF5" w:rsidP="003D1FF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candidates and equal chance has been given to all, it cannot be said that this right has</w:t>
      </w:r>
    </w:p>
    <w:p w:rsidR="003D1FF5" w:rsidRDefault="003D1FF5" w:rsidP="003D1FF5">
      <w:pPr>
        <w:rPr>
          <w:rFonts w:ascii="TimesNewRomanPSMT" w:hAnsi="TimesNewRomanPSMT" w:cs="TimesNewRomanPSMT"/>
          <w:sz w:val="24"/>
          <w:szCs w:val="24"/>
        </w:rPr>
      </w:pPr>
      <w:r>
        <w:rPr>
          <w:rFonts w:ascii="TimesNewRomanPSMT" w:hAnsi="TimesNewRomanPSMT" w:cs="TimesNewRomanPSMT"/>
          <w:sz w:val="24"/>
          <w:szCs w:val="24"/>
        </w:rPr>
        <w:t xml:space="preserve">been violated. </w:t>
      </w:r>
      <w:r w:rsidRPr="003D1FF5">
        <w:rPr>
          <w:rFonts w:ascii="TimesNewRomanPSMT" w:hAnsi="TimesNewRomanPSMT" w:cs="TimesNewRomanPSMT"/>
          <w:sz w:val="24"/>
          <w:szCs w:val="24"/>
        </w:rPr>
        <w:t>The only objective of this sub clause is to ensure that the selection process is not</w:t>
      </w:r>
      <w:r>
        <w:rPr>
          <w:rFonts w:ascii="TimesNewRomanPSMT" w:hAnsi="TimesNewRomanPSMT" w:cs="TimesNewRomanPSMT"/>
          <w:sz w:val="24"/>
          <w:szCs w:val="24"/>
        </w:rPr>
        <w:t xml:space="preserve"> </w:t>
      </w:r>
      <w:r w:rsidRPr="003D1FF5">
        <w:rPr>
          <w:rFonts w:ascii="TimesNewRomanPSMT" w:hAnsi="TimesNewRomanPSMT" w:cs="TimesNewRomanPSMT"/>
          <w:sz w:val="24"/>
          <w:szCs w:val="24"/>
        </w:rPr>
        <w:t>arbitrary.</w:t>
      </w:r>
      <w:r>
        <w:rPr>
          <w:rFonts w:ascii="TimesNewRomanPSMT" w:hAnsi="TimesNewRomanPSMT" w:cs="TimesNewRomanPSMT"/>
          <w:sz w:val="24"/>
          <w:szCs w:val="24"/>
        </w:rPr>
        <w:t xml:space="preserve"> Principle of equal pay for equal work is also covered under this sub clause. </w:t>
      </w:r>
    </w:p>
    <w:p w:rsidR="003D1FF5" w:rsidRDefault="00E2280B" w:rsidP="00E2280B">
      <w:pPr>
        <w:autoSpaceDE w:val="0"/>
        <w:autoSpaceDN w:val="0"/>
        <w:adjustRightInd w:val="0"/>
        <w:spacing w:after="0" w:line="240" w:lineRule="auto"/>
        <w:rPr>
          <w:rFonts w:ascii="TimesNewRomanPSMT" w:hAnsi="TimesNewRomanPSMT" w:cs="TimesNewRomanPSMT"/>
          <w:sz w:val="24"/>
          <w:szCs w:val="24"/>
        </w:rPr>
      </w:pPr>
      <w:r w:rsidRPr="00E2280B">
        <w:rPr>
          <w:rFonts w:ascii="TimesNewRomanPSMT" w:hAnsi="TimesNewRomanPSMT" w:cs="TimesNewRomanPSMT"/>
          <w:b/>
          <w:bCs/>
          <w:sz w:val="24"/>
          <w:szCs w:val="24"/>
        </w:rPr>
        <w:t>16(4)</w:t>
      </w:r>
      <w:r>
        <w:rPr>
          <w:rFonts w:ascii="TimesNewRomanPSMT" w:hAnsi="TimesNewRomanPSMT" w:cs="TimesNewRomanPSMT"/>
          <w:b/>
          <w:bCs/>
          <w:sz w:val="24"/>
          <w:szCs w:val="24"/>
        </w:rPr>
        <w:t xml:space="preserve">- </w:t>
      </w:r>
      <w:r>
        <w:rPr>
          <w:rFonts w:ascii="TimesNewRomanPSMT" w:hAnsi="TimesNewRomanPSMT" w:cs="TimesNewRomanPSMT"/>
          <w:sz w:val="24"/>
          <w:szCs w:val="24"/>
        </w:rPr>
        <w:t xml:space="preserve">guarantees provisions to be made for unrepresented or underrepresented backward community of our society, </w:t>
      </w:r>
      <w:r w:rsidR="003D1FF5">
        <w:rPr>
          <w:rFonts w:ascii="TimesNewRomanPSMT" w:hAnsi="TimesNewRomanPSMT" w:cs="TimesNewRomanPSMT"/>
          <w:sz w:val="24"/>
          <w:szCs w:val="24"/>
        </w:rPr>
        <w:t>more than an exception to Article</w:t>
      </w:r>
      <w:r>
        <w:rPr>
          <w:rFonts w:ascii="TimesNewRomanPSMT" w:hAnsi="TimesNewRomanPSMT" w:cs="TimesNewRomanPSMT"/>
          <w:sz w:val="24"/>
          <w:szCs w:val="24"/>
        </w:rPr>
        <w:t xml:space="preserve"> </w:t>
      </w:r>
      <w:r w:rsidR="003D1FF5" w:rsidRPr="00E2280B">
        <w:rPr>
          <w:rFonts w:ascii="TimesNewRomanPSMT" w:hAnsi="TimesNewRomanPSMT" w:cs="TimesNewRomanPSMT"/>
          <w:b/>
          <w:bCs/>
          <w:sz w:val="24"/>
          <w:szCs w:val="24"/>
        </w:rPr>
        <w:t>16(1)</w:t>
      </w:r>
      <w:r w:rsidR="003D1FF5">
        <w:rPr>
          <w:rFonts w:ascii="TimesNewRomanPSMT" w:hAnsi="TimesNewRomanPSMT" w:cs="TimesNewRomanPSMT"/>
          <w:sz w:val="24"/>
          <w:szCs w:val="24"/>
        </w:rPr>
        <w:t xml:space="preserve"> it is construed as an aspect of Article 16(1). This is because it further fosters the idea of equality of opportunity with special reference to underprivileged </w:t>
      </w:r>
      <w:r>
        <w:rPr>
          <w:rFonts w:ascii="TimesNewRomanPSMT" w:hAnsi="TimesNewRomanPSMT" w:cs="TimesNewRomanPSMT"/>
          <w:sz w:val="24"/>
          <w:szCs w:val="24"/>
        </w:rPr>
        <w:t>an</w:t>
      </w:r>
      <w:r w:rsidR="003D1FF5">
        <w:rPr>
          <w:rFonts w:ascii="TimesNewRomanPSMT" w:hAnsi="TimesNewRomanPSMT" w:cs="TimesNewRomanPSMT"/>
          <w:sz w:val="24"/>
          <w:szCs w:val="24"/>
        </w:rPr>
        <w:t>d deprived classes of the community.</w:t>
      </w: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 xml:space="preserve">16(2) - </w:t>
      </w:r>
      <w:r>
        <w:rPr>
          <w:rFonts w:ascii="TimesNewRomanPSMT" w:hAnsi="TimesNewRomanPSMT" w:cs="TimesNewRomanPSMT"/>
          <w:sz w:val="24"/>
          <w:szCs w:val="24"/>
        </w:rPr>
        <w:t>it lays down specific grounds on the basis of which citizens are not to be</w:t>
      </w: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discriminated against each other in respect of any appointment or office under the</w:t>
      </w: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State. Discrimination on grounds other than those mentioned in clause (2) of Article</w:t>
      </w: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16(1) has to be weighed and judged in the light of the general principles laid down in</w:t>
      </w: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clause (1). The prohibited grounds for discrimination are religion, race, caste, sex, descent, place of birth, residence, gender(also includes sexual harassment).</w:t>
      </w: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p>
    <w:p w:rsidR="00E2280B" w:rsidRDefault="00AA31CF" w:rsidP="00E2280B">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E</w:t>
      </w:r>
      <w:r w:rsidR="00E2280B">
        <w:rPr>
          <w:rFonts w:ascii="TimesNewRomanPS-BoldMT" w:hAnsi="TimesNewRomanPS-BoldMT" w:cs="TimesNewRomanPS-BoldMT"/>
          <w:b/>
          <w:bCs/>
          <w:sz w:val="24"/>
          <w:szCs w:val="24"/>
        </w:rPr>
        <w:t xml:space="preserve">xceptions- </w:t>
      </w:r>
      <w:r w:rsidR="00E2280B">
        <w:rPr>
          <w:rFonts w:ascii="TimesNewRomanPSMT" w:hAnsi="TimesNewRomanPSMT" w:cs="TimesNewRomanPSMT"/>
          <w:sz w:val="24"/>
          <w:szCs w:val="24"/>
        </w:rPr>
        <w:t>a</w:t>
      </w:r>
      <w:r>
        <w:rPr>
          <w:rFonts w:ascii="TimesNewRomanPSMT" w:hAnsi="TimesNewRomanPSMT" w:cs="TimesNewRomanPSMT"/>
          <w:sz w:val="24"/>
          <w:szCs w:val="24"/>
        </w:rPr>
        <w:t xml:space="preserve">) </w:t>
      </w:r>
      <w:r w:rsidR="00E2280B">
        <w:rPr>
          <w:rFonts w:ascii="TimesNewRomanPSMT" w:hAnsi="TimesNewRomanPSMT" w:cs="TimesNewRomanPSMT"/>
          <w:sz w:val="24"/>
          <w:szCs w:val="24"/>
        </w:rPr>
        <w:t>provisions for appointment of sons, daughters or widow of a</w:t>
      </w: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deceased employee on compassionate grounds is not violative but increasing this</w:t>
      </w: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provision for other relatives is violative</w:t>
      </w:r>
      <w:r w:rsidR="00AA31CF">
        <w:rPr>
          <w:rFonts w:ascii="TimesNewRomanPSMT" w:hAnsi="TimesNewRomanPSMT" w:cs="TimesNewRomanPSMT"/>
          <w:sz w:val="24"/>
          <w:szCs w:val="24"/>
        </w:rPr>
        <w:t>.</w:t>
      </w:r>
    </w:p>
    <w:p w:rsidR="00E2280B" w:rsidRDefault="00E2280B" w:rsidP="00E2280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w:t>
      </w:r>
      <w:r w:rsidR="00AA31CF">
        <w:rPr>
          <w:rFonts w:ascii="TimesNewRomanPSMT" w:hAnsi="TimesNewRomanPSMT" w:cs="TimesNewRomanPSMT"/>
          <w:sz w:val="24"/>
          <w:szCs w:val="24"/>
        </w:rPr>
        <w:t xml:space="preserve">) </w:t>
      </w:r>
      <w:r>
        <w:rPr>
          <w:rFonts w:ascii="TimesNewRomanPSMT" w:hAnsi="TimesNewRomanPSMT" w:cs="TimesNewRomanPSMT"/>
          <w:sz w:val="24"/>
          <w:szCs w:val="24"/>
        </w:rPr>
        <w:t>reservations for women in employment</w:t>
      </w:r>
      <w:r w:rsidR="00AA31CF">
        <w:rPr>
          <w:rFonts w:ascii="TimesNewRomanPSMT" w:hAnsi="TimesNewRomanPSMT" w:cs="TimesNewRomanPSMT"/>
          <w:sz w:val="24"/>
          <w:szCs w:val="24"/>
        </w:rPr>
        <w:t>.</w:t>
      </w:r>
    </w:p>
    <w:p w:rsidR="00AA31CF" w:rsidRDefault="00AA31CF" w:rsidP="00E2280B">
      <w:pPr>
        <w:autoSpaceDE w:val="0"/>
        <w:autoSpaceDN w:val="0"/>
        <w:adjustRightInd w:val="0"/>
        <w:spacing w:after="0" w:line="240" w:lineRule="auto"/>
        <w:rPr>
          <w:rFonts w:ascii="TimesNewRomanPSMT" w:hAnsi="TimesNewRomanPSMT" w:cs="TimesNewRomanPSMT"/>
          <w:sz w:val="24"/>
          <w:szCs w:val="24"/>
        </w:rPr>
      </w:pPr>
    </w:p>
    <w:p w:rsidR="00AA31CF" w:rsidRPr="00AA31CF" w:rsidRDefault="00AA31CF" w:rsidP="00AA31CF">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lastRenderedPageBreak/>
        <w:t>16(4A) (77</w:t>
      </w:r>
      <w:r>
        <w:rPr>
          <w:rFonts w:ascii="TimesNewRomanPS-BoldMT" w:hAnsi="TimesNewRomanPS-BoldMT" w:cs="TimesNewRomanPS-BoldMT"/>
          <w:b/>
          <w:bCs/>
          <w:sz w:val="16"/>
          <w:szCs w:val="16"/>
        </w:rPr>
        <w:t xml:space="preserve">th </w:t>
      </w:r>
      <w:r>
        <w:rPr>
          <w:rFonts w:ascii="TimesNewRomanPS-BoldMT" w:hAnsi="TimesNewRomanPS-BoldMT" w:cs="TimesNewRomanPS-BoldMT"/>
          <w:b/>
          <w:bCs/>
          <w:sz w:val="24"/>
          <w:szCs w:val="24"/>
        </w:rPr>
        <w:t xml:space="preserve">amendment)- </w:t>
      </w:r>
      <w:r>
        <w:rPr>
          <w:rFonts w:ascii="TimesNewRomanPSMT" w:hAnsi="TimesNewRomanPSMT" w:cs="TimesNewRomanPSMT"/>
          <w:sz w:val="24"/>
          <w:szCs w:val="24"/>
        </w:rPr>
        <w:t>Court held that clause (4) and 4A do not grant</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Fundamental rights. They are enabling provisions which must be balanced with right</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to equality guaranteed in Article 14 and 16(1). The State is not bound to make</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reservations for SC/ST in matters for promotions. However if they wish to exercise</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their discretion and make such a decision, the State must collect quantifiable data to</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prove their point. the concept of creamy layer does not apply to SC/ST.</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 xml:space="preserve">16(5)- </w:t>
      </w:r>
      <w:r>
        <w:rPr>
          <w:rFonts w:ascii="TimesNewRomanPSMT" w:hAnsi="TimesNewRomanPSMT" w:cs="TimesNewRomanPSMT"/>
          <w:sz w:val="24"/>
          <w:szCs w:val="24"/>
        </w:rPr>
        <w:t>Appointments to religious institution or institutions regulating religious</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institutions may be restricted to persons of that religion.</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p>
    <w:p w:rsidR="00AA31CF" w:rsidRPr="00A27505" w:rsidRDefault="00AA31CF" w:rsidP="00AA31CF">
      <w:pPr>
        <w:autoSpaceDE w:val="0"/>
        <w:autoSpaceDN w:val="0"/>
        <w:adjustRightInd w:val="0"/>
        <w:spacing w:after="0" w:line="240" w:lineRule="auto"/>
        <w:rPr>
          <w:rFonts w:ascii="TimesNewRomanPSMT" w:hAnsi="TimesNewRomanPSMT" w:cs="TimesNewRomanPSMT"/>
          <w:b/>
          <w:bCs/>
          <w:sz w:val="32"/>
          <w:szCs w:val="32"/>
          <w:u w:val="single"/>
        </w:rPr>
      </w:pPr>
      <w:r w:rsidRPr="00A27505">
        <w:rPr>
          <w:rFonts w:ascii="TimesNewRomanPSMT" w:hAnsi="TimesNewRomanPSMT" w:cs="TimesNewRomanPSMT"/>
          <w:b/>
          <w:bCs/>
          <w:sz w:val="32"/>
          <w:szCs w:val="32"/>
          <w:u w:val="single"/>
        </w:rPr>
        <w:t>Article 19</w:t>
      </w:r>
    </w:p>
    <w:p w:rsidR="00AA31CF" w:rsidRDefault="00AA31CF" w:rsidP="00AA31CF">
      <w:pPr>
        <w:autoSpaceDE w:val="0"/>
        <w:autoSpaceDN w:val="0"/>
        <w:adjustRightInd w:val="0"/>
        <w:spacing w:after="0" w:line="240" w:lineRule="auto"/>
        <w:rPr>
          <w:rFonts w:ascii="TimesNewRomanPSMT" w:hAnsi="TimesNewRomanPSMT" w:cs="TimesNewRomanPSMT"/>
          <w:b/>
          <w:bCs/>
          <w:sz w:val="24"/>
          <w:szCs w:val="24"/>
        </w:rPr>
      </w:pP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rights enumerated in Article 19(1) are those great and basic rights which are recognized as the natural rights inherent in the status of the citizen. But none of these rights is absolute or</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uncontrolled, for each is liable to be curtailed by laws made or to be made by the State to the</w:t>
      </w:r>
    </w:p>
    <w:p w:rsidR="00AA31CF" w:rsidRDefault="00AA31CF" w:rsidP="00AA31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extent mentioned in clause (2) to (6) of Article 19.</w:t>
      </w:r>
      <w:r w:rsidR="004C123A">
        <w:rPr>
          <w:rFonts w:ascii="TimesNewRomanPSMT" w:hAnsi="TimesNewRomanPSMT" w:cs="TimesNewRomanPSMT"/>
          <w:sz w:val="24"/>
          <w:szCs w:val="24"/>
        </w:rPr>
        <w:t xml:space="preserve"> </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Clause (2) to (6) recognizes the power of the</w:t>
      </w: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State to make laws imposing reasonable restriction for reasons set out in them. The difference in</w:t>
      </w:r>
      <w:r>
        <w:rPr>
          <w:rFonts w:ascii="TimesNewRomanPSMT" w:hAnsi="TimesNewRomanPSMT" w:cs="TimesNewRomanPSMT"/>
          <w:sz w:val="24"/>
          <w:szCs w:val="24"/>
        </w:rPr>
        <w:t xml:space="preserve"> </w:t>
      </w:r>
      <w:r w:rsidRPr="004C123A">
        <w:rPr>
          <w:rFonts w:ascii="TimesNewRomanPSMT" w:hAnsi="TimesNewRomanPSMT" w:cs="TimesNewRomanPSMT"/>
          <w:sz w:val="24"/>
          <w:szCs w:val="24"/>
        </w:rPr>
        <w:t>the contents of clause (2) to (6) also indicate that the rights in clause (1) “do not stand on a</w:t>
      </w: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common pedestal but have varying dimensions and underlying philosophies.” The</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reason/principle on which the State the has been granted this power to restrict is that</w:t>
      </w:r>
      <w:r>
        <w:rPr>
          <w:rFonts w:ascii="TimesNewRomanPSMT" w:hAnsi="TimesNewRomanPSMT" w:cs="TimesNewRomanPSMT"/>
          <w:sz w:val="24"/>
          <w:szCs w:val="24"/>
        </w:rPr>
        <w:t xml:space="preserve"> all</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individuals rights of a person are held subject to such reasonable limitations and regulations as may be necessary or expedient for the protection and enjoyment of the rights of the other,</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generally expressed as social interest.</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b/>
          <w:bCs/>
          <w:sz w:val="24"/>
          <w:szCs w:val="24"/>
        </w:rPr>
        <w:t xml:space="preserve">19(1a) - </w:t>
      </w:r>
      <w:r w:rsidRPr="004C123A">
        <w:rPr>
          <w:rFonts w:ascii="TimesNewRomanPSMT" w:hAnsi="TimesNewRomanPSMT" w:cs="TimesNewRomanPSMT"/>
          <w:sz w:val="24"/>
          <w:szCs w:val="24"/>
        </w:rPr>
        <w:t>Freedom of</w:t>
      </w:r>
      <w:r>
        <w:rPr>
          <w:rFonts w:ascii="TimesNewRomanPSMT" w:hAnsi="TimesNewRomanPSMT" w:cs="TimesNewRomanPSMT"/>
          <w:sz w:val="24"/>
          <w:szCs w:val="24"/>
        </w:rPr>
        <w:t xml:space="preserve"> </w:t>
      </w:r>
      <w:r w:rsidRPr="004C123A">
        <w:rPr>
          <w:rFonts w:ascii="TimesNewRomanPSMT" w:hAnsi="TimesNewRomanPSMT" w:cs="TimesNewRomanPSMT"/>
          <w:sz w:val="24"/>
          <w:szCs w:val="24"/>
        </w:rPr>
        <w:t>speech and expression has a well-recognized connotation which means liberty to express one’s</w:t>
      </w:r>
      <w:r>
        <w:rPr>
          <w:rFonts w:ascii="TimesNewRomanPSMT" w:hAnsi="TimesNewRomanPSMT" w:cs="TimesNewRomanPSMT"/>
          <w:sz w:val="24"/>
          <w:szCs w:val="24"/>
        </w:rPr>
        <w:t xml:space="preserve"> </w:t>
      </w:r>
      <w:r w:rsidRPr="004C123A">
        <w:rPr>
          <w:rFonts w:ascii="TimesNewRomanPSMT" w:hAnsi="TimesNewRomanPSMT" w:cs="TimesNewRomanPSMT"/>
          <w:sz w:val="24"/>
          <w:szCs w:val="24"/>
        </w:rPr>
        <w:t>views, opinions and belief, but these rights are not absolute in nature as they restricted by</w:t>
      </w:r>
      <w:r>
        <w:rPr>
          <w:rFonts w:ascii="TimesNewRomanPSMT" w:hAnsi="TimesNewRomanPSMT" w:cs="TimesNewRomanPSMT"/>
          <w:sz w:val="24"/>
          <w:szCs w:val="24"/>
        </w:rPr>
        <w:t xml:space="preserve"> </w:t>
      </w:r>
      <w:r w:rsidRPr="004C123A">
        <w:rPr>
          <w:rFonts w:ascii="TimesNewRomanPSMT" w:hAnsi="TimesNewRomanPSMT" w:cs="TimesNewRomanPSMT"/>
          <w:sz w:val="24"/>
          <w:szCs w:val="24"/>
        </w:rPr>
        <w:t>clauses(2) of article 19. The difference between clause (a) and other clause of Article 19(1) is</w:t>
      </w:r>
      <w:r>
        <w:rPr>
          <w:rFonts w:ascii="TimesNewRomanPSMT" w:hAnsi="TimesNewRomanPSMT" w:cs="TimesNewRomanPSMT"/>
          <w:sz w:val="24"/>
          <w:szCs w:val="24"/>
        </w:rPr>
        <w:t xml:space="preserve"> </w:t>
      </w:r>
      <w:r w:rsidRPr="004C123A">
        <w:rPr>
          <w:rFonts w:ascii="TimesNewRomanPSMT" w:hAnsi="TimesNewRomanPSMT" w:cs="TimesNewRomanPSMT"/>
          <w:sz w:val="24"/>
          <w:szCs w:val="24"/>
        </w:rPr>
        <w:t>notable in regards as other clauses grant the right to do something, clause (a) grants the “right to</w:t>
      </w:r>
      <w:r>
        <w:rPr>
          <w:rFonts w:ascii="TimesNewRomanPSMT" w:hAnsi="TimesNewRomanPSMT" w:cs="TimesNewRomanPSMT"/>
          <w:sz w:val="24"/>
          <w:szCs w:val="24"/>
        </w:rPr>
        <w:t xml:space="preserve"> </w:t>
      </w:r>
      <w:r w:rsidRPr="004C123A">
        <w:rPr>
          <w:rFonts w:ascii="TimesNewRomanPSMT" w:hAnsi="TimesNewRomanPSMT" w:cs="TimesNewRomanPSMT"/>
          <w:sz w:val="24"/>
          <w:szCs w:val="24"/>
        </w:rPr>
        <w:t>freedom”</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The principle on which the power of the State to impose restrictions is based is that all individual rights of a person are held subject to such reasonable limitations and regulations as may be necessary or expedient for the protection of rights of others. </w:t>
      </w:r>
      <w:r w:rsidRPr="004C123A">
        <w:rPr>
          <w:rFonts w:ascii="TimesNewRomanPSMT" w:hAnsi="TimesNewRomanPSMT" w:cs="TimesNewRomanPSMT"/>
          <w:sz w:val="24"/>
          <w:szCs w:val="24"/>
        </w:rPr>
        <w:t>The restr</w:t>
      </w:r>
      <w:r>
        <w:rPr>
          <w:rFonts w:ascii="TimesNewRomanPSMT" w:hAnsi="TimesNewRomanPSMT" w:cs="TimesNewRomanPSMT"/>
          <w:sz w:val="24"/>
          <w:szCs w:val="24"/>
        </w:rPr>
        <w:t>i</w:t>
      </w:r>
      <w:r w:rsidRPr="004C123A">
        <w:rPr>
          <w:rFonts w:ascii="TimesNewRomanPSMT" w:hAnsi="TimesNewRomanPSMT" w:cs="TimesNewRomanPSMT"/>
          <w:sz w:val="24"/>
          <w:szCs w:val="24"/>
        </w:rPr>
        <w:t>c</w:t>
      </w:r>
      <w:r>
        <w:rPr>
          <w:rFonts w:ascii="TimesNewRomanPSMT" w:hAnsi="TimesNewRomanPSMT" w:cs="TimesNewRomanPSMT"/>
          <w:sz w:val="24"/>
          <w:szCs w:val="24"/>
        </w:rPr>
        <w:t>ti</w:t>
      </w:r>
      <w:r w:rsidRPr="004C123A">
        <w:rPr>
          <w:rFonts w:ascii="TimesNewRomanPSMT" w:hAnsi="TimesNewRomanPSMT" w:cs="TimesNewRomanPSMT"/>
          <w:sz w:val="24"/>
          <w:szCs w:val="24"/>
        </w:rPr>
        <w:t>ons which may be</w:t>
      </w:r>
      <w:r>
        <w:rPr>
          <w:rFonts w:ascii="TimesNewRomanPSMT" w:hAnsi="TimesNewRomanPSMT" w:cs="TimesNewRomanPSMT"/>
          <w:sz w:val="24"/>
          <w:szCs w:val="24"/>
        </w:rPr>
        <w:t xml:space="preserve"> </w:t>
      </w:r>
      <w:r w:rsidRPr="004C123A">
        <w:rPr>
          <w:rFonts w:ascii="TimesNewRomanPSMT" w:hAnsi="TimesNewRomanPSMT" w:cs="TimesNewRomanPSMT"/>
          <w:sz w:val="24"/>
          <w:szCs w:val="24"/>
        </w:rPr>
        <w:t>imposed must be ‘reasonable’ restric</w:t>
      </w:r>
      <w:r>
        <w:rPr>
          <w:rFonts w:ascii="TimesNewRomanPSMT" w:hAnsi="TimesNewRomanPSMT" w:cs="TimesNewRomanPSMT"/>
          <w:sz w:val="24"/>
          <w:szCs w:val="24"/>
        </w:rPr>
        <w:t>ti</w:t>
      </w:r>
      <w:r w:rsidRPr="004C123A">
        <w:rPr>
          <w:rFonts w:ascii="TimesNewRomanPSMT" w:hAnsi="TimesNewRomanPSMT" w:cs="TimesNewRomanPSMT"/>
          <w:sz w:val="24"/>
          <w:szCs w:val="24"/>
        </w:rPr>
        <w:t>ons. Such a restricting law must satisfy two conditions:</w:t>
      </w:r>
    </w:p>
    <w:p w:rsidR="004C123A" w:rsidRPr="004C123A" w:rsidRDefault="004C123A" w:rsidP="004C123A">
      <w:pPr>
        <w:pStyle w:val="ListParagraph"/>
        <w:numPr>
          <w:ilvl w:val="0"/>
          <w:numId w:val="5"/>
        </w:num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 xml:space="preserve"> Restriction must be for particular purpose mentioned in the clause permitting the</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imposition of the restriction on that particular rights</w:t>
      </w:r>
      <w:r>
        <w:rPr>
          <w:rFonts w:ascii="TimesNewRomanPSMT" w:hAnsi="TimesNewRomanPSMT" w:cs="TimesNewRomanPSMT"/>
          <w:sz w:val="24"/>
          <w:szCs w:val="24"/>
        </w:rPr>
        <w:t>.</w:t>
      </w:r>
    </w:p>
    <w:p w:rsidR="004C123A" w:rsidRPr="004C123A" w:rsidRDefault="004C123A" w:rsidP="004C123A">
      <w:pPr>
        <w:pStyle w:val="ListParagraph"/>
        <w:numPr>
          <w:ilvl w:val="0"/>
          <w:numId w:val="5"/>
        </w:num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Restriction must be reasonable what constitutes a reasonable restriction is not final or</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conclusive and is subject to supervision of courts.</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The test of ‘reasonableness’ varies from right to right, however, some of the principles on which</w:t>
      </w:r>
      <w:r w:rsidR="00F40902">
        <w:rPr>
          <w:rFonts w:ascii="TimesNewRomanPSMT" w:hAnsi="TimesNewRomanPSMT" w:cs="TimesNewRomanPSMT"/>
          <w:sz w:val="24"/>
          <w:szCs w:val="24"/>
        </w:rPr>
        <w:t xml:space="preserve"> </w:t>
      </w:r>
      <w:r w:rsidRPr="004C123A">
        <w:rPr>
          <w:rFonts w:ascii="TimesNewRomanPSMT" w:hAnsi="TimesNewRomanPSMT" w:cs="TimesNewRomanPSMT"/>
          <w:sz w:val="24"/>
          <w:szCs w:val="24"/>
        </w:rPr>
        <w:t>it must be ascertained are:</w:t>
      </w:r>
    </w:p>
    <w:p w:rsidR="00F40902" w:rsidRPr="004C123A" w:rsidRDefault="00F40902" w:rsidP="004C123A">
      <w:pPr>
        <w:autoSpaceDE w:val="0"/>
        <w:autoSpaceDN w:val="0"/>
        <w:adjustRightInd w:val="0"/>
        <w:spacing w:after="0" w:line="240" w:lineRule="auto"/>
        <w:rPr>
          <w:rFonts w:ascii="TimesNewRomanPSMT" w:hAnsi="TimesNewRomanPSMT" w:cs="TimesNewRomanPSMT"/>
          <w:sz w:val="24"/>
          <w:szCs w:val="24"/>
        </w:rPr>
      </w:pP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 Reasonableness demands proportionality – the restriction must strike a balance between</w:t>
      </w: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freedoms guaranteed under Article 19(1) and the social control permitted by clauses (2)</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to (6).</w:t>
      </w:r>
    </w:p>
    <w:p w:rsidR="00F40902" w:rsidRPr="004C123A" w:rsidRDefault="00F40902" w:rsidP="004C123A">
      <w:pPr>
        <w:autoSpaceDE w:val="0"/>
        <w:autoSpaceDN w:val="0"/>
        <w:adjustRightInd w:val="0"/>
        <w:spacing w:after="0" w:line="240" w:lineRule="auto"/>
        <w:rPr>
          <w:rFonts w:ascii="TimesNewRomanPSMT" w:hAnsi="TimesNewRomanPSMT" w:cs="TimesNewRomanPSMT"/>
          <w:sz w:val="24"/>
          <w:szCs w:val="24"/>
        </w:rPr>
      </w:pP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 Reasonableness: both substantive and procedural – the nature of the restriction and</w:t>
      </w: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lastRenderedPageBreak/>
        <w:t>procedure prescribed by the statute for enforcing the restriction on the individual</w:t>
      </w: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freedom. Not only substantive but procedural provisions of a statute also enter into the</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test of reasonableness.</w:t>
      </w:r>
    </w:p>
    <w:p w:rsidR="00F40902" w:rsidRPr="004C123A" w:rsidRDefault="00F40902" w:rsidP="004C123A">
      <w:pPr>
        <w:autoSpaceDE w:val="0"/>
        <w:autoSpaceDN w:val="0"/>
        <w:adjustRightInd w:val="0"/>
        <w:spacing w:after="0" w:line="240" w:lineRule="auto"/>
        <w:rPr>
          <w:rFonts w:ascii="TimesNewRomanPSMT" w:hAnsi="TimesNewRomanPSMT" w:cs="TimesNewRomanPSMT"/>
          <w:sz w:val="24"/>
          <w:szCs w:val="24"/>
        </w:rPr>
      </w:pP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 Reasonableness an objective concept – must be determined from the stand point of public</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and not from the point of view of the persons upon whom the restrictions are imposed.</w:t>
      </w:r>
    </w:p>
    <w:p w:rsidR="00F40902" w:rsidRPr="004C123A" w:rsidRDefault="00F40902" w:rsidP="004C123A">
      <w:pPr>
        <w:autoSpaceDE w:val="0"/>
        <w:autoSpaceDN w:val="0"/>
        <w:adjustRightInd w:val="0"/>
        <w:spacing w:after="0" w:line="240" w:lineRule="auto"/>
        <w:rPr>
          <w:rFonts w:ascii="TimesNewRomanPSMT" w:hAnsi="TimesNewRomanPSMT" w:cs="TimesNewRomanPSMT"/>
          <w:sz w:val="24"/>
          <w:szCs w:val="24"/>
        </w:rPr>
      </w:pP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 Reasonableness of restriction and not law- the reasonableness of restriction and not of the</w:t>
      </w: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law which permits the restriction. A law may be reasonable but the restriction imposed by</w:t>
      </w: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it on the exercise of freedom may not be reasonable.</w:t>
      </w:r>
    </w:p>
    <w:p w:rsidR="004C123A" w:rsidRP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 Reasonable</w:t>
      </w:r>
      <w:r w:rsidR="00F40902">
        <w:rPr>
          <w:rFonts w:ascii="TimesNewRomanPSMT" w:hAnsi="TimesNewRomanPSMT" w:cs="TimesNewRomanPSMT"/>
          <w:sz w:val="24"/>
          <w:szCs w:val="24"/>
        </w:rPr>
        <w:t>ne</w:t>
      </w:r>
      <w:r w:rsidRPr="004C123A">
        <w:rPr>
          <w:rFonts w:ascii="TimesNewRomanPSMT" w:hAnsi="TimesNewRomanPSMT" w:cs="TimesNewRomanPSMT"/>
          <w:sz w:val="24"/>
          <w:szCs w:val="24"/>
        </w:rPr>
        <w:t xml:space="preserve">ss includes prohibition- includes cases of total </w:t>
      </w:r>
      <w:proofErr w:type="spellStart"/>
      <w:r w:rsidRPr="004C123A">
        <w:rPr>
          <w:rFonts w:ascii="TimesNewRomanPSMT" w:hAnsi="TimesNewRomanPSMT" w:cs="TimesNewRomanPSMT"/>
          <w:sz w:val="24"/>
          <w:szCs w:val="24"/>
        </w:rPr>
        <w:t>prohibtion</w:t>
      </w:r>
      <w:proofErr w:type="spellEnd"/>
      <w:r w:rsidRPr="004C123A">
        <w:rPr>
          <w:rFonts w:ascii="TimesNewRomanPSMT" w:hAnsi="TimesNewRomanPSMT" w:cs="TimesNewRomanPSMT"/>
          <w:sz w:val="24"/>
          <w:szCs w:val="24"/>
        </w:rPr>
        <w:t xml:space="preserve"> and state can</w:t>
      </w:r>
    </w:p>
    <w:p w:rsidR="004C123A" w:rsidRDefault="004C123A" w:rsidP="004C123A">
      <w:pPr>
        <w:autoSpaceDE w:val="0"/>
        <w:autoSpaceDN w:val="0"/>
        <w:adjustRightInd w:val="0"/>
        <w:spacing w:after="0" w:line="240" w:lineRule="auto"/>
        <w:rPr>
          <w:rFonts w:ascii="TimesNewRomanPSMT" w:hAnsi="TimesNewRomanPSMT" w:cs="TimesNewRomanPSMT"/>
          <w:sz w:val="24"/>
          <w:szCs w:val="24"/>
        </w:rPr>
      </w:pPr>
      <w:r w:rsidRPr="004C123A">
        <w:rPr>
          <w:rFonts w:ascii="TimesNewRomanPSMT" w:hAnsi="TimesNewRomanPSMT" w:cs="TimesNewRomanPSMT"/>
          <w:sz w:val="24"/>
          <w:szCs w:val="24"/>
        </w:rPr>
        <w:t>establish that a law though purporting to deprive a person of his fundamental right</w:t>
      </w:r>
      <w:r>
        <w:rPr>
          <w:rFonts w:ascii="TimesNewRomanPSMT" w:hAnsi="TimesNewRomanPSMT" w:cs="TimesNewRomanPSMT"/>
          <w:sz w:val="24"/>
          <w:szCs w:val="24"/>
        </w:rPr>
        <w:t xml:space="preserve"> </w:t>
      </w:r>
      <w:r w:rsidRPr="004C123A">
        <w:rPr>
          <w:rFonts w:ascii="TimesNewRomanPSMT" w:hAnsi="TimesNewRomanPSMT" w:cs="TimesNewRomanPSMT"/>
          <w:sz w:val="24"/>
          <w:szCs w:val="24"/>
        </w:rPr>
        <w:t>amounts to reasonable restriction only.</w:t>
      </w:r>
    </w:p>
    <w:p w:rsidR="00F40902" w:rsidRDefault="00F40902" w:rsidP="004C123A">
      <w:pPr>
        <w:autoSpaceDE w:val="0"/>
        <w:autoSpaceDN w:val="0"/>
        <w:adjustRightInd w:val="0"/>
        <w:spacing w:after="0" w:line="240" w:lineRule="auto"/>
        <w:rPr>
          <w:rFonts w:ascii="TimesNewRomanPSMT" w:hAnsi="TimesNewRomanPSMT" w:cs="TimesNewRomanPSMT"/>
          <w:sz w:val="24"/>
          <w:szCs w:val="24"/>
        </w:rPr>
      </w:pPr>
    </w:p>
    <w:p w:rsidR="00F40902" w:rsidRDefault="00F40902" w:rsidP="004C123A">
      <w:pPr>
        <w:autoSpaceDE w:val="0"/>
        <w:autoSpaceDN w:val="0"/>
        <w:adjustRightInd w:val="0"/>
        <w:spacing w:after="0" w:line="240" w:lineRule="auto"/>
        <w:rPr>
          <w:rFonts w:ascii="TimesNewRomanPSMT" w:hAnsi="TimesNewRomanPSMT" w:cs="TimesNewRomanPSMT"/>
          <w:sz w:val="24"/>
          <w:szCs w:val="24"/>
        </w:rPr>
      </w:pPr>
      <w:proofErr w:type="spellStart"/>
      <w:r w:rsidRPr="00F40902">
        <w:rPr>
          <w:rFonts w:ascii="TimesNewRomanPSMT" w:hAnsi="TimesNewRomanPSMT" w:cs="TimesNewRomanPSMT"/>
          <w:b/>
          <w:sz w:val="24"/>
          <w:szCs w:val="24"/>
        </w:rPr>
        <w:t>Romesh</w:t>
      </w:r>
      <w:proofErr w:type="spellEnd"/>
      <w:r w:rsidRPr="00F40902">
        <w:rPr>
          <w:rFonts w:ascii="TimesNewRomanPSMT" w:hAnsi="TimesNewRomanPSMT" w:cs="TimesNewRomanPSMT"/>
          <w:b/>
          <w:sz w:val="24"/>
          <w:szCs w:val="24"/>
        </w:rPr>
        <w:t xml:space="preserve"> Thapar v. State of Madras: (Freedom of circulation)</w:t>
      </w:r>
      <w:r>
        <w:rPr>
          <w:rFonts w:ascii="TimesNewRomanPSMT" w:hAnsi="TimesNewRomanPSMT" w:cs="TimesNewRomanPSMT"/>
          <w:sz w:val="24"/>
          <w:szCs w:val="24"/>
        </w:rPr>
        <w:t xml:space="preserve"> - </w:t>
      </w:r>
      <w:r w:rsidRPr="00F40902">
        <w:rPr>
          <w:rFonts w:ascii="TimesNewRomanPSMT" w:hAnsi="TimesNewRomanPSMT" w:cs="TimesNewRomanPSMT"/>
          <w:sz w:val="24"/>
          <w:szCs w:val="24"/>
        </w:rPr>
        <w:t>it follows that sec 9(1-A) which authorizes imposition of restrictions for the wider scope of securing public safety or the maintenance of public order falls outside the scope of authorized restrictions under 19(2) and is therefore void and unconstitutional. Thus, unless a law is restricting freedom of speech and expression and is directly solely against the undermining of the security of the state, such law will not fall under 19(2) unreasonable restriction and therefore void.</w:t>
      </w:r>
    </w:p>
    <w:p w:rsidR="00AA31CF" w:rsidRDefault="00AA31CF" w:rsidP="00AA31CF">
      <w:pPr>
        <w:autoSpaceDE w:val="0"/>
        <w:autoSpaceDN w:val="0"/>
        <w:adjustRightInd w:val="0"/>
        <w:spacing w:after="0" w:line="240" w:lineRule="auto"/>
        <w:rPr>
          <w:rFonts w:ascii="TimesNewRomanPSMT" w:hAnsi="TimesNewRomanPSMT" w:cs="TimesNewRomanPSMT"/>
          <w:b/>
          <w:bCs/>
          <w:sz w:val="24"/>
          <w:szCs w:val="24"/>
        </w:rPr>
      </w:pPr>
    </w:p>
    <w:p w:rsidR="00AA31CF" w:rsidRDefault="00F40902" w:rsidP="00AA31CF">
      <w:pPr>
        <w:autoSpaceDE w:val="0"/>
        <w:autoSpaceDN w:val="0"/>
        <w:adjustRightInd w:val="0"/>
        <w:spacing w:after="0" w:line="240" w:lineRule="auto"/>
        <w:rPr>
          <w:rFonts w:ascii="Times New Roman" w:eastAsia="Calibri" w:hAnsi="Times New Roman" w:cs="Times New Roman"/>
          <w:sz w:val="24"/>
          <w:szCs w:val="24"/>
        </w:rPr>
      </w:pPr>
      <w:r w:rsidRPr="00F40902">
        <w:rPr>
          <w:rFonts w:ascii="Times New Roman" w:eastAsia="Calibri" w:hAnsi="Times New Roman" w:cs="Times New Roman"/>
          <w:b/>
          <w:bCs/>
          <w:sz w:val="24"/>
          <w:szCs w:val="24"/>
        </w:rPr>
        <w:t>Bennett Coleman and Co. v. Union of India</w:t>
      </w:r>
      <w:r>
        <w:rPr>
          <w:rFonts w:ascii="Times New Roman" w:eastAsia="Calibri" w:hAnsi="Times New Roman" w:cs="Times New Roman"/>
          <w:b/>
          <w:bCs/>
          <w:sz w:val="24"/>
          <w:szCs w:val="24"/>
        </w:rPr>
        <w:t>(</w:t>
      </w:r>
      <w:r w:rsidRPr="00F40902">
        <w:rPr>
          <w:rFonts w:ascii="Times New Roman" w:eastAsia="Calibri" w:hAnsi="Times New Roman" w:cs="Times New Roman"/>
          <w:b/>
          <w:bCs/>
          <w:sz w:val="24"/>
          <w:szCs w:val="24"/>
        </w:rPr>
        <w:t>Freedom of Press</w:t>
      </w:r>
      <w:r>
        <w:rPr>
          <w:rFonts w:ascii="Times New Roman" w:eastAsia="Calibri" w:hAnsi="Times New Roman" w:cs="Times New Roman"/>
          <w:b/>
          <w:bCs/>
          <w:sz w:val="24"/>
          <w:szCs w:val="24"/>
        </w:rPr>
        <w:t xml:space="preserve">) - </w:t>
      </w:r>
      <w:r w:rsidRPr="005F41E6">
        <w:rPr>
          <w:rFonts w:ascii="Times New Roman" w:eastAsia="Calibri" w:hAnsi="Times New Roman" w:cs="Times New Roman"/>
          <w:sz w:val="24"/>
          <w:szCs w:val="24"/>
        </w:rPr>
        <w:t>Companies are not citizens but the shareholders and directors are citizens and they have their rights.</w:t>
      </w:r>
      <w:r w:rsidRPr="00F40902">
        <w:rPr>
          <w:rFonts w:ascii="Times New Roman" w:eastAsia="Calibri" w:hAnsi="Times New Roman" w:cs="Times New Roman"/>
          <w:sz w:val="24"/>
          <w:szCs w:val="24"/>
        </w:rPr>
        <w:t xml:space="preserve"> </w:t>
      </w:r>
      <w:r w:rsidRPr="005F41E6">
        <w:rPr>
          <w:rFonts w:ascii="Times New Roman" w:eastAsia="Calibri" w:hAnsi="Times New Roman" w:cs="Times New Roman"/>
          <w:sz w:val="24"/>
          <w:szCs w:val="24"/>
        </w:rPr>
        <w:t>A limitation on the number of pages to be printed in unconstitutional – restriction on circulation of the paper is unconstitutional.</w:t>
      </w:r>
    </w:p>
    <w:p w:rsidR="00F40902" w:rsidRDefault="00F40902" w:rsidP="00AA31CF">
      <w:pPr>
        <w:autoSpaceDE w:val="0"/>
        <w:autoSpaceDN w:val="0"/>
        <w:adjustRightInd w:val="0"/>
        <w:spacing w:after="0" w:line="240" w:lineRule="auto"/>
        <w:rPr>
          <w:rFonts w:ascii="TimesNewRomanPSMT" w:hAnsi="TimesNewRomanPSMT" w:cs="TimesNewRomanPSMT"/>
          <w:b/>
          <w:bCs/>
          <w:sz w:val="24"/>
          <w:szCs w:val="24"/>
        </w:rPr>
      </w:pPr>
    </w:p>
    <w:p w:rsidR="00B82D6F" w:rsidRDefault="00B82D6F" w:rsidP="00B82D6F">
      <w:pPr>
        <w:autoSpaceDE w:val="0"/>
        <w:autoSpaceDN w:val="0"/>
        <w:adjustRightInd w:val="0"/>
        <w:spacing w:after="0" w:line="240" w:lineRule="auto"/>
        <w:rPr>
          <w:rFonts w:ascii="TimesNewRomanPSMT" w:hAnsi="TimesNewRomanPSMT" w:cs="TimesNewRomanPSMT"/>
          <w:sz w:val="24"/>
          <w:szCs w:val="24"/>
        </w:rPr>
      </w:pPr>
      <w:r w:rsidRPr="00B82D6F">
        <w:rPr>
          <w:rFonts w:ascii="TimesNewRomanPSMT" w:hAnsi="TimesNewRomanPSMT" w:cs="TimesNewRomanPSMT"/>
          <w:b/>
          <w:bCs/>
          <w:sz w:val="24"/>
          <w:szCs w:val="24"/>
        </w:rPr>
        <w:t>Freedom of broadcasting – In Ministry of Information and Broadcasting, Govt. of India v.</w:t>
      </w:r>
      <w:r>
        <w:rPr>
          <w:rFonts w:ascii="TimesNewRomanPSMT" w:hAnsi="TimesNewRomanPSMT" w:cs="TimesNewRomanPSMT"/>
          <w:b/>
          <w:bCs/>
          <w:sz w:val="24"/>
          <w:szCs w:val="24"/>
        </w:rPr>
        <w:t xml:space="preserve"> </w:t>
      </w:r>
      <w:r w:rsidRPr="00B82D6F">
        <w:rPr>
          <w:rFonts w:ascii="TimesNewRomanPSMT" w:hAnsi="TimesNewRomanPSMT" w:cs="TimesNewRomanPSMT"/>
          <w:b/>
          <w:bCs/>
          <w:sz w:val="24"/>
          <w:szCs w:val="24"/>
        </w:rPr>
        <w:t>Cricket Association of Bengal</w:t>
      </w:r>
      <w:r>
        <w:rPr>
          <w:rFonts w:ascii="TimesNewRomanPSMT" w:hAnsi="TimesNewRomanPSMT" w:cs="TimesNewRomanPSMT"/>
          <w:b/>
          <w:bCs/>
          <w:sz w:val="24"/>
          <w:szCs w:val="24"/>
        </w:rPr>
        <w:t xml:space="preserve"> - </w:t>
      </w:r>
      <w:r>
        <w:rPr>
          <w:rFonts w:ascii="TimesNewRomanPSMT" w:hAnsi="TimesNewRomanPSMT" w:cs="TimesNewRomanPSMT"/>
          <w:sz w:val="24"/>
          <w:szCs w:val="24"/>
        </w:rPr>
        <w:t>while an individual has a right under Article 19(1)(a) to have an access to telecasting, this right is subject to the limitation on account of use of public property, i.e. the air waves involved in the exercise of this right can be controlled and regulated by the public authority even on grounds not strictly covered under Article 19(2). The court asked for the formation of a public authority which will be responsible for the control of this public property i.e. air waves.</w:t>
      </w:r>
    </w:p>
    <w:p w:rsidR="00B82D6F" w:rsidRDefault="00B82D6F" w:rsidP="00B82D6F">
      <w:pPr>
        <w:autoSpaceDE w:val="0"/>
        <w:autoSpaceDN w:val="0"/>
        <w:adjustRightInd w:val="0"/>
        <w:spacing w:after="0" w:line="240" w:lineRule="auto"/>
        <w:rPr>
          <w:rFonts w:ascii="TimesNewRomanPSMT" w:hAnsi="TimesNewRomanPSMT" w:cs="TimesNewRomanPSMT"/>
          <w:sz w:val="24"/>
          <w:szCs w:val="24"/>
        </w:rPr>
      </w:pPr>
    </w:p>
    <w:p w:rsidR="00B82D6F" w:rsidRDefault="00B82D6F" w:rsidP="00B82D6F">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 xml:space="preserve">19(2) </w:t>
      </w:r>
      <w:r>
        <w:rPr>
          <w:rFonts w:ascii="TimesNewRomanPSMT" w:hAnsi="TimesNewRomanPSMT" w:cs="TimesNewRomanPSMT"/>
          <w:sz w:val="24"/>
          <w:szCs w:val="24"/>
        </w:rPr>
        <w:t>specifies grounds on which freedom of speech and expression may be restricted and the restrictions can be imposed only by law and not any executive action.</w:t>
      </w:r>
    </w:p>
    <w:p w:rsidR="00B82D6F" w:rsidRDefault="00B82D6F" w:rsidP="00B82D6F">
      <w:pPr>
        <w:autoSpaceDE w:val="0"/>
        <w:autoSpaceDN w:val="0"/>
        <w:adjustRightInd w:val="0"/>
        <w:spacing w:after="0" w:line="240" w:lineRule="auto"/>
        <w:rPr>
          <w:rFonts w:ascii="Symbol" w:hAnsi="Symbol" w:cs="Symbol"/>
          <w:sz w:val="24"/>
          <w:szCs w:val="24"/>
        </w:rPr>
      </w:pPr>
    </w:p>
    <w:p w:rsidR="00B82D6F" w:rsidRPr="00B82D6F" w:rsidRDefault="00B82D6F" w:rsidP="00B82D6F">
      <w:pPr>
        <w:autoSpaceDE w:val="0"/>
        <w:autoSpaceDN w:val="0"/>
        <w:adjustRightInd w:val="0"/>
        <w:spacing w:after="0" w:line="240" w:lineRule="auto"/>
        <w:rPr>
          <w:rFonts w:ascii="TimesNewRomanPS-BoldMT" w:hAnsi="TimesNewRomanPS-BoldMT" w:cs="TimesNewRomanPS-BoldMT"/>
          <w:b/>
          <w:bCs/>
          <w:sz w:val="24"/>
          <w:szCs w:val="24"/>
        </w:rPr>
      </w:pPr>
      <w:r>
        <w:rPr>
          <w:rFonts w:ascii="Symbol" w:hAnsi="Symbol" w:cs="Symbol"/>
          <w:sz w:val="24"/>
          <w:szCs w:val="24"/>
        </w:rPr>
        <w:t></w:t>
      </w:r>
      <w:r>
        <w:rPr>
          <w:rFonts w:ascii="Symbol" w:hAnsi="Symbol" w:cs="Symbol"/>
          <w:sz w:val="24"/>
          <w:szCs w:val="24"/>
        </w:rPr>
        <w:t></w:t>
      </w:r>
      <w:r>
        <w:rPr>
          <w:rFonts w:ascii="TimesNewRomanPS-BoldMT" w:hAnsi="TimesNewRomanPS-BoldMT" w:cs="TimesNewRomanPS-BoldMT"/>
          <w:b/>
          <w:bCs/>
          <w:sz w:val="24"/>
          <w:szCs w:val="24"/>
        </w:rPr>
        <w:t xml:space="preserve">Sovereignty and integrity of India </w:t>
      </w:r>
    </w:p>
    <w:p w:rsidR="00B82D6F" w:rsidRDefault="00B82D6F" w:rsidP="00B82D6F">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BoldMT" w:hAnsi="TimesNewRomanPS-BoldMT" w:cs="TimesNewRomanPS-BoldMT"/>
          <w:b/>
          <w:bCs/>
          <w:sz w:val="24"/>
          <w:szCs w:val="24"/>
        </w:rPr>
        <w:t xml:space="preserve">Friendly relations with foreign states </w:t>
      </w:r>
      <w:r>
        <w:rPr>
          <w:rFonts w:ascii="TimesNewRomanPSMT" w:hAnsi="TimesNewRomanPSMT" w:cs="TimesNewRomanPSMT"/>
          <w:sz w:val="24"/>
          <w:szCs w:val="24"/>
        </w:rPr>
        <w:t xml:space="preserve"> </w:t>
      </w:r>
    </w:p>
    <w:p w:rsidR="00B82D6F" w:rsidRDefault="00B82D6F" w:rsidP="00B82D6F">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BoldMT" w:hAnsi="TimesNewRomanPS-BoldMT" w:cs="TimesNewRomanPS-BoldMT"/>
          <w:b/>
          <w:bCs/>
          <w:sz w:val="24"/>
          <w:szCs w:val="24"/>
        </w:rPr>
        <w:t xml:space="preserve">Public Order </w:t>
      </w:r>
    </w:p>
    <w:p w:rsidR="00B82D6F" w:rsidRDefault="00B82D6F" w:rsidP="00B82D6F">
      <w:pPr>
        <w:autoSpaceDE w:val="0"/>
        <w:autoSpaceDN w:val="0"/>
        <w:adjustRightInd w:val="0"/>
        <w:spacing w:after="0" w:line="240" w:lineRule="auto"/>
        <w:rPr>
          <w:rFonts w:ascii="TimesNewRomanPS-BoldMT" w:hAnsi="TimesNewRomanPS-BoldMT" w:cs="TimesNewRomanPS-BoldMT"/>
          <w:b/>
          <w:bCs/>
          <w:sz w:val="24"/>
          <w:szCs w:val="24"/>
        </w:rPr>
      </w:pPr>
      <w:r>
        <w:rPr>
          <w:rFonts w:ascii="Symbol" w:hAnsi="Symbol" w:cs="Symbol"/>
          <w:sz w:val="24"/>
          <w:szCs w:val="24"/>
        </w:rPr>
        <w:t></w:t>
      </w:r>
      <w:r>
        <w:rPr>
          <w:rFonts w:ascii="Symbol" w:hAnsi="Symbol" w:cs="Symbol"/>
          <w:sz w:val="24"/>
          <w:szCs w:val="24"/>
        </w:rPr>
        <w:t></w:t>
      </w:r>
      <w:r>
        <w:rPr>
          <w:rFonts w:ascii="TimesNewRomanPS-BoldMT" w:hAnsi="TimesNewRomanPS-BoldMT" w:cs="TimesNewRomanPS-BoldMT"/>
          <w:b/>
          <w:bCs/>
          <w:sz w:val="24"/>
          <w:szCs w:val="24"/>
        </w:rPr>
        <w:t xml:space="preserve">Decency or Morality </w:t>
      </w:r>
    </w:p>
    <w:p w:rsidR="00B82D6F" w:rsidRPr="00B82D6F" w:rsidRDefault="00B82D6F" w:rsidP="00B82D6F">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BoldMT" w:hAnsi="TimesNewRomanPS-BoldMT" w:cs="TimesNewRomanPS-BoldMT"/>
          <w:b/>
          <w:bCs/>
          <w:sz w:val="24"/>
          <w:szCs w:val="24"/>
        </w:rPr>
        <w:t xml:space="preserve">Contempt of Court </w:t>
      </w:r>
    </w:p>
    <w:p w:rsidR="00AA31CF" w:rsidRDefault="00AA31CF" w:rsidP="00E2280B">
      <w:pPr>
        <w:autoSpaceDE w:val="0"/>
        <w:autoSpaceDN w:val="0"/>
        <w:adjustRightInd w:val="0"/>
        <w:spacing w:after="0" w:line="240" w:lineRule="auto"/>
        <w:rPr>
          <w:rFonts w:ascii="TimesNewRomanPSMT" w:hAnsi="TimesNewRomanPSMT" w:cs="TimesNewRomanPSMT"/>
          <w:sz w:val="24"/>
          <w:szCs w:val="24"/>
        </w:rPr>
      </w:pPr>
    </w:p>
    <w:p w:rsidR="00B82D6F" w:rsidRPr="00B82D6F" w:rsidRDefault="00B82D6F" w:rsidP="00B82D6F">
      <w:pPr>
        <w:autoSpaceDE w:val="0"/>
        <w:autoSpaceDN w:val="0"/>
        <w:adjustRightInd w:val="0"/>
        <w:spacing w:after="0" w:line="240" w:lineRule="auto"/>
        <w:rPr>
          <w:rFonts w:ascii="TimesNewRomanPSMT" w:hAnsi="TimesNewRomanPSMT" w:cs="TimesNewRomanPSMT"/>
          <w:b/>
          <w:bCs/>
          <w:sz w:val="24"/>
          <w:szCs w:val="24"/>
        </w:rPr>
      </w:pPr>
      <w:r w:rsidRPr="00B82D6F">
        <w:rPr>
          <w:rFonts w:ascii="TimesNewRomanPSMT" w:hAnsi="TimesNewRomanPSMT" w:cs="TimesNewRomanPSMT"/>
          <w:b/>
          <w:bCs/>
          <w:sz w:val="24"/>
          <w:szCs w:val="24"/>
        </w:rPr>
        <w:t xml:space="preserve">Ramjilalmodi v State of UP: Article on </w:t>
      </w:r>
      <w:proofErr w:type="spellStart"/>
      <w:r w:rsidRPr="00B82D6F">
        <w:rPr>
          <w:rFonts w:ascii="TimesNewRomanPSMT" w:hAnsi="TimesNewRomanPSMT" w:cs="TimesNewRomanPSMT"/>
          <w:b/>
          <w:bCs/>
          <w:sz w:val="24"/>
          <w:szCs w:val="24"/>
        </w:rPr>
        <w:t>muslim</w:t>
      </w:r>
      <w:r>
        <w:rPr>
          <w:rFonts w:ascii="TimesNewRomanPSMT" w:hAnsi="TimesNewRomanPSMT" w:cs="TimesNewRomanPSMT"/>
          <w:b/>
          <w:bCs/>
          <w:sz w:val="24"/>
          <w:szCs w:val="24"/>
        </w:rPr>
        <w:t>s</w:t>
      </w:r>
      <w:proofErr w:type="spellEnd"/>
      <w:r>
        <w:rPr>
          <w:rFonts w:ascii="TimesNewRomanPSMT" w:hAnsi="TimesNewRomanPSMT" w:cs="TimesNewRomanPSMT"/>
          <w:b/>
          <w:bCs/>
          <w:sz w:val="24"/>
          <w:szCs w:val="24"/>
        </w:rPr>
        <w:t xml:space="preserve"> - </w:t>
      </w:r>
      <w:r w:rsidRPr="00B82D6F">
        <w:rPr>
          <w:rFonts w:ascii="TimesNewRomanPSMT" w:hAnsi="TimesNewRomanPSMT" w:cs="TimesNewRomanPSMT"/>
          <w:sz w:val="24"/>
          <w:szCs w:val="24"/>
        </w:rPr>
        <w:t xml:space="preserve">Wrote article about </w:t>
      </w:r>
      <w:proofErr w:type="spellStart"/>
      <w:r w:rsidRPr="00B82D6F">
        <w:rPr>
          <w:rFonts w:ascii="TimesNewRomanPSMT" w:hAnsi="TimesNewRomanPSMT" w:cs="TimesNewRomanPSMT"/>
          <w:sz w:val="24"/>
          <w:szCs w:val="24"/>
        </w:rPr>
        <w:t>muslim</w:t>
      </w:r>
      <w:proofErr w:type="spellEnd"/>
      <w:r w:rsidRPr="00B82D6F">
        <w:rPr>
          <w:rFonts w:ascii="TimesNewRomanPSMT" w:hAnsi="TimesNewRomanPSMT" w:cs="TimesNewRomanPSMT"/>
          <w:sz w:val="24"/>
          <w:szCs w:val="24"/>
        </w:rPr>
        <w:t xml:space="preserve"> religious practice – guy got arrested – potential to create public disorder – claimed that 295 A is void and is not protected under 19 (2) – COURT: 295 A is not void and it fall sunder 19(2) because 19(2) talks about public order, maintenance and interest of public order – maintenance is a narrower term and interest of is a wider term and will include acts which have the potential of creating public disorder.</w:t>
      </w:r>
    </w:p>
    <w:p w:rsidR="00AA31CF" w:rsidRDefault="00AA31CF" w:rsidP="00E2280B">
      <w:pPr>
        <w:autoSpaceDE w:val="0"/>
        <w:autoSpaceDN w:val="0"/>
        <w:adjustRightInd w:val="0"/>
        <w:spacing w:after="0" w:line="240" w:lineRule="auto"/>
        <w:rPr>
          <w:rFonts w:ascii="TimesNewRomanPSMT" w:hAnsi="TimesNewRomanPSMT" w:cs="TimesNewRomanPSMT"/>
          <w:sz w:val="24"/>
          <w:szCs w:val="24"/>
        </w:rPr>
      </w:pPr>
    </w:p>
    <w:p w:rsidR="00AA31CF" w:rsidRPr="00B82D6F" w:rsidRDefault="00B82D6F" w:rsidP="00B82D6F">
      <w:pPr>
        <w:autoSpaceDE w:val="0"/>
        <w:autoSpaceDN w:val="0"/>
        <w:adjustRightInd w:val="0"/>
        <w:spacing w:after="0" w:line="240" w:lineRule="auto"/>
        <w:rPr>
          <w:rFonts w:ascii="TimesNewRomanPSMT" w:hAnsi="TimesNewRomanPSMT" w:cs="TimesNewRomanPSMT"/>
          <w:b/>
          <w:bCs/>
          <w:sz w:val="24"/>
          <w:szCs w:val="24"/>
        </w:rPr>
      </w:pPr>
      <w:r w:rsidRPr="00B82D6F">
        <w:rPr>
          <w:rFonts w:ascii="TimesNewRomanPSMT" w:hAnsi="TimesNewRomanPSMT" w:cs="TimesNewRomanPSMT"/>
          <w:b/>
          <w:bCs/>
          <w:sz w:val="24"/>
          <w:szCs w:val="24"/>
        </w:rPr>
        <w:lastRenderedPageBreak/>
        <w:t xml:space="preserve">S </w:t>
      </w:r>
      <w:proofErr w:type="spellStart"/>
      <w:r w:rsidRPr="00B82D6F">
        <w:rPr>
          <w:rFonts w:ascii="TimesNewRomanPSMT" w:hAnsi="TimesNewRomanPSMT" w:cs="TimesNewRomanPSMT"/>
          <w:b/>
          <w:bCs/>
          <w:sz w:val="24"/>
          <w:szCs w:val="24"/>
        </w:rPr>
        <w:t>Rangrajan</w:t>
      </w:r>
      <w:proofErr w:type="spellEnd"/>
      <w:r w:rsidRPr="00B82D6F">
        <w:rPr>
          <w:rFonts w:ascii="TimesNewRomanPSMT" w:hAnsi="TimesNewRomanPSMT" w:cs="TimesNewRomanPSMT"/>
          <w:b/>
          <w:bCs/>
          <w:sz w:val="24"/>
          <w:szCs w:val="24"/>
        </w:rPr>
        <w:t xml:space="preserve"> vs </w:t>
      </w:r>
      <w:proofErr w:type="spellStart"/>
      <w:r w:rsidRPr="00B82D6F">
        <w:rPr>
          <w:rFonts w:ascii="TimesNewRomanPSMT" w:hAnsi="TimesNewRomanPSMT" w:cs="TimesNewRomanPSMT"/>
          <w:b/>
          <w:bCs/>
          <w:sz w:val="24"/>
          <w:szCs w:val="24"/>
        </w:rPr>
        <w:t>jagjivan</w:t>
      </w:r>
      <w:proofErr w:type="spellEnd"/>
      <w:r w:rsidRPr="00B82D6F">
        <w:rPr>
          <w:rFonts w:ascii="TimesNewRomanPSMT" w:hAnsi="TimesNewRomanPSMT" w:cs="TimesNewRomanPSMT"/>
          <w:b/>
          <w:bCs/>
          <w:sz w:val="24"/>
          <w:szCs w:val="24"/>
        </w:rPr>
        <w:t xml:space="preserve"> Ram: Censorship board</w:t>
      </w:r>
      <w:r>
        <w:rPr>
          <w:rFonts w:ascii="TimesNewRomanPSMT" w:hAnsi="TimesNewRomanPSMT" w:cs="TimesNewRomanPSMT"/>
          <w:b/>
          <w:bCs/>
          <w:sz w:val="24"/>
          <w:szCs w:val="24"/>
        </w:rPr>
        <w:t xml:space="preserve"> - </w:t>
      </w:r>
      <w:r w:rsidRPr="00B82D6F">
        <w:rPr>
          <w:rFonts w:ascii="TimesNewRomanPSMT" w:hAnsi="TimesNewRomanPSMT" w:cs="TimesNewRomanPSMT"/>
          <w:sz w:val="24"/>
          <w:szCs w:val="24"/>
        </w:rPr>
        <w:t>The petitioner could not secure the certificate from the censorship board. The Supreme Court, on appeal, held that the freedom of speech and expression cannot be taken away solely on the ground of “demonstrations, processions and threat of violence” if the restriction was not justified by clause (2). It imposed a positive obligation on the state to ensure that the freedom of speech and expression is protected</w:t>
      </w:r>
    </w:p>
    <w:p w:rsidR="00B82D6F" w:rsidRDefault="00B82D6F" w:rsidP="00B82D6F">
      <w:pPr>
        <w:rPr>
          <w:rFonts w:ascii="Times New Roman" w:eastAsia="Calibri" w:hAnsi="Times New Roman" w:cs="Times New Roman"/>
          <w:sz w:val="24"/>
          <w:szCs w:val="24"/>
        </w:rPr>
      </w:pPr>
      <w:r>
        <w:rPr>
          <w:rFonts w:ascii="TimesNewRomanPSMT" w:hAnsi="TimesNewRomanPSMT" w:cs="TimesNewRomanPSMT"/>
          <w:sz w:val="24"/>
          <w:szCs w:val="24"/>
        </w:rPr>
        <w:br w:type="page"/>
      </w:r>
      <w:r w:rsidRPr="005F41E6">
        <w:rPr>
          <w:rFonts w:ascii="Times New Roman" w:eastAsia="Calibri" w:hAnsi="Times New Roman" w:cs="Times New Roman"/>
          <w:b/>
          <w:sz w:val="24"/>
          <w:szCs w:val="24"/>
        </w:rPr>
        <w:lastRenderedPageBreak/>
        <w:t>Maneka Gandhi v UOI</w:t>
      </w:r>
      <w:r w:rsidRPr="005F41E6">
        <w:rPr>
          <w:rFonts w:ascii="Times New Roman" w:eastAsia="Calibri" w:hAnsi="Times New Roman" w:cs="Times New Roman"/>
          <w:sz w:val="24"/>
          <w:szCs w:val="24"/>
        </w:rPr>
        <w:t>:</w:t>
      </w:r>
      <w:r>
        <w:rPr>
          <w:rFonts w:ascii="TimesNewRomanPSMT" w:hAnsi="TimesNewRomanPSMT" w:cs="TimesNewRomanPSMT"/>
          <w:sz w:val="24"/>
          <w:szCs w:val="24"/>
        </w:rPr>
        <w:t xml:space="preserve"> </w:t>
      </w:r>
      <w:r w:rsidRPr="005F41E6">
        <w:rPr>
          <w:rFonts w:ascii="Times New Roman" w:eastAsia="Calibri" w:hAnsi="Times New Roman" w:cs="Times New Roman"/>
          <w:sz w:val="24"/>
          <w:szCs w:val="24"/>
        </w:rPr>
        <w:t>In this case, the court held that even if a right is not expressly mentioned in Art. 19(1) it could still be protected through necessary implication. This means that the said right should form an integral part of the protected rights</w:t>
      </w:r>
      <w:r>
        <w:rPr>
          <w:rFonts w:ascii="Times New Roman" w:eastAsia="Calibri" w:hAnsi="Times New Roman" w:cs="Times New Roman"/>
          <w:sz w:val="24"/>
          <w:szCs w:val="24"/>
        </w:rPr>
        <w:t>.</w:t>
      </w:r>
    </w:p>
    <w:p w:rsidR="00D61498" w:rsidRPr="00A27505" w:rsidRDefault="00D61498" w:rsidP="00B82D6F">
      <w:pPr>
        <w:rPr>
          <w:rFonts w:ascii="TimesNewRomanPS-BoldMT" w:hAnsi="TimesNewRomanPS-BoldMT" w:cs="TimesNewRomanPS-BoldMT"/>
          <w:b/>
          <w:bCs/>
          <w:sz w:val="24"/>
          <w:szCs w:val="24"/>
          <w:u w:val="single"/>
        </w:rPr>
      </w:pPr>
    </w:p>
    <w:p w:rsidR="00D61498" w:rsidRPr="00A27505" w:rsidRDefault="00D61498" w:rsidP="00B82D6F">
      <w:pPr>
        <w:rPr>
          <w:rFonts w:ascii="TimesNewRomanPS-BoldMT" w:hAnsi="TimesNewRomanPS-BoldMT" w:cs="TimesNewRomanPS-BoldMT"/>
          <w:b/>
          <w:bCs/>
          <w:sz w:val="32"/>
          <w:szCs w:val="32"/>
          <w:u w:val="single"/>
        </w:rPr>
      </w:pPr>
      <w:r w:rsidRPr="00A27505">
        <w:rPr>
          <w:rFonts w:ascii="TimesNewRomanPS-BoldMT" w:hAnsi="TimesNewRomanPS-BoldMT" w:cs="TimesNewRomanPS-BoldMT"/>
          <w:b/>
          <w:bCs/>
          <w:sz w:val="32"/>
          <w:szCs w:val="32"/>
          <w:u w:val="single"/>
        </w:rPr>
        <w:t>Article 20</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 Post Facto Laws: an act that was lawful when done cannot be declared or made an offence by a law made after the commission of the act. This means that a person can only be convicted of an offence if the act charged against him was an offence under the law in force at the date of the commission of the act.</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SC held that the liability was a civil liability and since the failure to discharge a civil liability is not an offence, article 20(1) would not apply.</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p>
    <w:p w:rsidR="00D61498" w:rsidRPr="00D61498" w:rsidRDefault="00D61498" w:rsidP="00D6149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second part of article 20(1) applies only to retrospective increase of penalty for an offence and not to retrospective increase of civil liability.</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r>
        <w:rPr>
          <w:rFonts w:ascii="Times New Roman" w:eastAsia="Calibri" w:hAnsi="Times New Roman" w:cs="Times New Roman"/>
          <w:sz w:val="24"/>
          <w:szCs w:val="24"/>
        </w:rPr>
        <w:br/>
      </w:r>
      <w:r>
        <w:rPr>
          <w:rFonts w:ascii="TimesNewRomanPSMT" w:hAnsi="TimesNewRomanPSMT" w:cs="TimesNewRomanPSMT"/>
          <w:sz w:val="24"/>
          <w:szCs w:val="24"/>
        </w:rPr>
        <w:t>The “law in force” must be the law, which was factually in operation on the date of the commission of the offence, and not the law, which by legal fiction is made operative by virtue of the power of the legislature to pass retrospective laws.</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“law in force” must be the law, which was factually in operation on the date of</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commission of the offence, and not the law, which by legal fiction is made</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operative by virtue of the power of the legislature to pass retrospective laws.</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b/>
          <w:bCs/>
          <w:sz w:val="24"/>
          <w:szCs w:val="24"/>
        </w:rPr>
        <w:t xml:space="preserve">20(2) – </w:t>
      </w:r>
      <w:r>
        <w:rPr>
          <w:rFonts w:ascii="TimesNewRomanPSMT" w:hAnsi="TimesNewRomanPSMT" w:cs="TimesNewRomanPSMT"/>
          <w:sz w:val="24"/>
          <w:szCs w:val="24"/>
        </w:rPr>
        <w:t>Double Jeopardy- There is no question of the rule as to double jeopardy being applicable it the offences are distinct. It is necessary that the first trial should have been before a court competent to hear and determine the case and to record a verdict of conviction or acquittal.</w:t>
      </w:r>
    </w:p>
    <w:p w:rsidR="00D61498" w:rsidRDefault="00D61498" w:rsidP="00D61498">
      <w:pPr>
        <w:autoSpaceDE w:val="0"/>
        <w:autoSpaceDN w:val="0"/>
        <w:adjustRightInd w:val="0"/>
        <w:spacing w:after="0" w:line="240" w:lineRule="auto"/>
        <w:rPr>
          <w:rFonts w:ascii="TimesNewRomanPSMT" w:hAnsi="TimesNewRomanPSMT" w:cs="TimesNewRomanPSMT"/>
          <w:sz w:val="24"/>
          <w:szCs w:val="24"/>
        </w:rPr>
      </w:pPr>
    </w:p>
    <w:p w:rsidR="008E2853" w:rsidRDefault="008E2853" w:rsidP="008E285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b/>
          <w:bCs/>
          <w:sz w:val="24"/>
          <w:szCs w:val="24"/>
        </w:rPr>
        <w:t xml:space="preserve">20(3) - </w:t>
      </w:r>
      <w:r>
        <w:rPr>
          <w:rFonts w:ascii="TimesNewRomanPSMT" w:hAnsi="TimesNewRomanPSMT" w:cs="TimesNewRomanPSMT"/>
          <w:sz w:val="24"/>
          <w:szCs w:val="24"/>
        </w:rPr>
        <w:t>Prohibition against self-incrimination - No person shall be compelled in any case to be a witness against himself. It may be states to consist of the following 3 components:</w:t>
      </w:r>
    </w:p>
    <w:p w:rsidR="008E2853" w:rsidRDefault="008E2853" w:rsidP="008E2853">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Right to pertaining to a person accused of an offence – only to an accused</w:t>
      </w:r>
    </w:p>
    <w:p w:rsidR="008E2853" w:rsidRDefault="008E2853" w:rsidP="008E2853">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Protection against compulsion to be a witness</w:t>
      </w:r>
    </w:p>
    <w:p w:rsidR="00D61498" w:rsidRDefault="008E2853" w:rsidP="008E2853">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Protection against such compulsion resulting in his evidence against himself.</w:t>
      </w:r>
    </w:p>
    <w:p w:rsidR="008E2853" w:rsidRDefault="008E2853" w:rsidP="008E2853">
      <w:pPr>
        <w:autoSpaceDE w:val="0"/>
        <w:autoSpaceDN w:val="0"/>
        <w:adjustRightInd w:val="0"/>
        <w:spacing w:after="0" w:line="240" w:lineRule="auto"/>
        <w:rPr>
          <w:rFonts w:ascii="TimesNewRomanPSMT" w:hAnsi="TimesNewRomanPSMT" w:cs="TimesNewRomanPSMT"/>
          <w:b/>
          <w:bCs/>
          <w:sz w:val="24"/>
          <w:szCs w:val="24"/>
        </w:rPr>
      </w:pPr>
    </w:p>
    <w:p w:rsidR="00634631" w:rsidRPr="008E2853" w:rsidRDefault="008E2853" w:rsidP="008E2853">
      <w:pPr>
        <w:autoSpaceDE w:val="0"/>
        <w:autoSpaceDN w:val="0"/>
        <w:adjustRightInd w:val="0"/>
        <w:spacing w:after="0" w:line="240" w:lineRule="auto"/>
        <w:rPr>
          <w:rFonts w:ascii="TimesNewRomanPS-BoldMT" w:hAnsi="TimesNewRomanPS-BoldMT" w:cs="TimesNewRomanPS-BoldMT"/>
          <w:b/>
          <w:bCs/>
          <w:sz w:val="24"/>
          <w:szCs w:val="24"/>
        </w:rPr>
      </w:pPr>
      <w:proofErr w:type="spellStart"/>
      <w:r>
        <w:rPr>
          <w:rFonts w:ascii="Times New Roman" w:hAnsi="Times New Roman" w:cs="Times New Roman"/>
          <w:b/>
        </w:rPr>
        <w:t>Selvi</w:t>
      </w:r>
      <w:proofErr w:type="spellEnd"/>
      <w:r>
        <w:rPr>
          <w:rFonts w:ascii="Times New Roman" w:hAnsi="Times New Roman" w:cs="Times New Roman"/>
          <w:b/>
        </w:rPr>
        <w:t xml:space="preserve"> v. State of Karnataka(</w:t>
      </w:r>
      <w:r>
        <w:rPr>
          <w:rFonts w:ascii="TimesNewRomanPS-BoldMT" w:hAnsi="TimesNewRomanPS-BoldMT" w:cs="TimesNewRomanPS-BoldMT"/>
          <w:b/>
          <w:bCs/>
          <w:sz w:val="24"/>
          <w:szCs w:val="24"/>
        </w:rPr>
        <w:t xml:space="preserve">Lie Detector Tests): </w:t>
      </w:r>
      <w:r>
        <w:rPr>
          <w:rFonts w:ascii="TimesNewRomanPSMT" w:hAnsi="TimesNewRomanPSMT" w:cs="TimesNewRomanPSMT"/>
          <w:sz w:val="24"/>
          <w:szCs w:val="24"/>
        </w:rPr>
        <w:t>The compulsory administration of the impugned techniques violates the right against</w:t>
      </w:r>
      <w:r>
        <w:rPr>
          <w:rFonts w:ascii="TimesNewRomanPS-BoldMT" w:hAnsi="TimesNewRomanPS-BoldMT" w:cs="TimesNewRomanPS-BoldMT"/>
          <w:b/>
          <w:bCs/>
          <w:sz w:val="24"/>
          <w:szCs w:val="24"/>
        </w:rPr>
        <w:t xml:space="preserve"> </w:t>
      </w:r>
      <w:r>
        <w:rPr>
          <w:rFonts w:ascii="TimesNewRomanPSMT" w:hAnsi="TimesNewRomanPSMT" w:cs="TimesNewRomanPSMT"/>
          <w:sz w:val="24"/>
          <w:szCs w:val="24"/>
        </w:rPr>
        <w:t>self-incrimination. The underlying rationale is to ensure reliability as well as</w:t>
      </w:r>
      <w:r>
        <w:rPr>
          <w:rFonts w:ascii="TimesNewRomanPS-BoldMT" w:hAnsi="TimesNewRomanPS-BoldMT" w:cs="TimesNewRomanPS-BoldMT"/>
          <w:b/>
          <w:bCs/>
          <w:sz w:val="24"/>
          <w:szCs w:val="24"/>
        </w:rPr>
        <w:t xml:space="preserve"> </w:t>
      </w:r>
      <w:r>
        <w:rPr>
          <w:rFonts w:ascii="TimesNewRomanPSMT" w:hAnsi="TimesNewRomanPSMT" w:cs="TimesNewRomanPSMT"/>
          <w:sz w:val="24"/>
          <w:szCs w:val="24"/>
        </w:rPr>
        <w:t>voluntariness of statements that are admitted as evidence. The court has recognized</w:t>
      </w:r>
      <w:r>
        <w:rPr>
          <w:rFonts w:ascii="TimesNewRomanPS-BoldMT" w:hAnsi="TimesNewRomanPS-BoldMT" w:cs="TimesNewRomanPS-BoldMT"/>
          <w:b/>
          <w:bCs/>
          <w:sz w:val="24"/>
          <w:szCs w:val="24"/>
        </w:rPr>
        <w:t xml:space="preserve"> </w:t>
      </w:r>
      <w:r>
        <w:rPr>
          <w:rFonts w:ascii="TimesNewRomanPSMT" w:hAnsi="TimesNewRomanPSMT" w:cs="TimesNewRomanPSMT"/>
          <w:sz w:val="24"/>
          <w:szCs w:val="24"/>
        </w:rPr>
        <w:t>that the protective scope of article 20(3) extends to the investigative stage in criminal</w:t>
      </w:r>
      <w:r>
        <w:rPr>
          <w:rFonts w:ascii="TimesNewRomanPS-BoldMT" w:hAnsi="TimesNewRomanPS-BoldMT" w:cs="TimesNewRomanPS-BoldMT"/>
          <w:b/>
          <w:bCs/>
          <w:sz w:val="24"/>
          <w:szCs w:val="24"/>
        </w:rPr>
        <w:t xml:space="preserve"> </w:t>
      </w:r>
      <w:r>
        <w:rPr>
          <w:rFonts w:ascii="TimesNewRomanPSMT" w:hAnsi="TimesNewRomanPSMT" w:cs="TimesNewRomanPSMT"/>
          <w:sz w:val="24"/>
          <w:szCs w:val="24"/>
        </w:rPr>
        <w:t>cases. The test results cannot be admitted in evidence if they have been obtained</w:t>
      </w:r>
      <w:r>
        <w:rPr>
          <w:rFonts w:ascii="TimesNewRomanPS-BoldMT" w:hAnsi="TimesNewRomanPS-BoldMT" w:cs="TimesNewRomanPS-BoldMT"/>
          <w:b/>
          <w:bCs/>
          <w:sz w:val="24"/>
          <w:szCs w:val="24"/>
        </w:rPr>
        <w:t xml:space="preserve"> </w:t>
      </w:r>
      <w:r>
        <w:rPr>
          <w:rFonts w:ascii="TimesNewRomanPSMT" w:hAnsi="TimesNewRomanPSMT" w:cs="TimesNewRomanPSMT"/>
          <w:sz w:val="24"/>
          <w:szCs w:val="24"/>
        </w:rPr>
        <w:t>through the use of compulsion.</w:t>
      </w:r>
    </w:p>
    <w:p w:rsidR="00634631" w:rsidRDefault="00634631" w:rsidP="00634631"/>
    <w:p w:rsidR="008E2853" w:rsidRDefault="008E2853" w:rsidP="008E2853">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 xml:space="preserve">PUCL vs. Union of India - </w:t>
      </w:r>
      <w:r>
        <w:rPr>
          <w:rFonts w:ascii="TimesNewRomanPSMT" w:hAnsi="TimesNewRomanPSMT" w:cs="TimesNewRomanPSMT"/>
          <w:sz w:val="24"/>
          <w:szCs w:val="24"/>
        </w:rPr>
        <w:t>Thus the giving of finger impression or of specimen writing or of signatures by an accused person, though it may amount to furnishing evidence in the larger sense, is not included within the expression to be a witness'.</w:t>
      </w:r>
    </w:p>
    <w:p w:rsidR="00E372BD" w:rsidRDefault="00E372BD" w:rsidP="00E372BD">
      <w:pPr>
        <w:tabs>
          <w:tab w:val="left" w:pos="6408"/>
        </w:tabs>
        <w:autoSpaceDE w:val="0"/>
        <w:autoSpaceDN w:val="0"/>
        <w:adjustRightInd w:val="0"/>
        <w:spacing w:after="0" w:line="240" w:lineRule="auto"/>
        <w:rPr>
          <w:rFonts w:ascii="TimesNewRomanPSMT" w:hAnsi="TimesNewRomanPSMT" w:cs="TimesNewRomanPSMT"/>
          <w:sz w:val="24"/>
          <w:szCs w:val="24"/>
        </w:rPr>
      </w:pPr>
    </w:p>
    <w:p w:rsidR="008E2853" w:rsidRDefault="00E372BD" w:rsidP="00E372BD">
      <w:pPr>
        <w:tabs>
          <w:tab w:val="left" w:pos="6408"/>
        </w:tabs>
        <w:autoSpaceDE w:val="0"/>
        <w:autoSpaceDN w:val="0"/>
        <w:adjustRightInd w:val="0"/>
        <w:spacing w:after="0" w:line="240" w:lineRule="auto"/>
        <w:rPr>
          <w:rFonts w:ascii="TimesNewRomanPSMT" w:hAnsi="TimesNewRomanPSMT" w:cs="TimesNewRomanPSMT"/>
          <w:sz w:val="24"/>
          <w:szCs w:val="24"/>
        </w:rPr>
      </w:pPr>
      <w:r w:rsidRPr="00E372BD">
        <w:rPr>
          <w:rFonts w:ascii="TimesNewRomanPSMT" w:hAnsi="TimesNewRomanPSMT" w:cs="TimesNewRomanPSMT"/>
          <w:sz w:val="24"/>
          <w:szCs w:val="24"/>
        </w:rPr>
        <w:t>The present day</w:t>
      </w:r>
      <w:r>
        <w:rPr>
          <w:rFonts w:ascii="TimesNewRomanPSMT" w:hAnsi="TimesNewRomanPSMT" w:cs="TimesNewRomanPSMT"/>
          <w:sz w:val="24"/>
          <w:szCs w:val="24"/>
        </w:rPr>
        <w:t xml:space="preserve"> </w:t>
      </w:r>
      <w:r w:rsidRPr="00E372BD">
        <w:rPr>
          <w:rFonts w:ascii="TimesNewRomanPSMT" w:hAnsi="TimesNewRomanPSMT" w:cs="TimesNewRomanPSMT"/>
          <w:sz w:val="24"/>
          <w:szCs w:val="24"/>
        </w:rPr>
        <w:t>problem of terrorism cannot be brought within the concept of “public order.”</w:t>
      </w:r>
    </w:p>
    <w:p w:rsidR="00585708" w:rsidRPr="00A27505" w:rsidRDefault="00585708" w:rsidP="008E2853">
      <w:pPr>
        <w:autoSpaceDE w:val="0"/>
        <w:autoSpaceDN w:val="0"/>
        <w:adjustRightInd w:val="0"/>
        <w:spacing w:after="0" w:line="240" w:lineRule="auto"/>
        <w:rPr>
          <w:rFonts w:ascii="TimesNewRomanPS-BoldMT" w:hAnsi="TimesNewRomanPS-BoldMT" w:cs="TimesNewRomanPS-BoldMT"/>
          <w:b/>
          <w:bCs/>
          <w:sz w:val="32"/>
          <w:szCs w:val="32"/>
          <w:u w:val="single"/>
        </w:rPr>
      </w:pPr>
      <w:r w:rsidRPr="00A27505">
        <w:rPr>
          <w:rFonts w:ascii="TimesNewRomanPS-BoldMT" w:hAnsi="TimesNewRomanPS-BoldMT" w:cs="TimesNewRomanPS-BoldMT"/>
          <w:b/>
          <w:bCs/>
          <w:sz w:val="32"/>
          <w:szCs w:val="32"/>
          <w:u w:val="single"/>
        </w:rPr>
        <w:lastRenderedPageBreak/>
        <w:t>Article 21</w:t>
      </w:r>
    </w:p>
    <w:p w:rsidR="00585708" w:rsidRDefault="00585708" w:rsidP="008E2853">
      <w:pPr>
        <w:autoSpaceDE w:val="0"/>
        <w:autoSpaceDN w:val="0"/>
        <w:adjustRightInd w:val="0"/>
        <w:spacing w:after="0" w:line="240" w:lineRule="auto"/>
        <w:rPr>
          <w:rFonts w:ascii="TimesNewRomanPS-BoldMT" w:hAnsi="TimesNewRomanPS-BoldMT" w:cs="TimesNewRomanPS-BoldMT"/>
          <w:b/>
          <w:bCs/>
          <w:sz w:val="24"/>
          <w:szCs w:val="24"/>
        </w:rPr>
      </w:pPr>
    </w:p>
    <w:p w:rsidR="00053011" w:rsidRPr="00053011" w:rsidRDefault="00053011" w:rsidP="00053011">
      <w:pPr>
        <w:autoSpaceDE w:val="0"/>
        <w:autoSpaceDN w:val="0"/>
        <w:adjustRightInd w:val="0"/>
        <w:spacing w:after="0" w:line="240" w:lineRule="auto"/>
        <w:rPr>
          <w:rFonts w:ascii="TimesNewRomanPS-BoldMT" w:hAnsi="TimesNewRomanPS-BoldMT" w:cs="TimesNewRomanPS-BoldMT"/>
          <w:sz w:val="24"/>
          <w:szCs w:val="24"/>
        </w:rPr>
      </w:pPr>
      <w:r>
        <w:rPr>
          <w:rFonts w:ascii="TimesNewRomanPS-BoldMT" w:hAnsi="TimesNewRomanPS-BoldMT" w:cs="TimesNewRomanPS-BoldMT"/>
          <w:b/>
          <w:bCs/>
          <w:sz w:val="24"/>
          <w:szCs w:val="24"/>
        </w:rPr>
        <w:t xml:space="preserve">A.K Gopalan - </w:t>
      </w:r>
      <w:r w:rsidRPr="00053011">
        <w:rPr>
          <w:rFonts w:ascii="TimesNewRomanPS-BoldMT" w:hAnsi="TimesNewRomanPS-BoldMT" w:cs="TimesNewRomanPS-BoldMT"/>
          <w:sz w:val="24"/>
          <w:szCs w:val="24"/>
        </w:rPr>
        <w:t>Could Article 19 and Article 21 be read together in Article 21?</w:t>
      </w:r>
    </w:p>
    <w:p w:rsidR="00585708" w:rsidRDefault="00053011" w:rsidP="00053011">
      <w:pPr>
        <w:autoSpaceDE w:val="0"/>
        <w:autoSpaceDN w:val="0"/>
        <w:adjustRightInd w:val="0"/>
        <w:spacing w:after="0" w:line="240" w:lineRule="auto"/>
        <w:rPr>
          <w:rFonts w:ascii="TimesNewRomanPSMT" w:hAnsi="TimesNewRomanPSMT" w:cs="TimesNewRomanPSMT"/>
          <w:sz w:val="24"/>
          <w:szCs w:val="24"/>
        </w:rPr>
      </w:pPr>
      <w:r w:rsidRPr="00053011">
        <w:rPr>
          <w:rFonts w:ascii="TimesNewRomanPS-BoldMT" w:hAnsi="TimesNewRomanPS-BoldMT" w:cs="TimesNewRomanPS-BoldMT"/>
          <w:sz w:val="24"/>
          <w:szCs w:val="24"/>
        </w:rPr>
        <w:t>The Supreme Court held that they cannot be read together and emancipated the Doctrine of</w:t>
      </w:r>
      <w:r>
        <w:rPr>
          <w:rFonts w:ascii="TimesNewRomanPS-BoldMT" w:hAnsi="TimesNewRomanPS-BoldMT" w:cs="TimesNewRomanPS-BoldMT"/>
          <w:sz w:val="24"/>
          <w:szCs w:val="24"/>
        </w:rPr>
        <w:t xml:space="preserve"> </w:t>
      </w:r>
      <w:r w:rsidRPr="00053011">
        <w:rPr>
          <w:rFonts w:ascii="TimesNewRomanPS-BoldMT" w:hAnsi="TimesNewRomanPS-BoldMT" w:cs="TimesNewRomanPS-BoldMT"/>
          <w:sz w:val="24"/>
          <w:szCs w:val="24"/>
        </w:rPr>
        <w:t>Exclusivity.</w:t>
      </w:r>
      <w:r>
        <w:rPr>
          <w:rFonts w:ascii="TimesNewRomanPS-BoldMT" w:hAnsi="TimesNewRomanPS-BoldMT" w:cs="TimesNewRomanPS-BoldMT"/>
          <w:sz w:val="24"/>
          <w:szCs w:val="24"/>
        </w:rPr>
        <w:t xml:space="preserve"> </w:t>
      </w:r>
      <w:r w:rsidRPr="00053011">
        <w:rPr>
          <w:rFonts w:ascii="TimesNewRomanPS-BoldMT" w:hAnsi="TimesNewRomanPS-BoldMT" w:cs="TimesNewRomanPS-BoldMT"/>
          <w:sz w:val="24"/>
          <w:szCs w:val="24"/>
        </w:rPr>
        <w:t>“Personal liberty” in Article 21 in itself has a comprehensive context. It would also include various</w:t>
      </w:r>
      <w:r>
        <w:rPr>
          <w:rFonts w:ascii="TimesNewRomanPS-BoldMT" w:hAnsi="TimesNewRomanPS-BoldMT" w:cs="TimesNewRomanPS-BoldMT"/>
          <w:sz w:val="24"/>
          <w:szCs w:val="24"/>
        </w:rPr>
        <w:t xml:space="preserve"> </w:t>
      </w:r>
      <w:r w:rsidRPr="00053011">
        <w:rPr>
          <w:rFonts w:ascii="TimesNewRomanPS-BoldMT" w:hAnsi="TimesNewRomanPS-BoldMT" w:cs="TimesNewRomanPS-BoldMT"/>
          <w:sz w:val="24"/>
          <w:szCs w:val="24"/>
        </w:rPr>
        <w:t>provisions under Article 19. However, Article 19 deals with very few</w:t>
      </w:r>
      <w:r>
        <w:rPr>
          <w:rFonts w:ascii="TimesNewRomanPS-BoldMT" w:hAnsi="TimesNewRomanPS-BoldMT" w:cs="TimesNewRomanPS-BoldMT"/>
          <w:sz w:val="24"/>
          <w:szCs w:val="24"/>
        </w:rPr>
        <w:t xml:space="preserve"> </w:t>
      </w:r>
      <w:r w:rsidRPr="00053011">
        <w:rPr>
          <w:rFonts w:ascii="TimesNewRomanPS-BoldMT" w:hAnsi="TimesNewRomanPS-BoldMT" w:cs="TimesNewRomanPS-BoldMT"/>
          <w:sz w:val="24"/>
          <w:szCs w:val="24"/>
        </w:rPr>
        <w:t>specific provisions and does not</w:t>
      </w:r>
      <w:r>
        <w:rPr>
          <w:rFonts w:ascii="TimesNewRomanPS-BoldMT" w:hAnsi="TimesNewRomanPS-BoldMT" w:cs="TimesNewRomanPS-BoldMT"/>
          <w:sz w:val="24"/>
          <w:szCs w:val="24"/>
        </w:rPr>
        <w:t xml:space="preserve"> </w:t>
      </w:r>
      <w:r w:rsidRPr="00053011">
        <w:rPr>
          <w:rFonts w:ascii="TimesNewRomanPS-BoldMT" w:hAnsi="TimesNewRomanPS-BoldMT" w:cs="TimesNewRomanPS-BoldMT"/>
          <w:sz w:val="24"/>
          <w:szCs w:val="24"/>
        </w:rPr>
        <w:t>mentions freedom from detention.</w:t>
      </w:r>
      <w:r>
        <w:rPr>
          <w:rFonts w:ascii="TimesNewRomanPS-BoldMT" w:hAnsi="TimesNewRomanPS-BoldMT" w:cs="TimesNewRomanPS-BoldMT"/>
          <w:sz w:val="24"/>
          <w:szCs w:val="24"/>
        </w:rPr>
        <w:t xml:space="preserve"> </w:t>
      </w:r>
      <w:r>
        <w:rPr>
          <w:rFonts w:ascii="TimesNewRomanPSMT" w:hAnsi="TimesNewRomanPSMT" w:cs="TimesNewRomanPSMT"/>
          <w:sz w:val="24"/>
          <w:szCs w:val="24"/>
        </w:rPr>
        <w:t xml:space="preserve">Article 19 does not mention life and personal liberty and including these terms would strain the context in which Article19 exists. Therefore, it cannot be read in accordance with Article 21. </w:t>
      </w:r>
    </w:p>
    <w:p w:rsidR="000B79C1" w:rsidRDefault="000B79C1" w:rsidP="00053011">
      <w:pPr>
        <w:autoSpaceDE w:val="0"/>
        <w:autoSpaceDN w:val="0"/>
        <w:adjustRightInd w:val="0"/>
        <w:spacing w:after="0" w:line="240" w:lineRule="auto"/>
        <w:rPr>
          <w:rFonts w:ascii="TimesNewRomanPSMT" w:hAnsi="TimesNewRomanPSMT" w:cs="TimesNewRomanPSMT"/>
          <w:sz w:val="24"/>
          <w:szCs w:val="24"/>
        </w:rPr>
      </w:pPr>
    </w:p>
    <w:p w:rsidR="000B79C1" w:rsidRDefault="000B79C1" w:rsidP="000B79C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Supreme Court said that the procedure was just, fair or reasonable or according to natural justice was not the concern of Article 21.</w:t>
      </w: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Therefore, the court laid down a 3 prong test stating that a person can</w:t>
      </w: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be deprived of his personal liberty –</w:t>
      </w: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 There must be a law.</w:t>
      </w: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 It should lay down a procedure to implement the law.</w:t>
      </w: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 The executive should follow the procedure while depriving life and personal</w:t>
      </w: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r w:rsidRPr="00053011">
        <w:rPr>
          <w:rFonts w:ascii="TimesNewRomanPSMT" w:hAnsi="TimesNewRomanPSMT" w:cs="TimesNewRomanPSMT"/>
          <w:sz w:val="24"/>
          <w:szCs w:val="24"/>
        </w:rPr>
        <w:t xml:space="preserve">The precedent in </w:t>
      </w:r>
      <w:proofErr w:type="spellStart"/>
      <w:r w:rsidRPr="00053011">
        <w:rPr>
          <w:rFonts w:ascii="TimesNewRomanPSMT" w:hAnsi="TimesNewRomanPSMT" w:cs="TimesNewRomanPSMT"/>
          <w:sz w:val="24"/>
          <w:szCs w:val="24"/>
        </w:rPr>
        <w:t>Gopalancase</w:t>
      </w:r>
      <w:proofErr w:type="spellEnd"/>
      <w:r w:rsidRPr="00053011">
        <w:rPr>
          <w:rFonts w:ascii="TimesNewRomanPSMT" w:hAnsi="TimesNewRomanPSMT" w:cs="TimesNewRomanPSMT"/>
          <w:sz w:val="24"/>
          <w:szCs w:val="24"/>
        </w:rPr>
        <w:t xml:space="preserve"> was valid from 1950-1978 and Article 21 was/could be initiated against the executive only.</w:t>
      </w: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p>
    <w:p w:rsidR="00053011" w:rsidRDefault="00053011" w:rsidP="00053011">
      <w:pPr>
        <w:autoSpaceDE w:val="0"/>
        <w:autoSpaceDN w:val="0"/>
        <w:adjustRightInd w:val="0"/>
        <w:spacing w:after="0" w:line="240" w:lineRule="auto"/>
        <w:rPr>
          <w:rFonts w:ascii="TimesNewRomanPSMT" w:hAnsi="TimesNewRomanPSMT" w:cs="TimesNewRomanPSMT"/>
          <w:sz w:val="24"/>
          <w:szCs w:val="24"/>
        </w:rPr>
      </w:pPr>
    </w:p>
    <w:p w:rsidR="00053011" w:rsidRDefault="00053011" w:rsidP="000B79C1">
      <w:pPr>
        <w:autoSpaceDE w:val="0"/>
        <w:autoSpaceDN w:val="0"/>
        <w:adjustRightInd w:val="0"/>
        <w:spacing w:after="0" w:line="240" w:lineRule="auto"/>
        <w:rPr>
          <w:rFonts w:ascii="TimesNewRomanPSMT" w:hAnsi="TimesNewRomanPSMT" w:cs="TimesNewRomanPSMT"/>
          <w:sz w:val="24"/>
          <w:szCs w:val="24"/>
        </w:rPr>
      </w:pPr>
      <w:proofErr w:type="spellStart"/>
      <w:r w:rsidRPr="00053011">
        <w:rPr>
          <w:rFonts w:ascii="TimesNewRomanPS-BoldItalicMT" w:hAnsi="TimesNewRomanPS-BoldItalicMT" w:cs="TimesNewRomanPS-BoldItalicMT"/>
          <w:b/>
          <w:bCs/>
          <w:sz w:val="24"/>
          <w:szCs w:val="24"/>
        </w:rPr>
        <w:t>Khorak</w:t>
      </w:r>
      <w:proofErr w:type="spellEnd"/>
      <w:r w:rsidRPr="00053011">
        <w:rPr>
          <w:rFonts w:ascii="TimesNewRomanPS-BoldItalicMT" w:hAnsi="TimesNewRomanPS-BoldItalicMT" w:cs="TimesNewRomanPS-BoldItalicMT"/>
          <w:b/>
          <w:bCs/>
          <w:sz w:val="24"/>
          <w:szCs w:val="24"/>
        </w:rPr>
        <w:t xml:space="preserve"> Singh v. State of UP</w:t>
      </w:r>
      <w:r>
        <w:rPr>
          <w:rFonts w:ascii="TimesNewRomanPSMT" w:hAnsi="TimesNewRomanPSMT" w:cs="TimesNewRomanPSMT"/>
          <w:sz w:val="24"/>
          <w:szCs w:val="24"/>
        </w:rPr>
        <w:t xml:space="preserve"> -</w:t>
      </w:r>
      <w:r w:rsidR="000B79C1">
        <w:rPr>
          <w:rFonts w:ascii="TimesNewRomanPSMT" w:hAnsi="TimesNewRomanPSMT" w:cs="TimesNewRomanPSMT"/>
          <w:sz w:val="24"/>
          <w:szCs w:val="24"/>
        </w:rPr>
        <w:t xml:space="preserve"> The Supreme Court said that the procedure was just, fair or reasonable or according to natural justice was not the concern of Article 21.</w:t>
      </w:r>
    </w:p>
    <w:p w:rsidR="00053011" w:rsidRPr="00053011" w:rsidRDefault="00053011" w:rsidP="00053011">
      <w:pPr>
        <w:autoSpaceDE w:val="0"/>
        <w:autoSpaceDN w:val="0"/>
        <w:adjustRightInd w:val="0"/>
        <w:spacing w:after="0" w:line="240" w:lineRule="auto"/>
        <w:rPr>
          <w:rFonts w:ascii="TimesNewRomanPSMT" w:hAnsi="TimesNewRomanPSMT" w:cs="TimesNewRomanPSMT"/>
          <w:sz w:val="24"/>
          <w:szCs w:val="24"/>
        </w:rPr>
      </w:pPr>
    </w:p>
    <w:p w:rsidR="00053011" w:rsidRPr="00F429BC" w:rsidRDefault="00E92A5B" w:rsidP="00F429BC">
      <w:pPr>
        <w:autoSpaceDE w:val="0"/>
        <w:autoSpaceDN w:val="0"/>
        <w:adjustRightInd w:val="0"/>
        <w:spacing w:after="0" w:line="240" w:lineRule="auto"/>
        <w:rPr>
          <w:rFonts w:ascii="TimesNewRomanPSMT" w:hAnsi="TimesNewRomanPSMT" w:cs="TimesNewRomanPSMT"/>
          <w:sz w:val="24"/>
          <w:szCs w:val="24"/>
        </w:rPr>
      </w:pPr>
      <w:r w:rsidRPr="00E92A5B">
        <w:rPr>
          <w:rFonts w:ascii="TimesNewRomanPS-ItalicMT" w:hAnsi="TimesNewRomanPS-ItalicMT" w:cs="TimesNewRomanPS-ItalicMT"/>
          <w:b/>
          <w:bCs/>
          <w:sz w:val="24"/>
          <w:szCs w:val="24"/>
        </w:rPr>
        <w:t>Maneka Gandhi v. Union of India</w:t>
      </w:r>
      <w:r w:rsidR="00F429BC">
        <w:rPr>
          <w:rFonts w:ascii="TimesNewRomanPSMT" w:hAnsi="TimesNewRomanPSMT" w:cs="TimesNewRomanPSMT"/>
          <w:b/>
          <w:bCs/>
          <w:sz w:val="24"/>
          <w:szCs w:val="24"/>
        </w:rPr>
        <w:t xml:space="preserve"> - </w:t>
      </w:r>
      <w:r w:rsidR="00F429BC">
        <w:rPr>
          <w:rFonts w:ascii="TimesNewRomanPSMT" w:hAnsi="TimesNewRomanPSMT" w:cs="TimesNewRomanPSMT"/>
          <w:sz w:val="24"/>
          <w:szCs w:val="24"/>
        </w:rPr>
        <w:t xml:space="preserve">It rejected the Doctrine of Exclusivity and set out the Golden Triangle Rule. The Court established a relationship between Article 14, 19 and 21. The Supreme Court in this case reiterated the proposition that the fundamental rights under the constitution of India are not mutually exclusive but are interrelated. </w:t>
      </w:r>
      <w:r w:rsidR="00F429BC" w:rsidRPr="00F429BC">
        <w:rPr>
          <w:rFonts w:ascii="TimesNewRomanPSMT" w:hAnsi="TimesNewRomanPSMT" w:cs="TimesNewRomanPSMT"/>
          <w:sz w:val="24"/>
          <w:szCs w:val="24"/>
        </w:rPr>
        <w:t>fundamental rights</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should be interpreted in such a manner so as to expand its reach and ambit rather</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than to concentrate its meaning and content by judicial construction. Article 21 provides that no person</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shall be deprived of his life or personal liberty except in accordance with procedure established by law</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but that does not mean that a mere semblance of procedure provided by law will satisfy the Article , the</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procedure should be just , fair and reasonable. The principles of natural justice are implicit in</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Article 21</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and hence the statutory law must not condemn anyone unheard. A reasonable opportunity of</w:t>
      </w:r>
      <w:r w:rsidR="00F429BC">
        <w:rPr>
          <w:rFonts w:ascii="TimesNewRomanPSMT" w:hAnsi="TimesNewRomanPSMT" w:cs="TimesNewRomanPSMT"/>
          <w:sz w:val="24"/>
          <w:szCs w:val="24"/>
        </w:rPr>
        <w:t xml:space="preserve"> </w:t>
      </w:r>
      <w:proofErr w:type="spellStart"/>
      <w:r w:rsidR="00F429BC" w:rsidRPr="00F429BC">
        <w:rPr>
          <w:rFonts w:ascii="TimesNewRomanPSMT" w:hAnsi="TimesNewRomanPSMT" w:cs="TimesNewRomanPSMT"/>
          <w:sz w:val="24"/>
          <w:szCs w:val="24"/>
        </w:rPr>
        <w:t>defense</w:t>
      </w:r>
      <w:proofErr w:type="spellEnd"/>
      <w:r w:rsidR="00F429BC" w:rsidRPr="00F429BC">
        <w:rPr>
          <w:rFonts w:ascii="TimesNewRomanPSMT" w:hAnsi="TimesNewRomanPSMT" w:cs="TimesNewRomanPSMT"/>
          <w:sz w:val="24"/>
          <w:szCs w:val="24"/>
        </w:rPr>
        <w:t xml:space="preserve"> or</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hearing should be given to the person before affecting him, and in the absence of which the</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law will be</w:t>
      </w:r>
      <w:r w:rsidR="00F429BC">
        <w:rPr>
          <w:rFonts w:ascii="TimesNewRomanPSMT" w:hAnsi="TimesNewRomanPSMT" w:cs="TimesNewRomanPSMT"/>
          <w:sz w:val="24"/>
          <w:szCs w:val="24"/>
        </w:rPr>
        <w:t xml:space="preserve"> </w:t>
      </w:r>
      <w:r w:rsidR="00F429BC" w:rsidRPr="00F429BC">
        <w:rPr>
          <w:rFonts w:ascii="TimesNewRomanPSMT" w:hAnsi="TimesNewRomanPSMT" w:cs="TimesNewRomanPSMT"/>
          <w:sz w:val="24"/>
          <w:szCs w:val="24"/>
        </w:rPr>
        <w:t>an arbitrary one.</w:t>
      </w:r>
    </w:p>
    <w:p w:rsidR="00053011" w:rsidRPr="00053011" w:rsidRDefault="00053011" w:rsidP="00053011">
      <w:pPr>
        <w:autoSpaceDE w:val="0"/>
        <w:autoSpaceDN w:val="0"/>
        <w:adjustRightInd w:val="0"/>
        <w:spacing w:after="0" w:line="240" w:lineRule="auto"/>
        <w:rPr>
          <w:rFonts w:ascii="TimesNewRomanPS-BoldMT" w:hAnsi="TimesNewRomanPS-BoldMT" w:cs="TimesNewRomanPS-BoldMT"/>
          <w:sz w:val="24"/>
          <w:szCs w:val="24"/>
        </w:rPr>
      </w:pPr>
    </w:p>
    <w:p w:rsidR="00585708" w:rsidRDefault="00F429BC" w:rsidP="00F429B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One of the significant interpretation in this case is the discovery of inter connections between Article 14, 19 and 21. Thus a law which prescribes a procedure for depriving a person of “personal liberty” has to </w:t>
      </w:r>
      <w:proofErr w:type="spellStart"/>
      <w:r>
        <w:rPr>
          <w:rFonts w:ascii="TimesNewRomanPSMT" w:hAnsi="TimesNewRomanPSMT" w:cs="TimesNewRomanPSMT"/>
          <w:sz w:val="24"/>
          <w:szCs w:val="24"/>
        </w:rPr>
        <w:t>fulfill</w:t>
      </w:r>
      <w:proofErr w:type="spellEnd"/>
      <w:r>
        <w:rPr>
          <w:rFonts w:ascii="TimesNewRomanPSMT" w:hAnsi="TimesNewRomanPSMT" w:cs="TimesNewRomanPSMT"/>
          <w:sz w:val="24"/>
          <w:szCs w:val="24"/>
        </w:rPr>
        <w:t xml:space="preserve"> the requirements of Article 14 and 19 also. Moreover the ‘procedure established by law’ as required under Article 21 must satisfy the test of reasonableness in order to conform with Article 14.</w:t>
      </w:r>
    </w:p>
    <w:p w:rsidR="00F429BC" w:rsidRDefault="00F429BC" w:rsidP="00F429BC">
      <w:pPr>
        <w:autoSpaceDE w:val="0"/>
        <w:autoSpaceDN w:val="0"/>
        <w:adjustRightInd w:val="0"/>
        <w:spacing w:after="0" w:line="240" w:lineRule="auto"/>
        <w:rPr>
          <w:rFonts w:ascii="TimesNewRomanPSMT" w:hAnsi="TimesNewRomanPSMT" w:cs="TimesNewRomanPSMT"/>
          <w:sz w:val="24"/>
          <w:szCs w:val="24"/>
        </w:rPr>
      </w:pPr>
    </w:p>
    <w:p w:rsidR="00F429BC" w:rsidRDefault="000F1BA2" w:rsidP="00F429B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Ri</w:t>
      </w:r>
      <w:r w:rsidR="00F429BC">
        <w:rPr>
          <w:rFonts w:ascii="TimesNewRomanPSMT" w:hAnsi="TimesNewRomanPSMT" w:cs="TimesNewRomanPSMT"/>
          <w:sz w:val="24"/>
          <w:szCs w:val="24"/>
        </w:rPr>
        <w:t>ght to travel and go outside the country is included in the right to</w:t>
      </w:r>
      <w:r>
        <w:rPr>
          <w:rFonts w:ascii="TimesNewRomanPSMT" w:hAnsi="TimesNewRomanPSMT" w:cs="TimesNewRomanPSMT"/>
          <w:sz w:val="24"/>
          <w:szCs w:val="24"/>
        </w:rPr>
        <w:t xml:space="preserve"> </w:t>
      </w:r>
      <w:r w:rsidR="00F429BC">
        <w:rPr>
          <w:rFonts w:ascii="TimesNewRomanPSMT" w:hAnsi="TimesNewRomanPSMT" w:cs="TimesNewRomanPSMT"/>
          <w:sz w:val="24"/>
          <w:szCs w:val="24"/>
        </w:rPr>
        <w:t>personal liberty guaranteed under Article 21.</w:t>
      </w:r>
    </w:p>
    <w:p w:rsidR="000F1BA2" w:rsidRDefault="000F1BA2" w:rsidP="00F429BC">
      <w:pPr>
        <w:autoSpaceDE w:val="0"/>
        <w:autoSpaceDN w:val="0"/>
        <w:adjustRightInd w:val="0"/>
        <w:spacing w:after="0" w:line="240" w:lineRule="auto"/>
        <w:rPr>
          <w:rFonts w:ascii="TimesNewRomanPSMT" w:hAnsi="TimesNewRomanPSMT" w:cs="TimesNewRomanPSMT"/>
          <w:sz w:val="24"/>
          <w:szCs w:val="24"/>
        </w:rPr>
      </w:pPr>
    </w:p>
    <w:p w:rsidR="000F1BA2" w:rsidRDefault="000F1BA2" w:rsidP="00F429BC">
      <w:pPr>
        <w:autoSpaceDE w:val="0"/>
        <w:autoSpaceDN w:val="0"/>
        <w:adjustRightInd w:val="0"/>
        <w:spacing w:after="0" w:line="240" w:lineRule="auto"/>
        <w:rPr>
          <w:rFonts w:ascii="TimesNewRomanPS-BoldMT" w:hAnsi="TimesNewRomanPS-BoldMT" w:cs="TimesNewRomanPS-BoldMT"/>
          <w:sz w:val="24"/>
          <w:szCs w:val="24"/>
        </w:rPr>
      </w:pPr>
      <w:proofErr w:type="spellStart"/>
      <w:r>
        <w:rPr>
          <w:rFonts w:ascii="TimesNewRomanPS-BoldMT" w:hAnsi="TimesNewRomanPS-BoldMT" w:cs="TimesNewRomanPS-BoldMT"/>
          <w:b/>
          <w:bCs/>
          <w:sz w:val="24"/>
          <w:szCs w:val="24"/>
        </w:rPr>
        <w:t>Mithu</w:t>
      </w:r>
      <w:proofErr w:type="spellEnd"/>
      <w:r>
        <w:rPr>
          <w:rFonts w:ascii="TimesNewRomanPS-BoldMT" w:hAnsi="TimesNewRomanPS-BoldMT" w:cs="TimesNewRomanPS-BoldMT"/>
          <w:b/>
          <w:bCs/>
          <w:sz w:val="24"/>
          <w:szCs w:val="24"/>
        </w:rPr>
        <w:t xml:space="preserve"> vs State of Punjab - </w:t>
      </w:r>
      <w:r w:rsidR="00B316F8" w:rsidRPr="00B316F8">
        <w:rPr>
          <w:rFonts w:ascii="TimesNewRomanPS-BoldMT" w:hAnsi="TimesNewRomanPS-BoldMT" w:cs="TimesNewRomanPS-BoldMT"/>
          <w:sz w:val="24"/>
          <w:szCs w:val="24"/>
        </w:rPr>
        <w:t xml:space="preserve">mandatory death sentence to </w:t>
      </w:r>
      <w:proofErr w:type="spellStart"/>
      <w:r w:rsidR="00B316F8" w:rsidRPr="00B316F8">
        <w:rPr>
          <w:rFonts w:ascii="TimesNewRomanPS-BoldMT" w:hAnsi="TimesNewRomanPS-BoldMT" w:cs="TimesNewRomanPS-BoldMT"/>
          <w:sz w:val="24"/>
          <w:szCs w:val="24"/>
        </w:rPr>
        <w:t>peropsns</w:t>
      </w:r>
      <w:proofErr w:type="spellEnd"/>
      <w:r w:rsidR="00B316F8" w:rsidRPr="00B316F8">
        <w:rPr>
          <w:rFonts w:ascii="TimesNewRomanPS-BoldMT" w:hAnsi="TimesNewRomanPS-BoldMT" w:cs="TimesNewRomanPS-BoldMT"/>
          <w:sz w:val="24"/>
          <w:szCs w:val="24"/>
        </w:rPr>
        <w:t xml:space="preserve"> convicted under 303 was invalidated.</w:t>
      </w:r>
    </w:p>
    <w:p w:rsidR="00B316F8" w:rsidRPr="005F41E6" w:rsidRDefault="00B316F8" w:rsidP="00B316F8">
      <w:pPr>
        <w:numPr>
          <w:ilvl w:val="0"/>
          <w:numId w:val="1"/>
        </w:numPr>
        <w:spacing w:after="0" w:line="240" w:lineRule="auto"/>
        <w:jc w:val="both"/>
        <w:rPr>
          <w:rFonts w:ascii="Times New Roman" w:eastAsia="Times New Roman" w:hAnsi="Times New Roman" w:cs="Times New Roman"/>
          <w:b/>
          <w:color w:val="000000"/>
          <w:sz w:val="24"/>
          <w:szCs w:val="24"/>
        </w:rPr>
      </w:pPr>
      <w:r w:rsidRPr="005F41E6">
        <w:rPr>
          <w:rFonts w:ascii="Times New Roman" w:eastAsia="Times New Roman" w:hAnsi="Times New Roman" w:cs="Times New Roman"/>
          <w:b/>
          <w:color w:val="000000"/>
          <w:sz w:val="24"/>
          <w:szCs w:val="24"/>
        </w:rPr>
        <w:lastRenderedPageBreak/>
        <w:t>Society for Unaided Private Schools vs Union of India (2012)</w:t>
      </w:r>
      <w:r w:rsidRPr="005F41E6">
        <w:rPr>
          <w:rFonts w:ascii="Times New Roman" w:eastAsia="Times New Roman" w:hAnsi="Times New Roman" w:cs="Times New Roman"/>
          <w:color w:val="000000"/>
          <w:sz w:val="24"/>
          <w:szCs w:val="24"/>
        </w:rPr>
        <w:t xml:space="preserve"> : </w:t>
      </w:r>
      <w:r w:rsidRPr="005F41E6">
        <w:rPr>
          <w:rFonts w:ascii="Times New Roman" w:eastAsia="Times New Roman" w:hAnsi="Times New Roman" w:cs="Times New Roman"/>
          <w:b/>
          <w:color w:val="000000"/>
          <w:sz w:val="24"/>
          <w:szCs w:val="24"/>
        </w:rPr>
        <w:t>25% reservation for backward classes in private schools</w:t>
      </w:r>
    </w:p>
    <w:p w:rsidR="00B316F8" w:rsidRPr="005F41E6" w:rsidRDefault="00B316F8" w:rsidP="00B316F8">
      <w:pPr>
        <w:spacing w:after="0"/>
        <w:ind w:left="720"/>
        <w:jc w:val="both"/>
        <w:rPr>
          <w:rFonts w:ascii="Times New Roman" w:eastAsia="Times New Roman" w:hAnsi="Times New Roman" w:cs="Times New Roman"/>
          <w:color w:val="000000"/>
          <w:sz w:val="24"/>
          <w:szCs w:val="24"/>
        </w:rPr>
      </w:pPr>
      <w:r w:rsidRPr="005F41E6">
        <w:rPr>
          <w:rFonts w:ascii="Times New Roman" w:eastAsia="Times New Roman" w:hAnsi="Times New Roman" w:cs="Times New Roman"/>
          <w:color w:val="000000"/>
          <w:sz w:val="24"/>
          <w:szCs w:val="24"/>
        </w:rPr>
        <w:t xml:space="preserve">Right to education for children – imposition of rules on private schools as well – 6-14 years free education – 25% quota for backward class children – violation  19(1)(g) – It is not only the state but of all citizens to aid backward classes but Minority school do not come under this because 30(1) protects this group.  ‘As the state may by law determine’ – when a private educational institute goes beyond charity to commercial purpose it will not be protected under art. 19. </w:t>
      </w:r>
    </w:p>
    <w:p w:rsidR="00B316F8" w:rsidRPr="00F429BC" w:rsidRDefault="00B316F8" w:rsidP="00F429BC">
      <w:pPr>
        <w:autoSpaceDE w:val="0"/>
        <w:autoSpaceDN w:val="0"/>
        <w:adjustRightInd w:val="0"/>
        <w:spacing w:after="0" w:line="240" w:lineRule="auto"/>
        <w:rPr>
          <w:rFonts w:ascii="TimesNewRomanPSMT" w:hAnsi="TimesNewRomanPSMT" w:cs="TimesNewRomanPSMT"/>
          <w:sz w:val="24"/>
          <w:szCs w:val="24"/>
        </w:rPr>
      </w:pPr>
    </w:p>
    <w:p w:rsidR="00585708" w:rsidRDefault="00585708" w:rsidP="008E2853">
      <w:pPr>
        <w:autoSpaceDE w:val="0"/>
        <w:autoSpaceDN w:val="0"/>
        <w:adjustRightInd w:val="0"/>
        <w:spacing w:after="0" w:line="240" w:lineRule="auto"/>
        <w:rPr>
          <w:rFonts w:ascii="TimesNewRomanPS-BoldMT" w:hAnsi="TimesNewRomanPS-BoldMT" w:cs="TimesNewRomanPS-BoldMT"/>
          <w:b/>
          <w:bCs/>
          <w:sz w:val="24"/>
          <w:szCs w:val="24"/>
        </w:rPr>
      </w:pPr>
    </w:p>
    <w:p w:rsidR="008E2853" w:rsidRPr="00A27505" w:rsidRDefault="008E2853" w:rsidP="008E2853">
      <w:pPr>
        <w:autoSpaceDE w:val="0"/>
        <w:autoSpaceDN w:val="0"/>
        <w:adjustRightInd w:val="0"/>
        <w:spacing w:after="0" w:line="240" w:lineRule="auto"/>
        <w:rPr>
          <w:rFonts w:ascii="TimesNewRomanPS-BoldMT" w:hAnsi="TimesNewRomanPS-BoldMT" w:cs="TimesNewRomanPS-BoldMT"/>
          <w:b/>
          <w:bCs/>
          <w:sz w:val="32"/>
          <w:szCs w:val="32"/>
          <w:u w:val="single"/>
        </w:rPr>
      </w:pPr>
      <w:r w:rsidRPr="00A27505">
        <w:rPr>
          <w:rFonts w:ascii="TimesNewRomanPS-BoldMT" w:hAnsi="TimesNewRomanPS-BoldMT" w:cs="TimesNewRomanPS-BoldMT"/>
          <w:b/>
          <w:bCs/>
          <w:sz w:val="32"/>
          <w:szCs w:val="32"/>
          <w:u w:val="single"/>
        </w:rPr>
        <w:t>Article 22</w:t>
      </w:r>
    </w:p>
    <w:p w:rsidR="00E372BD" w:rsidRDefault="00E372BD" w:rsidP="008E2853">
      <w:pPr>
        <w:autoSpaceDE w:val="0"/>
        <w:autoSpaceDN w:val="0"/>
        <w:adjustRightInd w:val="0"/>
        <w:spacing w:after="0" w:line="240" w:lineRule="auto"/>
        <w:rPr>
          <w:rFonts w:ascii="TimesNewRomanPS-BoldMT" w:hAnsi="TimesNewRomanPS-BoldMT" w:cs="TimesNewRomanPS-BoldMT"/>
          <w:b/>
          <w:bCs/>
          <w:sz w:val="24"/>
          <w:szCs w:val="24"/>
        </w:rPr>
      </w:pPr>
    </w:p>
    <w:p w:rsidR="00E372BD" w:rsidRDefault="00E372BD" w:rsidP="008E2853">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DK </w:t>
      </w:r>
      <w:proofErr w:type="spellStart"/>
      <w:r>
        <w:rPr>
          <w:rFonts w:ascii="TimesNewRomanPS-BoldMT" w:hAnsi="TimesNewRomanPS-BoldMT" w:cs="TimesNewRomanPS-BoldMT"/>
          <w:b/>
          <w:bCs/>
          <w:sz w:val="24"/>
          <w:szCs w:val="24"/>
        </w:rPr>
        <w:t>Basu</w:t>
      </w:r>
      <w:proofErr w:type="spellEnd"/>
      <w:r>
        <w:rPr>
          <w:rFonts w:ascii="TimesNewRomanPS-BoldMT" w:hAnsi="TimesNewRomanPS-BoldMT" w:cs="TimesNewRomanPS-BoldMT"/>
          <w:b/>
          <w:bCs/>
          <w:sz w:val="24"/>
          <w:szCs w:val="24"/>
        </w:rPr>
        <w:t xml:space="preserve"> case – Same as CrPC</w:t>
      </w:r>
    </w:p>
    <w:p w:rsidR="008E2853" w:rsidRDefault="008E2853" w:rsidP="008E2853">
      <w:pPr>
        <w:autoSpaceDE w:val="0"/>
        <w:autoSpaceDN w:val="0"/>
        <w:adjustRightInd w:val="0"/>
        <w:spacing w:after="0" w:line="240" w:lineRule="auto"/>
        <w:rPr>
          <w:rFonts w:ascii="TimesNewRomanPSMT" w:hAnsi="TimesNewRomanPSMT" w:cs="TimesNewRomanPSMT"/>
          <w:b/>
          <w:bCs/>
          <w:sz w:val="24"/>
          <w:szCs w:val="24"/>
        </w:rPr>
      </w:pPr>
    </w:p>
    <w:p w:rsidR="00E532AB" w:rsidRDefault="00E532AB" w:rsidP="00E532AB">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AK Roy vs Union of India –</w:t>
      </w: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Upheld the constitutional validity of National Security Act.</w:t>
      </w:r>
    </w:p>
    <w:p w:rsidR="00E372BD" w:rsidRDefault="00E372BD" w:rsidP="00E532AB">
      <w:pPr>
        <w:autoSpaceDE w:val="0"/>
        <w:autoSpaceDN w:val="0"/>
        <w:adjustRightInd w:val="0"/>
        <w:spacing w:after="0" w:line="240" w:lineRule="auto"/>
        <w:rPr>
          <w:rFonts w:ascii="TimesNewRomanPSMT" w:hAnsi="TimesNewRomanPSMT" w:cs="TimesNewRomanPSMT"/>
          <w:sz w:val="24"/>
          <w:szCs w:val="24"/>
        </w:rPr>
      </w:pP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Court observed that the procedure of advisory boards in which the detenu is</w:t>
      </w: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denied the right of legal representation before the Board is not unjust or</w:t>
      </w: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unreasonable. It also observed that the detaining authority of the Government</w:t>
      </w: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also does not have the facility of appearing before the Board with the aid of a</w:t>
      </w: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lawyer.</w:t>
      </w:r>
    </w:p>
    <w:p w:rsidR="00E372BD" w:rsidRDefault="00E372BD" w:rsidP="00E532AB">
      <w:pPr>
        <w:autoSpaceDE w:val="0"/>
        <w:autoSpaceDN w:val="0"/>
        <w:adjustRightInd w:val="0"/>
        <w:spacing w:after="0" w:line="240" w:lineRule="auto"/>
        <w:rPr>
          <w:rFonts w:ascii="TimesNewRomanPSMT" w:hAnsi="TimesNewRomanPSMT" w:cs="TimesNewRomanPSMT"/>
          <w:sz w:val="24"/>
          <w:szCs w:val="24"/>
        </w:rPr>
      </w:pP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It also held that the detenu has no right to cross-examine but has right to</w:t>
      </w: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present his own evidence in rebuttal of the allegations made against him.</w:t>
      </w:r>
    </w:p>
    <w:p w:rsidR="00E372BD" w:rsidRDefault="00E372BD" w:rsidP="00E532AB">
      <w:pPr>
        <w:autoSpaceDE w:val="0"/>
        <w:autoSpaceDN w:val="0"/>
        <w:adjustRightInd w:val="0"/>
        <w:spacing w:after="0" w:line="240" w:lineRule="auto"/>
        <w:rPr>
          <w:rFonts w:ascii="TimesNewRomanPSMT" w:hAnsi="TimesNewRomanPSMT" w:cs="TimesNewRomanPSMT"/>
          <w:sz w:val="24"/>
          <w:szCs w:val="24"/>
        </w:rPr>
      </w:pP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Symbol" w:hAnsi="Symbol" w:cs="Symbol"/>
          <w:sz w:val="24"/>
          <w:szCs w:val="24"/>
        </w:rPr>
        <w:t></w:t>
      </w:r>
      <w:r>
        <w:rPr>
          <w:rFonts w:ascii="Symbol" w:hAnsi="Symbol" w:cs="Symbol"/>
          <w:sz w:val="24"/>
          <w:szCs w:val="24"/>
        </w:rPr>
        <w:t></w:t>
      </w:r>
      <w:r>
        <w:rPr>
          <w:rFonts w:ascii="TimesNewRomanPSMT" w:hAnsi="TimesNewRomanPSMT" w:cs="TimesNewRomanPSMT"/>
          <w:sz w:val="24"/>
          <w:szCs w:val="24"/>
        </w:rPr>
        <w:t>The Court also said that the laws of preventive detention couldn’t introduce</w:t>
      </w:r>
    </w:p>
    <w:p w:rsidR="00E372BD"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procedural measures of a punitive kind. The court in this regard decided that:</w:t>
      </w:r>
    </w:p>
    <w:p w:rsidR="00E532AB" w:rsidRDefault="00E532AB" w:rsidP="00E372BD">
      <w:pPr>
        <w:autoSpaceDE w:val="0"/>
        <w:autoSpaceDN w:val="0"/>
        <w:adjustRightInd w:val="0"/>
        <w:spacing w:after="0" w:line="240" w:lineRule="auto"/>
        <w:ind w:firstLine="720"/>
        <w:rPr>
          <w:rFonts w:ascii="TimesNewRomanPSMT" w:hAnsi="TimesNewRomanPSMT" w:cs="TimesNewRomanPSMT"/>
          <w:sz w:val="24"/>
          <w:szCs w:val="24"/>
        </w:rPr>
      </w:pPr>
      <w:r>
        <w:rPr>
          <w:rFonts w:ascii="TimesNewRomanPSMT" w:hAnsi="TimesNewRomanPSMT" w:cs="TimesNewRomanPSMT"/>
          <w:sz w:val="24"/>
          <w:szCs w:val="24"/>
        </w:rPr>
        <w:t>1) immediately after detention, his kin must be informed in writing</w:t>
      </w: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about his detention and place of detention.</w:t>
      </w:r>
    </w:p>
    <w:p w:rsidR="00E532AB" w:rsidRDefault="00E532AB" w:rsidP="00E372BD">
      <w:pPr>
        <w:autoSpaceDE w:val="0"/>
        <w:autoSpaceDN w:val="0"/>
        <w:adjustRightInd w:val="0"/>
        <w:spacing w:after="0" w:line="240" w:lineRule="auto"/>
        <w:ind w:firstLine="720"/>
        <w:rPr>
          <w:rFonts w:ascii="TimesNewRomanPSMT" w:hAnsi="TimesNewRomanPSMT" w:cs="TimesNewRomanPSMT"/>
          <w:sz w:val="24"/>
          <w:szCs w:val="24"/>
        </w:rPr>
      </w:pPr>
      <w:r>
        <w:rPr>
          <w:rFonts w:ascii="TimesNewRomanPSMT" w:hAnsi="TimesNewRomanPSMT" w:cs="TimesNewRomanPSMT"/>
          <w:sz w:val="24"/>
          <w:szCs w:val="24"/>
        </w:rPr>
        <w:t>2) the detenu must be detained in a place where he habitually resides</w:t>
      </w: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unless exception circumstances require detention at another place.</w:t>
      </w:r>
    </w:p>
    <w:p w:rsidR="00E532AB" w:rsidRDefault="00E532AB" w:rsidP="00E372BD">
      <w:pPr>
        <w:autoSpaceDE w:val="0"/>
        <w:autoSpaceDN w:val="0"/>
        <w:adjustRightInd w:val="0"/>
        <w:spacing w:after="0" w:line="240" w:lineRule="auto"/>
        <w:ind w:firstLine="720"/>
        <w:rPr>
          <w:rFonts w:ascii="TimesNewRomanPSMT" w:hAnsi="TimesNewRomanPSMT" w:cs="TimesNewRomanPSMT"/>
          <w:sz w:val="24"/>
          <w:szCs w:val="24"/>
        </w:rPr>
      </w:pPr>
      <w:r>
        <w:rPr>
          <w:rFonts w:ascii="TimesNewRomanPSMT" w:hAnsi="TimesNewRomanPSMT" w:cs="TimesNewRomanPSMT"/>
          <w:sz w:val="24"/>
          <w:szCs w:val="24"/>
        </w:rPr>
        <w:t>3) detenu is entitled to book and writing materials, his food and visits</w:t>
      </w:r>
    </w:p>
    <w:p w:rsidR="00E532AB" w:rsidRDefault="00E532AB" w:rsidP="00E532A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from friends and relatives</w:t>
      </w:r>
    </w:p>
    <w:p w:rsidR="008E2853" w:rsidRDefault="00E532AB" w:rsidP="00E372BD">
      <w:pPr>
        <w:autoSpaceDE w:val="0"/>
        <w:autoSpaceDN w:val="0"/>
        <w:adjustRightInd w:val="0"/>
        <w:spacing w:after="0" w:line="240" w:lineRule="auto"/>
        <w:ind w:firstLine="720"/>
        <w:rPr>
          <w:rFonts w:ascii="TimesNewRomanPSMT" w:hAnsi="TimesNewRomanPSMT" w:cs="TimesNewRomanPSMT"/>
          <w:sz w:val="24"/>
          <w:szCs w:val="24"/>
        </w:rPr>
      </w:pPr>
      <w:r>
        <w:rPr>
          <w:rFonts w:ascii="TimesNewRomanPSMT" w:hAnsi="TimesNewRomanPSMT" w:cs="TimesNewRomanPSMT"/>
          <w:sz w:val="24"/>
          <w:szCs w:val="24"/>
        </w:rPr>
        <w:t>4) he must be kept separate from those convicted</w:t>
      </w:r>
      <w:r w:rsidR="00E372BD">
        <w:rPr>
          <w:rFonts w:ascii="TimesNewRomanPSMT" w:hAnsi="TimesNewRomanPSMT" w:cs="TimesNewRomanPSMT"/>
          <w:sz w:val="24"/>
          <w:szCs w:val="24"/>
        </w:rPr>
        <w:br/>
      </w:r>
    </w:p>
    <w:p w:rsidR="00E372BD" w:rsidRDefault="00E372BD" w:rsidP="00E372BD">
      <w:pPr>
        <w:autoSpaceDE w:val="0"/>
        <w:autoSpaceDN w:val="0"/>
        <w:adjustRightInd w:val="0"/>
        <w:spacing w:after="0" w:line="240" w:lineRule="auto"/>
        <w:rPr>
          <w:rFonts w:ascii="TimesNewRomanPS-BoldMT" w:hAnsi="TimesNewRomanPS-BoldMT" w:cs="TimesNewRomanPS-BoldMT"/>
          <w:b/>
          <w:bCs/>
          <w:sz w:val="24"/>
          <w:szCs w:val="24"/>
        </w:rPr>
      </w:pPr>
    </w:p>
    <w:p w:rsidR="00E372BD" w:rsidRPr="00A27505" w:rsidRDefault="00E372BD" w:rsidP="00E372BD">
      <w:pPr>
        <w:autoSpaceDE w:val="0"/>
        <w:autoSpaceDN w:val="0"/>
        <w:adjustRightInd w:val="0"/>
        <w:spacing w:after="0" w:line="240" w:lineRule="auto"/>
        <w:rPr>
          <w:rFonts w:ascii="TimesNewRomanPS-BoldMT" w:hAnsi="TimesNewRomanPS-BoldMT" w:cs="TimesNewRomanPS-BoldMT"/>
          <w:b/>
          <w:bCs/>
          <w:sz w:val="32"/>
          <w:szCs w:val="32"/>
          <w:u w:val="single"/>
        </w:rPr>
      </w:pPr>
      <w:r w:rsidRPr="00A27505">
        <w:rPr>
          <w:rFonts w:ascii="TimesNewRomanPS-BoldMT" w:hAnsi="TimesNewRomanPS-BoldMT" w:cs="TimesNewRomanPS-BoldMT"/>
          <w:b/>
          <w:bCs/>
          <w:sz w:val="32"/>
          <w:szCs w:val="32"/>
          <w:u w:val="single"/>
        </w:rPr>
        <w:t>Article 25</w:t>
      </w:r>
    </w:p>
    <w:p w:rsidR="00E372BD" w:rsidRPr="008E2853" w:rsidRDefault="00E372BD" w:rsidP="00E372BD">
      <w:pPr>
        <w:autoSpaceDE w:val="0"/>
        <w:autoSpaceDN w:val="0"/>
        <w:adjustRightInd w:val="0"/>
        <w:spacing w:after="0" w:line="240" w:lineRule="auto"/>
        <w:rPr>
          <w:rFonts w:ascii="TimesNewRomanPSMT" w:hAnsi="TimesNewRomanPSMT" w:cs="TimesNewRomanPSMT"/>
          <w:b/>
          <w:bCs/>
          <w:sz w:val="24"/>
          <w:szCs w:val="24"/>
        </w:rPr>
      </w:pPr>
    </w:p>
    <w:p w:rsidR="00E372BD" w:rsidRDefault="00E372BD" w:rsidP="00E372B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Must be read along with article 26. Article 25 guarantees rights to an individual;</w:t>
      </w:r>
    </w:p>
    <w:p w:rsidR="00E372BD" w:rsidRDefault="00E372BD" w:rsidP="00E372B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article 26 guarantees such rights to an organized body of individuals like religious</w:t>
      </w:r>
    </w:p>
    <w:p w:rsidR="00E372BD" w:rsidRDefault="00E372BD" w:rsidP="00E372B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denominations. Both these protect matters of religious doctrine or belief as well as act</w:t>
      </w:r>
    </w:p>
    <w:p w:rsidR="00E372BD" w:rsidRDefault="00E372BD" w:rsidP="00E372BD">
      <w:pPr>
        <w:rPr>
          <w:rFonts w:ascii="TimesNewRomanPSMT" w:hAnsi="TimesNewRomanPSMT" w:cs="TimesNewRomanPSMT"/>
          <w:sz w:val="24"/>
          <w:szCs w:val="24"/>
        </w:rPr>
      </w:pPr>
      <w:r>
        <w:rPr>
          <w:rFonts w:ascii="TimesNewRomanPSMT" w:hAnsi="TimesNewRomanPSMT" w:cs="TimesNewRomanPSMT"/>
          <w:sz w:val="24"/>
          <w:szCs w:val="24"/>
        </w:rPr>
        <w:t>done in pursuance of religion.</w:t>
      </w:r>
    </w:p>
    <w:p w:rsidR="00E372BD" w:rsidRDefault="00E372BD" w:rsidP="00E372B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What constitutes an integral and essential part of a religion or a religious practice has to be decided by the courts with reference to the doctrine of a particular religion and include practices regarded by the community as part of its religion.</w:t>
      </w:r>
    </w:p>
    <w:p w:rsidR="00E372BD" w:rsidRDefault="00E372BD" w:rsidP="00E372BD">
      <w:pPr>
        <w:autoSpaceDE w:val="0"/>
        <w:autoSpaceDN w:val="0"/>
        <w:adjustRightInd w:val="0"/>
        <w:spacing w:after="0" w:line="240" w:lineRule="auto"/>
        <w:rPr>
          <w:rFonts w:ascii="TimesNewRomanPSMT" w:hAnsi="TimesNewRomanPSMT" w:cs="TimesNewRomanPSMT"/>
          <w:sz w:val="24"/>
          <w:szCs w:val="24"/>
        </w:rPr>
      </w:pPr>
    </w:p>
    <w:p w:rsidR="00A27505" w:rsidRDefault="00A27505" w:rsidP="00E372BD">
      <w:pPr>
        <w:autoSpaceDE w:val="0"/>
        <w:autoSpaceDN w:val="0"/>
        <w:adjustRightInd w:val="0"/>
        <w:spacing w:after="0" w:line="240" w:lineRule="auto"/>
        <w:rPr>
          <w:rFonts w:ascii="TimesNewRomanPSMT" w:hAnsi="TimesNewRomanPSMT" w:cs="TimesNewRomanPSMT"/>
          <w:b/>
          <w:bCs/>
          <w:sz w:val="24"/>
          <w:szCs w:val="24"/>
        </w:rPr>
      </w:pPr>
    </w:p>
    <w:p w:rsidR="00E372BD" w:rsidRPr="00A27505" w:rsidRDefault="00E372BD" w:rsidP="00E372BD">
      <w:pPr>
        <w:autoSpaceDE w:val="0"/>
        <w:autoSpaceDN w:val="0"/>
        <w:adjustRightInd w:val="0"/>
        <w:spacing w:after="0" w:line="240" w:lineRule="auto"/>
        <w:rPr>
          <w:rFonts w:ascii="TimesNewRomanPSMT" w:hAnsi="TimesNewRomanPSMT" w:cs="TimesNewRomanPSMT"/>
          <w:b/>
          <w:bCs/>
          <w:sz w:val="32"/>
          <w:szCs w:val="32"/>
          <w:u w:val="single"/>
        </w:rPr>
      </w:pPr>
      <w:r w:rsidRPr="00A27505">
        <w:rPr>
          <w:rFonts w:ascii="TimesNewRomanPSMT" w:hAnsi="TimesNewRomanPSMT" w:cs="TimesNewRomanPSMT"/>
          <w:b/>
          <w:bCs/>
          <w:sz w:val="32"/>
          <w:szCs w:val="32"/>
          <w:u w:val="single"/>
        </w:rPr>
        <w:lastRenderedPageBreak/>
        <w:t>Article 26</w:t>
      </w:r>
    </w:p>
    <w:p w:rsidR="00E372BD" w:rsidRPr="00E372BD" w:rsidRDefault="00E372BD" w:rsidP="00E372BD">
      <w:pPr>
        <w:autoSpaceDE w:val="0"/>
        <w:autoSpaceDN w:val="0"/>
        <w:adjustRightInd w:val="0"/>
        <w:spacing w:after="0" w:line="240" w:lineRule="auto"/>
        <w:rPr>
          <w:rFonts w:ascii="TimesNewRomanPSMT" w:hAnsi="TimesNewRomanPSMT" w:cs="TimesNewRomanPSMT"/>
          <w:b/>
          <w:bCs/>
          <w:sz w:val="24"/>
          <w:szCs w:val="24"/>
        </w:rPr>
      </w:pPr>
    </w:p>
    <w:p w:rsidR="00E372BD" w:rsidRDefault="00E372BD" w:rsidP="00E372BD">
      <w:pPr>
        <w:autoSpaceDE w:val="0"/>
        <w:autoSpaceDN w:val="0"/>
        <w:adjustRightInd w:val="0"/>
        <w:spacing w:after="0" w:line="240" w:lineRule="auto"/>
        <w:rPr>
          <w:rFonts w:ascii="TimesNewRomanPSMT" w:hAnsi="TimesNewRomanPSMT" w:cs="TimesNewRomanPSMT"/>
          <w:sz w:val="24"/>
          <w:szCs w:val="24"/>
        </w:rPr>
      </w:pPr>
      <w:r w:rsidRPr="00E372BD">
        <w:rPr>
          <w:rFonts w:ascii="TimesNewRomanPSMT" w:hAnsi="TimesNewRomanPSMT" w:cs="TimesNewRomanPSMT"/>
          <w:sz w:val="24"/>
          <w:szCs w:val="24"/>
        </w:rPr>
        <w:t>A religious denomination must satisfy three conditions:</w:t>
      </w:r>
      <w:r>
        <w:rPr>
          <w:rFonts w:ascii="TimesNewRomanPSMT" w:hAnsi="TimesNewRomanPSMT" w:cs="TimesNewRomanPSMT"/>
          <w:sz w:val="24"/>
          <w:szCs w:val="24"/>
        </w:rPr>
        <w:t xml:space="preserve"> </w:t>
      </w:r>
      <w:r w:rsidRPr="00E372BD">
        <w:rPr>
          <w:rFonts w:ascii="TimesNewRomanPSMT" w:hAnsi="TimesNewRomanPSMT" w:cs="TimesNewRomanPSMT"/>
          <w:sz w:val="24"/>
          <w:szCs w:val="24"/>
        </w:rPr>
        <w:t>common faith, common organization and designation by distinctive name.</w:t>
      </w:r>
    </w:p>
    <w:p w:rsidR="00E372BD" w:rsidRDefault="00E372BD" w:rsidP="00E372BD">
      <w:pPr>
        <w:autoSpaceDE w:val="0"/>
        <w:autoSpaceDN w:val="0"/>
        <w:adjustRightInd w:val="0"/>
        <w:spacing w:after="0" w:line="240" w:lineRule="auto"/>
        <w:rPr>
          <w:rFonts w:ascii="TimesNewRomanPSMT" w:hAnsi="TimesNewRomanPSMT" w:cs="TimesNewRomanPSMT"/>
          <w:sz w:val="24"/>
          <w:szCs w:val="24"/>
        </w:rPr>
      </w:pPr>
    </w:p>
    <w:p w:rsidR="00E372BD" w:rsidRDefault="00E372BD" w:rsidP="00E372BD">
      <w:pPr>
        <w:autoSpaceDE w:val="0"/>
        <w:autoSpaceDN w:val="0"/>
        <w:adjustRightInd w:val="0"/>
        <w:spacing w:after="0" w:line="240" w:lineRule="auto"/>
        <w:rPr>
          <w:rFonts w:ascii="TimesNewRomanPSMT" w:hAnsi="TimesNewRomanPSMT" w:cs="TimesNewRomanPSMT"/>
          <w:sz w:val="24"/>
          <w:szCs w:val="24"/>
        </w:rPr>
      </w:pPr>
      <w:r w:rsidRPr="00E372BD">
        <w:rPr>
          <w:rFonts w:ascii="TimesNewRomanPSMT" w:hAnsi="TimesNewRomanPSMT" w:cs="TimesNewRomanPSMT"/>
          <w:sz w:val="24"/>
          <w:szCs w:val="24"/>
        </w:rPr>
        <w:t xml:space="preserve">If offering of certain quantity of food as </w:t>
      </w:r>
      <w:proofErr w:type="spellStart"/>
      <w:r w:rsidRPr="00E372BD">
        <w:rPr>
          <w:rFonts w:ascii="TimesNewRomanPSMT" w:hAnsi="TimesNewRomanPSMT" w:cs="TimesNewRomanPSMT"/>
          <w:sz w:val="24"/>
          <w:szCs w:val="24"/>
        </w:rPr>
        <w:t>bhog</w:t>
      </w:r>
      <w:proofErr w:type="spellEnd"/>
      <w:r>
        <w:rPr>
          <w:rFonts w:ascii="TimesNewRomanPSMT" w:hAnsi="TimesNewRomanPSMT" w:cs="TimesNewRomanPSMT"/>
          <w:sz w:val="24"/>
          <w:szCs w:val="24"/>
        </w:rPr>
        <w:t xml:space="preserve"> </w:t>
      </w:r>
      <w:r w:rsidRPr="00E372BD">
        <w:rPr>
          <w:rFonts w:ascii="TimesNewRomanPSMT" w:hAnsi="TimesNewRomanPSMT" w:cs="TimesNewRomanPSMT"/>
          <w:sz w:val="24"/>
          <w:szCs w:val="24"/>
        </w:rPr>
        <w:t>to the deity is a well-established ritual of a religious institution, and if there is any law</w:t>
      </w:r>
      <w:r>
        <w:rPr>
          <w:rFonts w:ascii="TimesNewRomanPSMT" w:hAnsi="TimesNewRomanPSMT" w:cs="TimesNewRomanPSMT"/>
          <w:sz w:val="24"/>
          <w:szCs w:val="24"/>
        </w:rPr>
        <w:t xml:space="preserve"> </w:t>
      </w:r>
      <w:r w:rsidRPr="00E372BD">
        <w:rPr>
          <w:rFonts w:ascii="TimesNewRomanPSMT" w:hAnsi="TimesNewRomanPSMT" w:cs="TimesNewRomanPSMT"/>
          <w:sz w:val="24"/>
          <w:szCs w:val="24"/>
        </w:rPr>
        <w:t>which materially impairs the continuance of that practice, that law shall be</w:t>
      </w:r>
      <w:r>
        <w:rPr>
          <w:rFonts w:ascii="TimesNewRomanPSMT" w:hAnsi="TimesNewRomanPSMT" w:cs="TimesNewRomanPSMT"/>
          <w:sz w:val="24"/>
          <w:szCs w:val="24"/>
        </w:rPr>
        <w:t xml:space="preserve"> </w:t>
      </w:r>
      <w:r w:rsidRPr="00E372BD">
        <w:rPr>
          <w:rFonts w:ascii="TimesNewRomanPSMT" w:hAnsi="TimesNewRomanPSMT" w:cs="TimesNewRomanPSMT"/>
          <w:sz w:val="24"/>
          <w:szCs w:val="24"/>
        </w:rPr>
        <w:t>unconstitutional to that extent.</w:t>
      </w:r>
    </w:p>
    <w:p w:rsidR="00E372BD" w:rsidRDefault="00E372BD" w:rsidP="00E372BD">
      <w:pPr>
        <w:autoSpaceDE w:val="0"/>
        <w:autoSpaceDN w:val="0"/>
        <w:adjustRightInd w:val="0"/>
        <w:spacing w:after="0" w:line="240" w:lineRule="auto"/>
        <w:rPr>
          <w:rFonts w:ascii="TimesNewRomanPSMT" w:hAnsi="TimesNewRomanPSMT" w:cs="TimesNewRomanPSMT"/>
          <w:sz w:val="24"/>
          <w:szCs w:val="24"/>
        </w:rPr>
      </w:pPr>
    </w:p>
    <w:p w:rsidR="0049173C" w:rsidRDefault="00E372BD" w:rsidP="0049173C">
      <w:pPr>
        <w:autoSpaceDE w:val="0"/>
        <w:autoSpaceDN w:val="0"/>
        <w:adjustRightInd w:val="0"/>
        <w:spacing w:after="0" w:line="240" w:lineRule="auto"/>
        <w:rPr>
          <w:rFonts w:ascii="TimesNewRomanPSMT" w:hAnsi="TimesNewRomanPSMT" w:cs="TimesNewRomanPSMT"/>
          <w:sz w:val="24"/>
          <w:szCs w:val="24"/>
        </w:rPr>
      </w:pPr>
      <w:proofErr w:type="spellStart"/>
      <w:r>
        <w:rPr>
          <w:rFonts w:ascii="TimesNewRomanPS-BoldMT" w:hAnsi="TimesNewRomanPS-BoldMT" w:cs="TimesNewRomanPS-BoldMT"/>
          <w:b/>
          <w:bCs/>
          <w:sz w:val="24"/>
          <w:szCs w:val="24"/>
        </w:rPr>
        <w:t>Seshammal</w:t>
      </w:r>
      <w:proofErr w:type="spellEnd"/>
      <w:r>
        <w:rPr>
          <w:rFonts w:ascii="TimesNewRomanPS-BoldMT" w:hAnsi="TimesNewRomanPS-BoldMT" w:cs="TimesNewRomanPS-BoldMT"/>
          <w:b/>
          <w:bCs/>
          <w:sz w:val="24"/>
          <w:szCs w:val="24"/>
        </w:rPr>
        <w:t xml:space="preserve"> vs. State of TN - </w:t>
      </w:r>
      <w:r>
        <w:rPr>
          <w:rFonts w:ascii="TimesNewRomanPSMT" w:hAnsi="TimesNewRomanPSMT" w:cs="TimesNewRomanPSMT"/>
          <w:sz w:val="24"/>
          <w:szCs w:val="24"/>
        </w:rPr>
        <w:t>What constitutes an integral and essential part of a religion or a religious practice has to be decided by the courts with reference to doctrine of particular religion and includes practices regarded by the community as part of its religion.</w:t>
      </w:r>
      <w:r w:rsidR="0049173C">
        <w:rPr>
          <w:rFonts w:ascii="TimesNewRomanPSMT" w:hAnsi="TimesNewRomanPSMT" w:cs="TimesNewRomanPSMT"/>
          <w:sz w:val="24"/>
          <w:szCs w:val="24"/>
        </w:rPr>
        <w:t xml:space="preserve"> The law must impose only reasonable restrictions that should be of regulatory character to ensure that there is no maladministration of the institution and that the maladministration is guarded against. Placing the administration of a religious denomination in the hands of State or State</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appointed officials without sufficient justification for such an appointment would</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violate article 26(d). Clauses (c) and (d) of article 26 merely safeguard and guarantee</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continuance of rights which such denomination or its section had. A law</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regulating the administration of the property of a religion and its denomination cannot</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be challenged on the ground that it applies only to one religion and its denominations</w:t>
      </w:r>
    </w:p>
    <w:p w:rsidR="00E372BD" w:rsidRDefault="0049173C" w:rsidP="0049173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and not to other religions.</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Commissioner of Police vs. Acharya Jagadish</w:t>
      </w:r>
      <w:r w:rsidR="0065707E">
        <w:rPr>
          <w:rFonts w:ascii="TimesNewRomanPS-BoldMT" w:hAnsi="TimesNewRomanPS-BoldMT" w:cs="TimesNewRomanPS-BoldMT"/>
          <w:b/>
          <w:bCs/>
          <w:sz w:val="24"/>
          <w:szCs w:val="24"/>
        </w:rPr>
        <w:t xml:space="preserve"> </w:t>
      </w:r>
      <w:proofErr w:type="spellStart"/>
      <w:r>
        <w:rPr>
          <w:rFonts w:ascii="TimesNewRomanPS-BoldMT" w:hAnsi="TimesNewRomanPS-BoldMT" w:cs="TimesNewRomanPS-BoldMT"/>
          <w:b/>
          <w:bCs/>
          <w:sz w:val="24"/>
          <w:szCs w:val="24"/>
        </w:rPr>
        <w:t>warananda</w:t>
      </w:r>
      <w:proofErr w:type="spellEnd"/>
      <w:r>
        <w:rPr>
          <w:rFonts w:ascii="TimesNewRomanPS-BoldMT" w:hAnsi="TimesNewRomanPS-BoldMT" w:cs="TimesNewRomanPS-BoldMT"/>
          <w:b/>
          <w:bCs/>
          <w:sz w:val="24"/>
          <w:szCs w:val="24"/>
        </w:rPr>
        <w:t xml:space="preserve"> – </w:t>
      </w:r>
      <w:r>
        <w:rPr>
          <w:rFonts w:ascii="TimesNewRomanPSMT" w:hAnsi="TimesNewRomanPSMT" w:cs="TimesNewRomanPSMT"/>
          <w:sz w:val="24"/>
          <w:szCs w:val="24"/>
        </w:rPr>
        <w:t xml:space="preserve">held that the performance of </w:t>
      </w:r>
      <w:proofErr w:type="spellStart"/>
      <w:r>
        <w:rPr>
          <w:rFonts w:ascii="TimesNewRomanPSMT" w:hAnsi="TimesNewRomanPSMT" w:cs="TimesNewRomanPSMT"/>
          <w:sz w:val="24"/>
          <w:szCs w:val="24"/>
        </w:rPr>
        <w:t>Tandava</w:t>
      </w:r>
      <w:proofErr w:type="spellEnd"/>
      <w:r>
        <w:rPr>
          <w:rFonts w:ascii="TimesNewRomanPSMT" w:hAnsi="TimesNewRomanPSMT" w:cs="TimesNewRomanPSMT"/>
          <w:sz w:val="24"/>
          <w:szCs w:val="24"/>
        </w:rPr>
        <w:t xml:space="preserve"> dance in public procession is not an essential or integral part of their religion, and, thus, not a matter of religion within the meaning of article 25 &amp; 26. The protection guaranteed under Article 25 &amp; 26 is not confined to matters of doctrine or belief but extends to acts done in pursuance of religion. Essential part of a religion means the core beliefs upon which a religion is founded. The test to determine whether a part or practice is essential is to find out whether nature of the religion will be changes without that part or practice. There cannot be additions or subtractions to essential or integral parts or practices of a religion as they are the very essence of that religion and alterations will change the fundamental character of the religion concerned.</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 xml:space="preserve">N </w:t>
      </w:r>
      <w:proofErr w:type="spellStart"/>
      <w:r>
        <w:rPr>
          <w:rFonts w:ascii="TimesNewRomanPS-BoldMT" w:hAnsi="TimesNewRomanPS-BoldMT" w:cs="TimesNewRomanPS-BoldMT"/>
          <w:b/>
          <w:bCs/>
          <w:sz w:val="24"/>
          <w:szCs w:val="24"/>
        </w:rPr>
        <w:t>Adithayan</w:t>
      </w:r>
      <w:proofErr w:type="spellEnd"/>
      <w:r>
        <w:rPr>
          <w:rFonts w:ascii="TimesNewRomanPS-BoldMT" w:hAnsi="TimesNewRomanPS-BoldMT" w:cs="TimesNewRomanPS-BoldMT"/>
          <w:b/>
          <w:bCs/>
          <w:sz w:val="24"/>
          <w:szCs w:val="24"/>
        </w:rPr>
        <w:t xml:space="preserve"> vs. Travancore </w:t>
      </w:r>
      <w:proofErr w:type="spellStart"/>
      <w:r>
        <w:rPr>
          <w:rFonts w:ascii="TimesNewRomanPS-BoldMT" w:hAnsi="TimesNewRomanPS-BoldMT" w:cs="TimesNewRomanPS-BoldMT"/>
          <w:b/>
          <w:bCs/>
          <w:sz w:val="24"/>
          <w:szCs w:val="24"/>
        </w:rPr>
        <w:t>Devasom</w:t>
      </w:r>
      <w:proofErr w:type="spellEnd"/>
      <w:r>
        <w:rPr>
          <w:rFonts w:ascii="TimesNewRomanPS-BoldMT" w:hAnsi="TimesNewRomanPS-BoldMT" w:cs="TimesNewRomanPS-BoldMT"/>
          <w:b/>
          <w:bCs/>
          <w:sz w:val="24"/>
          <w:szCs w:val="24"/>
        </w:rPr>
        <w:t xml:space="preserve"> Board – </w:t>
      </w:r>
      <w:r>
        <w:rPr>
          <w:rFonts w:ascii="TimesNewRomanPSMT" w:hAnsi="TimesNewRomanPSMT" w:cs="TimesNewRomanPSMT"/>
          <w:sz w:val="24"/>
          <w:szCs w:val="24"/>
        </w:rPr>
        <w:t xml:space="preserve"> there has been no proper plea or sufficient proof of any specific custom or usage, the temple also does not belong to any denominational category with any specialized form of worship peculiar to such denomination or its credit. Further, any custom or usage irrespective of any proof cannot be countenanced as a source of  law to claim any rights when it is found to violate human rights.</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p>
    <w:p w:rsidR="0049173C" w:rsidRPr="00A27505" w:rsidRDefault="0049173C" w:rsidP="0049173C">
      <w:pPr>
        <w:autoSpaceDE w:val="0"/>
        <w:autoSpaceDN w:val="0"/>
        <w:adjustRightInd w:val="0"/>
        <w:spacing w:after="0" w:line="240" w:lineRule="auto"/>
        <w:rPr>
          <w:rFonts w:ascii="TimesNewRomanPS-BoldMT" w:hAnsi="TimesNewRomanPS-BoldMT" w:cs="TimesNewRomanPS-BoldMT"/>
          <w:b/>
          <w:bCs/>
          <w:sz w:val="32"/>
          <w:szCs w:val="32"/>
          <w:u w:val="single"/>
        </w:rPr>
      </w:pPr>
      <w:r w:rsidRPr="00A27505">
        <w:rPr>
          <w:rFonts w:ascii="TimesNewRomanPS-BoldMT" w:hAnsi="TimesNewRomanPS-BoldMT" w:cs="TimesNewRomanPS-BoldMT"/>
          <w:b/>
          <w:bCs/>
          <w:sz w:val="32"/>
          <w:szCs w:val="32"/>
          <w:u w:val="single"/>
        </w:rPr>
        <w:t>Article 27</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sidRPr="0049173C">
        <w:rPr>
          <w:rFonts w:ascii="TimesNewRomanPSMT" w:hAnsi="TimesNewRomanPSMT" w:cs="TimesNewRomanPSMT"/>
          <w:sz w:val="24"/>
          <w:szCs w:val="24"/>
        </w:rPr>
        <w:t>The first condition is that the levy must</w:t>
      </w:r>
      <w:r>
        <w:rPr>
          <w:rFonts w:ascii="TimesNewRomanPSMT" w:hAnsi="TimesNewRomanPSMT" w:cs="TimesNewRomanPSMT"/>
          <w:sz w:val="24"/>
          <w:szCs w:val="24"/>
        </w:rPr>
        <w:t xml:space="preserve"> </w:t>
      </w:r>
      <w:r w:rsidRPr="0049173C">
        <w:rPr>
          <w:rFonts w:ascii="TimesNewRomanPSMT" w:hAnsi="TimesNewRomanPSMT" w:cs="TimesNewRomanPSMT"/>
          <w:sz w:val="24"/>
          <w:szCs w:val="24"/>
        </w:rPr>
        <w:t>be a tax and when it is fee, it does not fall within the prohibition of this article. A tax</w:t>
      </w:r>
      <w:r>
        <w:rPr>
          <w:rFonts w:ascii="TimesNewRomanPSMT" w:hAnsi="TimesNewRomanPSMT" w:cs="TimesNewRomanPSMT"/>
          <w:sz w:val="24"/>
          <w:szCs w:val="24"/>
        </w:rPr>
        <w:t xml:space="preserve"> </w:t>
      </w:r>
      <w:r w:rsidRPr="0049173C">
        <w:rPr>
          <w:rFonts w:ascii="TimesNewRomanPSMT" w:hAnsi="TimesNewRomanPSMT" w:cs="TimesNewRomanPSMT"/>
          <w:sz w:val="24"/>
          <w:szCs w:val="24"/>
        </w:rPr>
        <w:t>is in the nature of compulsory exaction of money by a public authority for public</w:t>
      </w:r>
      <w:r>
        <w:rPr>
          <w:rFonts w:ascii="TimesNewRomanPSMT" w:hAnsi="TimesNewRomanPSMT" w:cs="TimesNewRomanPSMT"/>
          <w:sz w:val="24"/>
          <w:szCs w:val="24"/>
        </w:rPr>
        <w:t xml:space="preserve"> </w:t>
      </w:r>
      <w:r w:rsidRPr="0049173C">
        <w:rPr>
          <w:rFonts w:ascii="TimesNewRomanPSMT" w:hAnsi="TimesNewRomanPSMT" w:cs="TimesNewRomanPSMT"/>
          <w:sz w:val="24"/>
          <w:szCs w:val="24"/>
        </w:rPr>
        <w:t>purposes for the payment of which is imposed by law whereas fees are payments in</w:t>
      </w:r>
      <w:r>
        <w:rPr>
          <w:rFonts w:ascii="TimesNewRomanPSMT" w:hAnsi="TimesNewRomanPSMT" w:cs="TimesNewRomanPSMT"/>
          <w:sz w:val="24"/>
          <w:szCs w:val="24"/>
        </w:rPr>
        <w:t xml:space="preserve"> </w:t>
      </w:r>
      <w:r w:rsidRPr="0049173C">
        <w:rPr>
          <w:rFonts w:ascii="TimesNewRomanPSMT" w:hAnsi="TimesNewRomanPSMT" w:cs="TimesNewRomanPSMT"/>
          <w:sz w:val="24"/>
          <w:szCs w:val="24"/>
        </w:rPr>
        <w:t>the public interest but for some special services rendered or some special work done</w:t>
      </w:r>
      <w:r>
        <w:rPr>
          <w:rFonts w:ascii="TimesNewRomanPSMT" w:hAnsi="TimesNewRomanPSMT" w:cs="TimesNewRomanPSMT"/>
          <w:sz w:val="24"/>
          <w:szCs w:val="24"/>
        </w:rPr>
        <w:t xml:space="preserve"> </w:t>
      </w:r>
      <w:r w:rsidRPr="0049173C">
        <w:rPr>
          <w:rFonts w:ascii="TimesNewRomanPSMT" w:hAnsi="TimesNewRomanPSMT" w:cs="TimesNewRomanPSMT"/>
          <w:sz w:val="24"/>
          <w:szCs w:val="24"/>
        </w:rPr>
        <w:t>for the benefit of those from whom payments are demanded. The proceeds of the tax</w:t>
      </w:r>
      <w:r>
        <w:rPr>
          <w:rFonts w:ascii="TimesNewRomanPSMT" w:hAnsi="TimesNewRomanPSMT" w:cs="TimesNewRomanPSMT"/>
          <w:sz w:val="24"/>
          <w:szCs w:val="24"/>
        </w:rPr>
        <w:t xml:space="preserve"> </w:t>
      </w:r>
      <w:r w:rsidRPr="0049173C">
        <w:rPr>
          <w:rFonts w:ascii="TimesNewRomanPSMT" w:hAnsi="TimesNewRomanPSMT" w:cs="TimesNewRomanPSMT"/>
          <w:sz w:val="24"/>
          <w:szCs w:val="24"/>
        </w:rPr>
        <w:t>must be appropriated in payments of expenses for the promotion or maintenance of</w:t>
      </w:r>
      <w:r>
        <w:rPr>
          <w:rFonts w:ascii="TimesNewRomanPSMT" w:hAnsi="TimesNewRomanPSMT" w:cs="TimesNewRomanPSMT"/>
          <w:sz w:val="24"/>
          <w:szCs w:val="24"/>
        </w:rPr>
        <w:t xml:space="preserve"> </w:t>
      </w:r>
      <w:r w:rsidRPr="0049173C">
        <w:rPr>
          <w:rFonts w:ascii="TimesNewRomanPSMT" w:hAnsi="TimesNewRomanPSMT" w:cs="TimesNewRomanPSMT"/>
          <w:sz w:val="24"/>
          <w:szCs w:val="24"/>
        </w:rPr>
        <w:t>any particular religion or religious denomination. The purpose was to see that</w:t>
      </w:r>
      <w:r>
        <w:rPr>
          <w:rFonts w:ascii="TimesNewRomanPSMT" w:hAnsi="TimesNewRomanPSMT" w:cs="TimesNewRomanPSMT"/>
          <w:sz w:val="24"/>
          <w:szCs w:val="24"/>
        </w:rPr>
        <w:t xml:space="preserve"> </w:t>
      </w:r>
      <w:r w:rsidRPr="0049173C">
        <w:rPr>
          <w:rFonts w:ascii="TimesNewRomanPSMT" w:hAnsi="TimesNewRomanPSMT" w:cs="TimesNewRomanPSMT"/>
          <w:sz w:val="24"/>
          <w:szCs w:val="24"/>
        </w:rPr>
        <w:t>religious trusts and institutions wherever they existed were properly administered. It</w:t>
      </w:r>
      <w:r>
        <w:rPr>
          <w:rFonts w:ascii="TimesNewRomanPSMT" w:hAnsi="TimesNewRomanPSMT" w:cs="TimesNewRomanPSMT"/>
          <w:sz w:val="24"/>
          <w:szCs w:val="24"/>
        </w:rPr>
        <w:t xml:space="preserve"> </w:t>
      </w:r>
      <w:r w:rsidRPr="0049173C">
        <w:rPr>
          <w:rFonts w:ascii="TimesNewRomanPSMT" w:hAnsi="TimesNewRomanPSMT" w:cs="TimesNewRomanPSMT"/>
          <w:sz w:val="24"/>
          <w:szCs w:val="24"/>
        </w:rPr>
        <w:t xml:space="preserve">was the secular endowments </w:t>
      </w:r>
      <w:r w:rsidRPr="0049173C">
        <w:rPr>
          <w:rFonts w:ascii="TimesNewRomanPSMT" w:hAnsi="TimesNewRomanPSMT" w:cs="TimesNewRomanPSMT"/>
          <w:sz w:val="24"/>
          <w:szCs w:val="24"/>
        </w:rPr>
        <w:lastRenderedPageBreak/>
        <w:t>attached to the religious institutions were properly</w:t>
      </w:r>
      <w:r>
        <w:rPr>
          <w:rFonts w:ascii="TimesNewRomanPSMT" w:hAnsi="TimesNewRomanPSMT" w:cs="TimesNewRomanPSMT"/>
          <w:sz w:val="24"/>
          <w:szCs w:val="24"/>
        </w:rPr>
        <w:t xml:space="preserve"> </w:t>
      </w:r>
      <w:r w:rsidRPr="0049173C">
        <w:rPr>
          <w:rFonts w:ascii="TimesNewRomanPSMT" w:hAnsi="TimesNewRomanPSMT" w:cs="TimesNewRomanPSMT"/>
          <w:sz w:val="24"/>
          <w:szCs w:val="24"/>
        </w:rPr>
        <w:t>administered and their income was duly appropriated for the purposes for which they</w:t>
      </w:r>
      <w:r>
        <w:rPr>
          <w:rFonts w:ascii="TimesNewRomanPSMT" w:hAnsi="TimesNewRomanPSMT" w:cs="TimesNewRomanPSMT"/>
          <w:sz w:val="24"/>
          <w:szCs w:val="24"/>
        </w:rPr>
        <w:t xml:space="preserve"> </w:t>
      </w:r>
      <w:r w:rsidRPr="0049173C">
        <w:rPr>
          <w:rFonts w:ascii="TimesNewRomanPSMT" w:hAnsi="TimesNewRomanPSMT" w:cs="TimesNewRomanPSMT"/>
          <w:sz w:val="24"/>
          <w:szCs w:val="24"/>
        </w:rPr>
        <w:t>had been founded.</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p>
    <w:p w:rsidR="00920CCF" w:rsidRPr="00A27505" w:rsidRDefault="00920CCF" w:rsidP="0049173C">
      <w:pPr>
        <w:autoSpaceDE w:val="0"/>
        <w:autoSpaceDN w:val="0"/>
        <w:adjustRightInd w:val="0"/>
        <w:spacing w:after="0" w:line="240" w:lineRule="auto"/>
        <w:rPr>
          <w:rFonts w:ascii="TimesNewRomanPSMT" w:hAnsi="TimesNewRomanPSMT" w:cs="TimesNewRomanPSMT"/>
          <w:b/>
          <w:bCs/>
          <w:sz w:val="32"/>
          <w:szCs w:val="32"/>
          <w:u w:val="single"/>
        </w:rPr>
      </w:pPr>
      <w:r w:rsidRPr="00A27505">
        <w:rPr>
          <w:rFonts w:ascii="TimesNewRomanPSMT" w:hAnsi="TimesNewRomanPSMT" w:cs="TimesNewRomanPSMT"/>
          <w:b/>
          <w:bCs/>
          <w:sz w:val="32"/>
          <w:szCs w:val="32"/>
          <w:u w:val="single"/>
        </w:rPr>
        <w:t>Article 28</w:t>
      </w:r>
    </w:p>
    <w:p w:rsidR="00920CCF" w:rsidRPr="00920CCF" w:rsidRDefault="00920CCF" w:rsidP="0049173C">
      <w:pPr>
        <w:autoSpaceDE w:val="0"/>
        <w:autoSpaceDN w:val="0"/>
        <w:adjustRightInd w:val="0"/>
        <w:spacing w:after="0" w:line="240" w:lineRule="auto"/>
        <w:rPr>
          <w:rFonts w:ascii="TimesNewRomanPSMT" w:hAnsi="TimesNewRomanPSMT" w:cs="TimesNewRomanPSMT"/>
          <w:b/>
          <w:bCs/>
          <w:sz w:val="24"/>
          <w:szCs w:val="24"/>
        </w:rPr>
      </w:pPr>
    </w:p>
    <w:p w:rsidR="0049173C" w:rsidRPr="0049173C" w:rsidRDefault="0049173C" w:rsidP="0049173C">
      <w:pPr>
        <w:autoSpaceDE w:val="0"/>
        <w:autoSpaceDN w:val="0"/>
        <w:adjustRightInd w:val="0"/>
        <w:spacing w:after="0" w:line="240" w:lineRule="auto"/>
        <w:rPr>
          <w:rFonts w:ascii="TimesNewRomanPSMT" w:hAnsi="TimesNewRomanPSMT" w:cs="TimesNewRomanPSMT"/>
          <w:sz w:val="24"/>
          <w:szCs w:val="24"/>
        </w:rPr>
      </w:pPr>
      <w:r w:rsidRPr="0049173C">
        <w:rPr>
          <w:rFonts w:ascii="TimesNewRomanPSMT" w:hAnsi="TimesNewRomanPSMT" w:cs="TimesNewRomanPSMT"/>
          <w:sz w:val="24"/>
          <w:szCs w:val="24"/>
        </w:rPr>
        <w:t>Reasons for prohibiting religious instruction in educational institutions wholly</w:t>
      </w:r>
    </w:p>
    <w:p w:rsidR="0049173C" w:rsidRPr="0049173C" w:rsidRDefault="0049173C" w:rsidP="0049173C">
      <w:pPr>
        <w:autoSpaceDE w:val="0"/>
        <w:autoSpaceDN w:val="0"/>
        <w:adjustRightInd w:val="0"/>
        <w:spacing w:after="0" w:line="240" w:lineRule="auto"/>
        <w:rPr>
          <w:rFonts w:ascii="TimesNewRomanPSMT" w:hAnsi="TimesNewRomanPSMT" w:cs="TimesNewRomanPSMT"/>
          <w:sz w:val="24"/>
          <w:szCs w:val="24"/>
        </w:rPr>
      </w:pPr>
      <w:r w:rsidRPr="0049173C">
        <w:rPr>
          <w:rFonts w:ascii="TimesNewRomanPSMT" w:hAnsi="TimesNewRomanPSMT" w:cs="TimesNewRomanPSMT"/>
          <w:sz w:val="24"/>
          <w:szCs w:val="24"/>
        </w:rPr>
        <w:t>maintained by State:</w:t>
      </w:r>
    </w:p>
    <w:p w:rsidR="0049173C" w:rsidRPr="0049173C" w:rsidRDefault="0049173C" w:rsidP="0049173C">
      <w:pPr>
        <w:autoSpaceDE w:val="0"/>
        <w:autoSpaceDN w:val="0"/>
        <w:adjustRightInd w:val="0"/>
        <w:spacing w:after="0" w:line="240" w:lineRule="auto"/>
        <w:rPr>
          <w:rFonts w:ascii="TimesNewRomanPSMT" w:hAnsi="TimesNewRomanPSMT" w:cs="TimesNewRomanPSMT"/>
          <w:sz w:val="24"/>
          <w:szCs w:val="24"/>
        </w:rPr>
      </w:pPr>
      <w:r w:rsidRPr="0049173C">
        <w:rPr>
          <w:rFonts w:ascii="TimesNewRomanPSMT" w:hAnsi="TimesNewRomanPSMT" w:cs="TimesNewRomanPSMT"/>
          <w:sz w:val="24"/>
          <w:szCs w:val="24"/>
        </w:rPr>
        <w:t>• The multiplicity of religions that we have in the country</w:t>
      </w:r>
    </w:p>
    <w:p w:rsidR="0049173C" w:rsidRPr="0049173C" w:rsidRDefault="0049173C" w:rsidP="0049173C">
      <w:pPr>
        <w:autoSpaceDE w:val="0"/>
        <w:autoSpaceDN w:val="0"/>
        <w:adjustRightInd w:val="0"/>
        <w:spacing w:after="0" w:line="240" w:lineRule="auto"/>
        <w:rPr>
          <w:rFonts w:ascii="TimesNewRomanPSMT" w:hAnsi="TimesNewRomanPSMT" w:cs="TimesNewRomanPSMT"/>
          <w:sz w:val="24"/>
          <w:szCs w:val="24"/>
        </w:rPr>
      </w:pPr>
      <w:r w:rsidRPr="0049173C">
        <w:rPr>
          <w:rFonts w:ascii="TimesNewRomanPSMT" w:hAnsi="TimesNewRomanPSMT" w:cs="TimesNewRomanPSMT"/>
          <w:sz w:val="24"/>
          <w:szCs w:val="24"/>
        </w:rPr>
        <w:t>• The several castes in the country, it would be difficult to assign such a task</w:t>
      </w:r>
    </w:p>
    <w:p w:rsidR="0049173C" w:rsidRPr="0049173C" w:rsidRDefault="0049173C" w:rsidP="0049173C">
      <w:pPr>
        <w:autoSpaceDE w:val="0"/>
        <w:autoSpaceDN w:val="0"/>
        <w:adjustRightInd w:val="0"/>
        <w:spacing w:after="0" w:line="240" w:lineRule="auto"/>
        <w:rPr>
          <w:rFonts w:ascii="TimesNewRomanPSMT" w:hAnsi="TimesNewRomanPSMT" w:cs="TimesNewRomanPSMT"/>
          <w:sz w:val="24"/>
          <w:szCs w:val="24"/>
        </w:rPr>
      </w:pPr>
      <w:r w:rsidRPr="0049173C">
        <w:rPr>
          <w:rFonts w:ascii="TimesNewRomanPSMT" w:hAnsi="TimesNewRomanPSMT" w:cs="TimesNewRomanPSMT"/>
          <w:sz w:val="24"/>
          <w:szCs w:val="24"/>
        </w:rPr>
        <w:t xml:space="preserve">• Unfortunately, the religions prevailing in the country are not merely </w:t>
      </w:r>
      <w:proofErr w:type="spellStart"/>
      <w:r w:rsidRPr="0049173C">
        <w:rPr>
          <w:rFonts w:ascii="TimesNewRomanPSMT" w:hAnsi="TimesNewRomanPSMT" w:cs="TimesNewRomanPSMT"/>
          <w:sz w:val="24"/>
          <w:szCs w:val="24"/>
        </w:rPr>
        <w:t>nonsocial</w:t>
      </w:r>
      <w:proofErr w:type="spellEnd"/>
      <w:r w:rsidRPr="0049173C">
        <w:rPr>
          <w:rFonts w:ascii="TimesNewRomanPSMT" w:hAnsi="TimesNewRomanPSMT" w:cs="TimesNewRomanPSMT"/>
          <w:sz w:val="24"/>
          <w:szCs w:val="24"/>
        </w:rPr>
        <w:t>,</w:t>
      </w:r>
    </w:p>
    <w:p w:rsidR="0049173C" w:rsidRPr="0049173C" w:rsidRDefault="0049173C" w:rsidP="0049173C">
      <w:pPr>
        <w:autoSpaceDE w:val="0"/>
        <w:autoSpaceDN w:val="0"/>
        <w:adjustRightInd w:val="0"/>
        <w:spacing w:after="0" w:line="240" w:lineRule="auto"/>
        <w:rPr>
          <w:rFonts w:ascii="TimesNewRomanPSMT" w:hAnsi="TimesNewRomanPSMT" w:cs="TimesNewRomanPSMT"/>
          <w:sz w:val="24"/>
          <w:szCs w:val="24"/>
        </w:rPr>
      </w:pPr>
      <w:r w:rsidRPr="0049173C">
        <w:rPr>
          <w:rFonts w:ascii="TimesNewRomanPSMT" w:hAnsi="TimesNewRomanPSMT" w:cs="TimesNewRomanPSMT"/>
          <w:sz w:val="24"/>
          <w:szCs w:val="24"/>
        </w:rPr>
        <w:t>they are anti-social with one religion claiming that its teaching</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sidRPr="0049173C">
        <w:rPr>
          <w:rFonts w:ascii="TimesNewRomanPSMT" w:hAnsi="TimesNewRomanPSMT" w:cs="TimesNewRomanPSMT"/>
          <w:sz w:val="24"/>
          <w:szCs w:val="24"/>
        </w:rPr>
        <w:t>constitutes the only right path for salvation, that all other religions are wrong.</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proofErr w:type="spellStart"/>
      <w:r>
        <w:rPr>
          <w:rFonts w:ascii="TimesNewRomanPS-BoldMT" w:hAnsi="TimesNewRomanPS-BoldMT" w:cs="TimesNewRomanPS-BoldMT"/>
          <w:b/>
          <w:bCs/>
          <w:sz w:val="24"/>
          <w:szCs w:val="24"/>
        </w:rPr>
        <w:t>Bijoe</w:t>
      </w:r>
      <w:proofErr w:type="spellEnd"/>
      <w:r>
        <w:rPr>
          <w:rFonts w:ascii="TimesNewRomanPS-BoldMT" w:hAnsi="TimesNewRomanPS-BoldMT" w:cs="TimesNewRomanPS-BoldMT"/>
          <w:b/>
          <w:bCs/>
          <w:sz w:val="24"/>
          <w:szCs w:val="24"/>
        </w:rPr>
        <w:t xml:space="preserve"> Emmanuel vs State of Kerala</w:t>
      </w:r>
      <w:r>
        <w:rPr>
          <w:rFonts w:ascii="TimesNewRomanPSMT" w:hAnsi="TimesNewRomanPSMT" w:cs="TimesNewRomanPSMT"/>
          <w:sz w:val="24"/>
          <w:szCs w:val="24"/>
        </w:rPr>
        <w:t>: Our personal views and reactions are irrelevant. The courts will have the responsibility of determining whether a particular law can fairly be regarded as a law to protect the existence of community, or on the other hand, it is a law for prohibiting free exercise of any religion. The question is not whether a particular religious belief or practice appeals to our reason or sentiment, but whether the belief is genuinely and</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conscientiously held as part of the profession or practice of religion.</w:t>
      </w:r>
      <w:r w:rsidR="00200157">
        <w:rPr>
          <w:rFonts w:ascii="TimesNewRomanPSMT" w:hAnsi="TimesNewRomanPSMT" w:cs="TimesNewRomanPSMT"/>
          <w:sz w:val="24"/>
          <w:szCs w:val="24"/>
        </w:rPr>
        <w:t xml:space="preserve"> Violation of 19</w:t>
      </w:r>
    </w:p>
    <w:p w:rsidR="0065707E" w:rsidRDefault="0065707E" w:rsidP="0049173C">
      <w:pPr>
        <w:autoSpaceDE w:val="0"/>
        <w:autoSpaceDN w:val="0"/>
        <w:adjustRightInd w:val="0"/>
        <w:spacing w:after="0" w:line="240" w:lineRule="auto"/>
        <w:rPr>
          <w:rFonts w:ascii="TimesNewRomanPSMT" w:hAnsi="TimesNewRomanPSMT" w:cs="TimesNewRomanPSMT"/>
          <w:sz w:val="24"/>
          <w:szCs w:val="24"/>
        </w:rPr>
      </w:pPr>
    </w:p>
    <w:p w:rsidR="0065707E" w:rsidRDefault="0065707E" w:rsidP="0049173C">
      <w:pPr>
        <w:autoSpaceDE w:val="0"/>
        <w:autoSpaceDN w:val="0"/>
        <w:adjustRightInd w:val="0"/>
        <w:spacing w:after="0" w:line="240" w:lineRule="auto"/>
        <w:rPr>
          <w:rFonts w:ascii="TimesNewRomanPSMT" w:hAnsi="TimesNewRomanPSMT" w:cs="TimesNewRomanPSMT"/>
          <w:sz w:val="24"/>
          <w:szCs w:val="24"/>
        </w:rPr>
      </w:pPr>
      <w:r w:rsidRPr="0065707E">
        <w:rPr>
          <w:rFonts w:ascii="TimesNewRomanPSMT" w:hAnsi="TimesNewRomanPSMT" w:cs="TimesNewRomanPSMT"/>
          <w:b/>
          <w:bCs/>
          <w:sz w:val="24"/>
          <w:szCs w:val="24"/>
        </w:rPr>
        <w:t xml:space="preserve">M. Ismail </w:t>
      </w:r>
      <w:proofErr w:type="spellStart"/>
      <w:r w:rsidRPr="0065707E">
        <w:rPr>
          <w:rFonts w:ascii="TimesNewRomanPSMT" w:hAnsi="TimesNewRomanPSMT" w:cs="TimesNewRomanPSMT"/>
          <w:b/>
          <w:bCs/>
          <w:sz w:val="24"/>
          <w:szCs w:val="24"/>
        </w:rPr>
        <w:t>Faruqi</w:t>
      </w:r>
      <w:proofErr w:type="spellEnd"/>
      <w:r w:rsidRPr="0065707E">
        <w:rPr>
          <w:rFonts w:ascii="TimesNewRomanPSMT" w:hAnsi="TimesNewRomanPSMT" w:cs="TimesNewRomanPSMT"/>
          <w:b/>
          <w:bCs/>
          <w:sz w:val="24"/>
          <w:szCs w:val="24"/>
        </w:rPr>
        <w:t xml:space="preserve"> v. Union of India,(</w:t>
      </w:r>
      <w:proofErr w:type="spellStart"/>
      <w:r w:rsidRPr="0065707E">
        <w:rPr>
          <w:rFonts w:ascii="TimesNewRomanPSMT" w:hAnsi="TimesNewRomanPSMT" w:cs="TimesNewRomanPSMT"/>
          <w:b/>
          <w:bCs/>
          <w:sz w:val="24"/>
          <w:szCs w:val="24"/>
        </w:rPr>
        <w:t>Ayodhya</w:t>
      </w:r>
      <w:proofErr w:type="spellEnd"/>
      <w:r w:rsidRPr="0065707E">
        <w:rPr>
          <w:rFonts w:ascii="TimesNewRomanPSMT" w:hAnsi="TimesNewRomanPSMT" w:cs="TimesNewRomanPSMT"/>
          <w:b/>
          <w:bCs/>
          <w:sz w:val="24"/>
          <w:szCs w:val="24"/>
        </w:rPr>
        <w:t xml:space="preserve"> case )</w:t>
      </w:r>
      <w:r w:rsidRPr="0065707E">
        <w:rPr>
          <w:rFonts w:ascii="TimesNewRomanPSMT" w:hAnsi="TimesNewRomanPSMT" w:cs="TimesNewRomanPSMT"/>
          <w:sz w:val="24"/>
          <w:szCs w:val="24"/>
        </w:rPr>
        <w:t xml:space="preserve"> The SC held in this case that acquisition of the Masjid was not in violation of Article 25 by stating – “The right to practice, profess and propagate religion guaranteed under Article 25 does not necessarily include the right to acquire or own or possess any property. A mosque is not an essential part of the practice of the religion of Islam and </w:t>
      </w:r>
      <w:proofErr w:type="spellStart"/>
      <w:r w:rsidRPr="0065707E">
        <w:rPr>
          <w:rFonts w:ascii="TimesNewRomanPSMT" w:hAnsi="TimesNewRomanPSMT" w:cs="TimesNewRomanPSMT"/>
          <w:sz w:val="24"/>
          <w:szCs w:val="24"/>
        </w:rPr>
        <w:t>namaz</w:t>
      </w:r>
      <w:proofErr w:type="spellEnd"/>
      <w:r w:rsidRPr="0065707E">
        <w:rPr>
          <w:rFonts w:ascii="TimesNewRomanPSMT" w:hAnsi="TimesNewRomanPSMT" w:cs="TimesNewRomanPSMT"/>
          <w:sz w:val="24"/>
          <w:szCs w:val="24"/>
        </w:rPr>
        <w:t xml:space="preserve"> by Muslims can be offered be offered anywhere, even in open. Accordingly its acquisition is not prohibited by the provisions in the Constitution of India.”</w:t>
      </w:r>
    </w:p>
    <w:p w:rsidR="0049173C" w:rsidRDefault="0049173C" w:rsidP="0049173C">
      <w:pPr>
        <w:autoSpaceDE w:val="0"/>
        <w:autoSpaceDN w:val="0"/>
        <w:adjustRightInd w:val="0"/>
        <w:spacing w:after="0" w:line="240" w:lineRule="auto"/>
        <w:rPr>
          <w:rFonts w:ascii="TimesNewRomanPSMT" w:hAnsi="TimesNewRomanPSMT" w:cs="TimesNewRomanPSMT"/>
          <w:sz w:val="24"/>
          <w:szCs w:val="24"/>
        </w:rPr>
      </w:pPr>
    </w:p>
    <w:p w:rsidR="00920CCF" w:rsidRPr="00A27505" w:rsidRDefault="00920CCF" w:rsidP="0049173C">
      <w:pPr>
        <w:autoSpaceDE w:val="0"/>
        <w:autoSpaceDN w:val="0"/>
        <w:adjustRightInd w:val="0"/>
        <w:spacing w:after="0" w:line="240" w:lineRule="auto"/>
        <w:rPr>
          <w:rFonts w:ascii="TimesNewRomanPSMT" w:hAnsi="TimesNewRomanPSMT" w:cs="TimesNewRomanPSMT"/>
          <w:b/>
          <w:bCs/>
          <w:sz w:val="32"/>
          <w:szCs w:val="32"/>
          <w:u w:val="single"/>
        </w:rPr>
      </w:pPr>
      <w:r w:rsidRPr="00A27505">
        <w:rPr>
          <w:rFonts w:ascii="TimesNewRomanPSMT" w:hAnsi="TimesNewRomanPSMT" w:cs="TimesNewRomanPSMT"/>
          <w:b/>
          <w:bCs/>
          <w:sz w:val="32"/>
          <w:szCs w:val="32"/>
          <w:u w:val="single"/>
        </w:rPr>
        <w:t>Article 29</w:t>
      </w:r>
    </w:p>
    <w:p w:rsidR="00920CCF" w:rsidRDefault="00920CCF" w:rsidP="0049173C">
      <w:pPr>
        <w:autoSpaceDE w:val="0"/>
        <w:autoSpaceDN w:val="0"/>
        <w:adjustRightInd w:val="0"/>
        <w:spacing w:after="0" w:line="240" w:lineRule="auto"/>
        <w:rPr>
          <w:rFonts w:ascii="TimesNewRomanPSMT" w:hAnsi="TimesNewRomanPSMT" w:cs="TimesNewRomanPSMT"/>
          <w:sz w:val="24"/>
          <w:szCs w:val="24"/>
        </w:rPr>
      </w:pPr>
    </w:p>
    <w:p w:rsidR="0065707E" w:rsidRDefault="00920CCF" w:rsidP="00920C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Political agitation for conservation of the language of a section of the citizens cannot therefore be regarded as a corrupt practice.</w:t>
      </w:r>
    </w:p>
    <w:p w:rsidR="00920CCF" w:rsidRDefault="00920CCF" w:rsidP="00920CCF">
      <w:pPr>
        <w:autoSpaceDE w:val="0"/>
        <w:autoSpaceDN w:val="0"/>
        <w:adjustRightInd w:val="0"/>
        <w:spacing w:after="0" w:line="240" w:lineRule="auto"/>
        <w:rPr>
          <w:rFonts w:ascii="TimesNewRomanPSMT" w:hAnsi="TimesNewRomanPSMT" w:cs="TimesNewRomanPSMT"/>
          <w:sz w:val="24"/>
          <w:szCs w:val="24"/>
        </w:rPr>
      </w:pPr>
    </w:p>
    <w:p w:rsidR="00920CCF" w:rsidRDefault="00920CCF" w:rsidP="00920CCF">
      <w:pPr>
        <w:autoSpaceDE w:val="0"/>
        <w:autoSpaceDN w:val="0"/>
        <w:adjustRightInd w:val="0"/>
        <w:spacing w:after="0" w:line="240" w:lineRule="auto"/>
        <w:rPr>
          <w:rFonts w:ascii="TimesNewRomanPSMT" w:hAnsi="TimesNewRomanPSMT" w:cs="TimesNewRomanPSMT"/>
          <w:sz w:val="24"/>
          <w:szCs w:val="24"/>
        </w:rPr>
      </w:pPr>
      <w:r w:rsidRPr="00920CCF">
        <w:rPr>
          <w:rFonts w:ascii="TimesNewRomanPSMT" w:hAnsi="TimesNewRomanPSMT" w:cs="TimesNewRomanPSMT"/>
          <w:sz w:val="24"/>
          <w:szCs w:val="24"/>
        </w:rPr>
        <w:t>Article 15 also prohibits discrimination against citizens on</w:t>
      </w:r>
      <w:r>
        <w:rPr>
          <w:rFonts w:ascii="TimesNewRomanPSMT" w:hAnsi="TimesNewRomanPSMT" w:cs="TimesNewRomanPSMT"/>
          <w:sz w:val="24"/>
          <w:szCs w:val="24"/>
        </w:rPr>
        <w:t xml:space="preserve"> </w:t>
      </w:r>
      <w:r w:rsidRPr="00920CCF">
        <w:rPr>
          <w:rFonts w:ascii="TimesNewRomanPSMT" w:hAnsi="TimesNewRomanPSMT" w:cs="TimesNewRomanPSMT"/>
          <w:sz w:val="24"/>
          <w:szCs w:val="24"/>
        </w:rPr>
        <w:t>grounds of religion. However, the scope of the 2 articles is different – firstly, article</w:t>
      </w:r>
      <w:r>
        <w:rPr>
          <w:rFonts w:ascii="TimesNewRomanPSMT" w:hAnsi="TimesNewRomanPSMT" w:cs="TimesNewRomanPSMT"/>
          <w:sz w:val="24"/>
          <w:szCs w:val="24"/>
        </w:rPr>
        <w:t xml:space="preserve"> </w:t>
      </w:r>
      <w:r w:rsidRPr="00920CCF">
        <w:rPr>
          <w:rFonts w:ascii="TimesNewRomanPSMT" w:hAnsi="TimesNewRomanPSMT" w:cs="TimesNewRomanPSMT"/>
          <w:sz w:val="24"/>
          <w:szCs w:val="24"/>
        </w:rPr>
        <w:t>15(1) protects citizens only against the State while article 29(2) protects citizens</w:t>
      </w:r>
      <w:r>
        <w:rPr>
          <w:rFonts w:ascii="TimesNewRomanPSMT" w:hAnsi="TimesNewRomanPSMT" w:cs="TimesNewRomanPSMT"/>
          <w:sz w:val="24"/>
          <w:szCs w:val="24"/>
        </w:rPr>
        <w:t xml:space="preserve"> </w:t>
      </w:r>
      <w:r w:rsidRPr="00920CCF">
        <w:rPr>
          <w:rFonts w:ascii="TimesNewRomanPSMT" w:hAnsi="TimesNewRomanPSMT" w:cs="TimesNewRomanPSMT"/>
          <w:sz w:val="24"/>
          <w:szCs w:val="24"/>
        </w:rPr>
        <w:t>against the State or anybody who denies the right conferred by it. Secondly, article 15</w:t>
      </w:r>
      <w:r>
        <w:rPr>
          <w:rFonts w:ascii="TimesNewRomanPSMT" w:hAnsi="TimesNewRomanPSMT" w:cs="TimesNewRomanPSMT"/>
          <w:sz w:val="24"/>
          <w:szCs w:val="24"/>
        </w:rPr>
        <w:t xml:space="preserve"> </w:t>
      </w:r>
      <w:r w:rsidRPr="00920CCF">
        <w:rPr>
          <w:rFonts w:ascii="TimesNewRomanPSMT" w:hAnsi="TimesNewRomanPSMT" w:cs="TimesNewRomanPSMT"/>
          <w:sz w:val="24"/>
          <w:szCs w:val="24"/>
        </w:rPr>
        <w:t>protects citizens against discrimination generally but article 29(2) protects only</w:t>
      </w:r>
      <w:r>
        <w:rPr>
          <w:rFonts w:ascii="TimesNewRomanPSMT" w:hAnsi="TimesNewRomanPSMT" w:cs="TimesNewRomanPSMT"/>
          <w:sz w:val="24"/>
          <w:szCs w:val="24"/>
        </w:rPr>
        <w:t xml:space="preserve"> </w:t>
      </w:r>
      <w:r w:rsidRPr="00920CCF">
        <w:rPr>
          <w:rFonts w:ascii="TimesNewRomanPSMT" w:hAnsi="TimesNewRomanPSMT" w:cs="TimesNewRomanPSMT"/>
          <w:sz w:val="24"/>
          <w:szCs w:val="24"/>
        </w:rPr>
        <w:t>against a particular species of discrimination namely, denial of admission into</w:t>
      </w:r>
      <w:r>
        <w:rPr>
          <w:rFonts w:ascii="TimesNewRomanPSMT" w:hAnsi="TimesNewRomanPSMT" w:cs="TimesNewRomanPSMT"/>
          <w:sz w:val="24"/>
          <w:szCs w:val="24"/>
        </w:rPr>
        <w:t xml:space="preserve"> </w:t>
      </w:r>
      <w:r w:rsidRPr="00920CCF">
        <w:rPr>
          <w:rFonts w:ascii="TimesNewRomanPSMT" w:hAnsi="TimesNewRomanPSMT" w:cs="TimesNewRomanPSMT"/>
          <w:sz w:val="24"/>
          <w:szCs w:val="24"/>
        </w:rPr>
        <w:t>educational institutions maintained or aided by the State. “Place of birth” and “sex”</w:t>
      </w:r>
      <w:r>
        <w:rPr>
          <w:rFonts w:ascii="TimesNewRomanPSMT" w:hAnsi="TimesNewRomanPSMT" w:cs="TimesNewRomanPSMT"/>
          <w:sz w:val="24"/>
          <w:szCs w:val="24"/>
        </w:rPr>
        <w:t xml:space="preserve"> </w:t>
      </w:r>
      <w:r w:rsidRPr="00920CCF">
        <w:rPr>
          <w:rFonts w:ascii="TimesNewRomanPSMT" w:hAnsi="TimesNewRomanPSMT" w:cs="TimesNewRomanPSMT"/>
          <w:sz w:val="24"/>
          <w:szCs w:val="24"/>
        </w:rPr>
        <w:t>do not occur in article 29(2), while ‘language’ is not mentioned in article 15.</w:t>
      </w:r>
    </w:p>
    <w:p w:rsidR="00920CCF" w:rsidRDefault="00920CCF" w:rsidP="00E372BD">
      <w:pPr>
        <w:tabs>
          <w:tab w:val="left" w:pos="5640"/>
        </w:tabs>
      </w:pPr>
    </w:p>
    <w:p w:rsidR="00920CCF" w:rsidRDefault="00920CCF" w:rsidP="00920C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A minority community can effectively conserve its language, script or culture by and through educational institutions and, therefore, the right to establish and maintain educational institutions of its choice is a necessary concomitant to the right to conserve its distinct language, script or culture and that is what Article 30(1) confers on all minorities.</w:t>
      </w:r>
    </w:p>
    <w:p w:rsidR="00920CCF" w:rsidRDefault="00920CCF" w:rsidP="00920CCF">
      <w:pPr>
        <w:autoSpaceDE w:val="0"/>
        <w:autoSpaceDN w:val="0"/>
        <w:adjustRightInd w:val="0"/>
        <w:spacing w:after="0" w:line="240" w:lineRule="auto"/>
        <w:rPr>
          <w:rFonts w:ascii="TimesNewRomanPSMT" w:hAnsi="TimesNewRomanPSMT" w:cs="TimesNewRomanPSMT"/>
          <w:sz w:val="24"/>
          <w:szCs w:val="24"/>
        </w:rPr>
      </w:pPr>
    </w:p>
    <w:p w:rsidR="00920CCF" w:rsidRDefault="00920CCF" w:rsidP="00920CCF">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Article 29(1) is not confined to minorities but extends to all sections of citizens. Similarly, Article 30(1) is not confined to those minorities which have a distinct language, script or culture but extends to all religious and linguistic minorities. While, Article 30(1) gives the </w:t>
      </w:r>
      <w:r>
        <w:rPr>
          <w:rFonts w:ascii="TimesNewRomanPSMT" w:hAnsi="TimesNewRomanPSMT" w:cs="TimesNewRomanPSMT"/>
          <w:sz w:val="24"/>
          <w:szCs w:val="24"/>
        </w:rPr>
        <w:lastRenderedPageBreak/>
        <w:t>right to establish and administer educational institutions of minorities’ choice, on the contrary, Article 29(1) gives a right to conserve the language, script or culture. Thus, the right under Article 29(1) can be exercised without establishing an educational institution. Also, a minority may administer an institution for religious education which is wholly unconnected with any question of conserving language, script or culture. The scope of Article 30(1) limits  itself by allowing only linguistic or religious minorities to establish and administer an educational institution of their choice.</w:t>
      </w:r>
    </w:p>
    <w:p w:rsidR="00920CCF" w:rsidRDefault="00920CCF" w:rsidP="00920CCF">
      <w:pPr>
        <w:autoSpaceDE w:val="0"/>
        <w:autoSpaceDN w:val="0"/>
        <w:adjustRightInd w:val="0"/>
        <w:spacing w:after="0" w:line="240" w:lineRule="auto"/>
        <w:rPr>
          <w:rFonts w:ascii="TimesNewRomanPSMT" w:hAnsi="TimesNewRomanPSMT" w:cs="TimesNewRomanPSMT"/>
          <w:sz w:val="24"/>
          <w:szCs w:val="24"/>
        </w:rPr>
      </w:pPr>
    </w:p>
    <w:p w:rsidR="00920CCF" w:rsidRDefault="00920CCF" w:rsidP="00920CCF">
      <w:pPr>
        <w:autoSpaceDE w:val="0"/>
        <w:autoSpaceDN w:val="0"/>
        <w:adjustRightInd w:val="0"/>
        <w:spacing w:after="0" w:line="240" w:lineRule="auto"/>
        <w:rPr>
          <w:rFonts w:ascii="TimesNewRomanPSMT" w:hAnsi="TimesNewRomanPSMT" w:cs="TimesNewRomanPSMT"/>
          <w:sz w:val="24"/>
          <w:szCs w:val="24"/>
        </w:rPr>
      </w:pPr>
      <w:r w:rsidRPr="00920CCF">
        <w:rPr>
          <w:rFonts w:ascii="Times New Roman" w:eastAsia="Times New Roman" w:hAnsi="Times New Roman" w:cs="Times New Roman"/>
          <w:b/>
          <w:bCs/>
          <w:color w:val="000000"/>
          <w:sz w:val="24"/>
          <w:szCs w:val="24"/>
        </w:rPr>
        <w:t>TMA Pai Foundation vs State of Karnataka</w:t>
      </w:r>
      <w:r>
        <w:rPr>
          <w:rFonts w:ascii="Times New Roman" w:eastAsia="Times New Roman" w:hAnsi="Times New Roman" w:cs="Times New Roman"/>
          <w:b/>
          <w:bCs/>
          <w:color w:val="000000"/>
          <w:sz w:val="24"/>
          <w:szCs w:val="24"/>
        </w:rPr>
        <w:t xml:space="preserve"> - </w:t>
      </w:r>
      <w:r>
        <w:rPr>
          <w:rFonts w:ascii="TimesNewRomanPSMT" w:hAnsi="TimesNewRomanPSMT" w:cs="TimesNewRomanPSMT"/>
          <w:sz w:val="24"/>
          <w:szCs w:val="24"/>
        </w:rPr>
        <w:t>The clause does not confer a legal right on</w:t>
      </w:r>
      <w:r w:rsidR="00B10095">
        <w:rPr>
          <w:rFonts w:ascii="TimesNewRomanPSMT" w:hAnsi="TimesNewRomanPSMT" w:cs="TimesNewRomanPSMT"/>
          <w:sz w:val="24"/>
          <w:szCs w:val="24"/>
        </w:rPr>
        <w:t xml:space="preserve"> </w:t>
      </w:r>
      <w:r>
        <w:rPr>
          <w:rFonts w:ascii="TimesNewRomanPSMT" w:hAnsi="TimesNewRomanPSMT" w:cs="TimesNewRomanPSMT"/>
          <w:sz w:val="24"/>
          <w:szCs w:val="24"/>
        </w:rPr>
        <w:t>the members belonging to other</w:t>
      </w:r>
      <w:r w:rsidR="00B10095">
        <w:rPr>
          <w:rFonts w:ascii="TimesNewRomanPSMT" w:hAnsi="TimesNewRomanPSMT" w:cs="TimesNewRomanPSMT"/>
          <w:sz w:val="24"/>
          <w:szCs w:val="24"/>
        </w:rPr>
        <w:t xml:space="preserve"> </w:t>
      </w:r>
      <w:r>
        <w:rPr>
          <w:rFonts w:ascii="TimesNewRomanPSMT" w:hAnsi="TimesNewRomanPSMT" w:cs="TimesNewRomanPSMT"/>
          <w:sz w:val="24"/>
          <w:szCs w:val="24"/>
        </w:rPr>
        <w:t>communities to freely profess, practice and propagate their religion within the</w:t>
      </w:r>
      <w:r w:rsidR="00B10095">
        <w:rPr>
          <w:rFonts w:ascii="TimesNewRomanPSMT" w:hAnsi="TimesNewRomanPSMT" w:cs="TimesNewRomanPSMT"/>
          <w:sz w:val="24"/>
          <w:szCs w:val="24"/>
        </w:rPr>
        <w:t xml:space="preserve"> </w:t>
      </w:r>
      <w:r>
        <w:rPr>
          <w:rFonts w:ascii="TimesNewRomanPSMT" w:hAnsi="TimesNewRomanPSMT" w:cs="TimesNewRomanPSMT"/>
          <w:sz w:val="24"/>
          <w:szCs w:val="24"/>
        </w:rPr>
        <w:t>precincts of a college run by a minority community. The clause cannot be invoked</w:t>
      </w:r>
      <w:r w:rsidR="00B10095">
        <w:rPr>
          <w:rFonts w:ascii="TimesNewRomanPSMT" w:hAnsi="TimesNewRomanPSMT" w:cs="TimesNewRomanPSMT"/>
          <w:sz w:val="24"/>
          <w:szCs w:val="24"/>
        </w:rPr>
        <w:t xml:space="preserve"> </w:t>
      </w:r>
      <w:r>
        <w:rPr>
          <w:rFonts w:ascii="TimesNewRomanPSMT" w:hAnsi="TimesNewRomanPSMT" w:cs="TimesNewRomanPSMT"/>
          <w:sz w:val="24"/>
          <w:szCs w:val="24"/>
        </w:rPr>
        <w:t>where refusal of admission to a student is on the ground of his not possessing</w:t>
      </w:r>
      <w:r w:rsidR="00B10095">
        <w:rPr>
          <w:rFonts w:ascii="TimesNewRomanPSMT" w:hAnsi="TimesNewRomanPSMT" w:cs="TimesNewRomanPSMT"/>
          <w:sz w:val="24"/>
          <w:szCs w:val="24"/>
        </w:rPr>
        <w:t xml:space="preserve"> </w:t>
      </w:r>
      <w:r>
        <w:rPr>
          <w:rFonts w:ascii="TimesNewRomanPSMT" w:hAnsi="TimesNewRomanPSMT" w:cs="TimesNewRomanPSMT"/>
          <w:sz w:val="24"/>
          <w:szCs w:val="24"/>
        </w:rPr>
        <w:t>requisite qualifications or where a student is expelled for acts of indiscipline. The unaided majority institutions do not stand in the same position as the unaided minority institutions. The latter are free to admit students exclusively from the minority</w:t>
      </w:r>
      <w:r w:rsidR="00B10095">
        <w:rPr>
          <w:rFonts w:ascii="TimesNewRomanPSMT" w:hAnsi="TimesNewRomanPSMT" w:cs="TimesNewRomanPSMT"/>
          <w:sz w:val="24"/>
          <w:szCs w:val="24"/>
        </w:rPr>
        <w:t xml:space="preserve"> </w:t>
      </w:r>
      <w:r>
        <w:rPr>
          <w:rFonts w:ascii="TimesNewRomanPSMT" w:hAnsi="TimesNewRomanPSMT" w:cs="TimesNewRomanPSMT"/>
          <w:sz w:val="24"/>
          <w:szCs w:val="24"/>
        </w:rPr>
        <w:t>community while the former may be subjected to any other reasonable restrictions in public interest.</w:t>
      </w:r>
    </w:p>
    <w:p w:rsidR="00B10095" w:rsidRDefault="00B10095" w:rsidP="00920CCF">
      <w:pPr>
        <w:autoSpaceDE w:val="0"/>
        <w:autoSpaceDN w:val="0"/>
        <w:adjustRightInd w:val="0"/>
        <w:spacing w:after="0" w:line="240" w:lineRule="auto"/>
        <w:rPr>
          <w:rFonts w:ascii="TimesNewRomanPSMT" w:hAnsi="TimesNewRomanPSMT" w:cs="TimesNewRomanPSMT"/>
          <w:sz w:val="24"/>
          <w:szCs w:val="24"/>
        </w:rPr>
      </w:pPr>
    </w:p>
    <w:p w:rsidR="00B10095" w:rsidRPr="00A27505" w:rsidRDefault="00B10095" w:rsidP="00920CCF">
      <w:pPr>
        <w:autoSpaceDE w:val="0"/>
        <w:autoSpaceDN w:val="0"/>
        <w:adjustRightInd w:val="0"/>
        <w:spacing w:after="0" w:line="240" w:lineRule="auto"/>
        <w:rPr>
          <w:rFonts w:ascii="TimesNewRomanPS-BoldMT" w:hAnsi="TimesNewRomanPS-BoldMT" w:cs="TimesNewRomanPS-BoldMT"/>
          <w:b/>
          <w:bCs/>
          <w:sz w:val="32"/>
          <w:szCs w:val="32"/>
          <w:u w:val="single"/>
        </w:rPr>
      </w:pPr>
      <w:r w:rsidRPr="00A27505">
        <w:rPr>
          <w:rFonts w:ascii="TimesNewRomanPS-BoldMT" w:hAnsi="TimesNewRomanPS-BoldMT" w:cs="TimesNewRomanPS-BoldMT"/>
          <w:b/>
          <w:bCs/>
          <w:sz w:val="32"/>
          <w:szCs w:val="32"/>
          <w:u w:val="single"/>
        </w:rPr>
        <w:t>Article 30</w:t>
      </w:r>
    </w:p>
    <w:p w:rsidR="00B10095" w:rsidRDefault="00B10095" w:rsidP="00920CCF">
      <w:pPr>
        <w:autoSpaceDE w:val="0"/>
        <w:autoSpaceDN w:val="0"/>
        <w:adjustRightInd w:val="0"/>
        <w:spacing w:after="0" w:line="240" w:lineRule="auto"/>
        <w:rPr>
          <w:rFonts w:ascii="TimesNewRomanPSMT" w:hAnsi="TimesNewRomanPSMT" w:cs="TimesNewRomanPSMT"/>
          <w:sz w:val="24"/>
          <w:szCs w:val="24"/>
        </w:rPr>
      </w:pPr>
    </w:p>
    <w:p w:rsidR="00B10095" w:rsidRDefault="00B10095" w:rsidP="00B1009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fact that the expression “minorities” in article 30(1) is used as distinct from “any sections of citizens” in article 29(1) lends support to the view that article 30(1) deals with national minorities or minorities recognised in the context of the entire nation.</w:t>
      </w:r>
    </w:p>
    <w:p w:rsidR="00B10095" w:rsidRDefault="00B10095" w:rsidP="00B10095">
      <w:pPr>
        <w:autoSpaceDE w:val="0"/>
        <w:autoSpaceDN w:val="0"/>
        <w:adjustRightInd w:val="0"/>
        <w:spacing w:after="0" w:line="240" w:lineRule="auto"/>
        <w:rPr>
          <w:rFonts w:ascii="TimesNewRomanPSMT" w:hAnsi="TimesNewRomanPSMT" w:cs="TimesNewRomanPSMT"/>
          <w:sz w:val="24"/>
          <w:szCs w:val="24"/>
        </w:rPr>
      </w:pPr>
    </w:p>
    <w:p w:rsidR="00B10095" w:rsidRDefault="00B10095" w:rsidP="00B10095">
      <w:pPr>
        <w:autoSpaceDE w:val="0"/>
        <w:autoSpaceDN w:val="0"/>
        <w:adjustRightInd w:val="0"/>
        <w:spacing w:after="0" w:line="240" w:lineRule="auto"/>
        <w:rPr>
          <w:rFonts w:ascii="TimesNewRomanPSMT" w:hAnsi="TimesNewRomanPSMT" w:cs="TimesNewRomanPSMT"/>
          <w:sz w:val="24"/>
          <w:szCs w:val="24"/>
        </w:rPr>
      </w:pPr>
      <w:r w:rsidRPr="00B10095">
        <w:rPr>
          <w:rFonts w:ascii="TimesNewRomanPSMT" w:hAnsi="TimesNewRomanPSMT" w:cs="TimesNewRomanPSMT"/>
          <w:sz w:val="24"/>
          <w:szCs w:val="24"/>
        </w:rPr>
        <w:t>Vulnerability of a religion or language must be an essential element in the</w:t>
      </w:r>
      <w:r>
        <w:rPr>
          <w:rFonts w:ascii="TimesNewRomanPSMT" w:hAnsi="TimesNewRomanPSMT" w:cs="TimesNewRomanPSMT"/>
          <w:sz w:val="24"/>
          <w:szCs w:val="24"/>
        </w:rPr>
        <w:t xml:space="preserve"> </w:t>
      </w:r>
      <w:r w:rsidRPr="00B10095">
        <w:rPr>
          <w:rFonts w:ascii="TimesNewRomanPSMT" w:hAnsi="TimesNewRomanPSMT" w:cs="TimesNewRomanPSMT"/>
          <w:sz w:val="24"/>
          <w:szCs w:val="24"/>
        </w:rPr>
        <w:t>determination of minority under that article. Article 30 does not protect political</w:t>
      </w:r>
      <w:r>
        <w:rPr>
          <w:rFonts w:ascii="TimesNewRomanPSMT" w:hAnsi="TimesNewRomanPSMT" w:cs="TimesNewRomanPSMT"/>
          <w:sz w:val="24"/>
          <w:szCs w:val="24"/>
        </w:rPr>
        <w:t xml:space="preserve"> </w:t>
      </w:r>
      <w:r w:rsidRPr="00B10095">
        <w:rPr>
          <w:rFonts w:ascii="TimesNewRomanPSMT" w:hAnsi="TimesNewRomanPSMT" w:cs="TimesNewRomanPSMT"/>
          <w:sz w:val="24"/>
          <w:szCs w:val="24"/>
        </w:rPr>
        <w:t>minorities which are determined on the basis of numerical strength. It protects</w:t>
      </w:r>
      <w:r>
        <w:rPr>
          <w:rFonts w:ascii="TimesNewRomanPSMT" w:hAnsi="TimesNewRomanPSMT" w:cs="TimesNewRomanPSMT"/>
          <w:sz w:val="24"/>
          <w:szCs w:val="24"/>
        </w:rPr>
        <w:t xml:space="preserve"> </w:t>
      </w:r>
      <w:r w:rsidRPr="00B10095">
        <w:rPr>
          <w:rFonts w:ascii="TimesNewRomanPSMT" w:hAnsi="TimesNewRomanPSMT" w:cs="TimesNewRomanPSMT"/>
          <w:sz w:val="24"/>
          <w:szCs w:val="24"/>
        </w:rPr>
        <w:t>insulated sections of the society</w:t>
      </w:r>
      <w:r>
        <w:rPr>
          <w:rFonts w:ascii="TimesNewRomanPSMT" w:hAnsi="TimesNewRomanPSMT" w:cs="TimesNewRomanPSMT"/>
          <w:sz w:val="24"/>
          <w:szCs w:val="24"/>
        </w:rPr>
        <w:t xml:space="preserve"> </w:t>
      </w:r>
      <w:r w:rsidRPr="00B10095">
        <w:rPr>
          <w:rFonts w:ascii="TimesNewRomanPSMT" w:hAnsi="TimesNewRomanPSMT" w:cs="TimesNewRomanPSMT"/>
          <w:sz w:val="24"/>
          <w:szCs w:val="24"/>
        </w:rPr>
        <w:t>whose vote may influence politics but is not decisive</w:t>
      </w:r>
      <w:r>
        <w:rPr>
          <w:rFonts w:ascii="TimesNewRomanPSMT" w:hAnsi="TimesNewRomanPSMT" w:cs="TimesNewRomanPSMT"/>
          <w:sz w:val="24"/>
          <w:szCs w:val="24"/>
        </w:rPr>
        <w:t xml:space="preserve"> </w:t>
      </w:r>
      <w:r w:rsidRPr="00B10095">
        <w:rPr>
          <w:rFonts w:ascii="TimesNewRomanPSMT" w:hAnsi="TimesNewRomanPSMT" w:cs="TimesNewRomanPSMT"/>
          <w:sz w:val="24"/>
          <w:szCs w:val="24"/>
        </w:rPr>
        <w:t>in itself.</w:t>
      </w:r>
      <w:r>
        <w:rPr>
          <w:rFonts w:ascii="TimesNewRomanPSMT" w:hAnsi="TimesNewRomanPSMT" w:cs="TimesNewRomanPSMT"/>
          <w:sz w:val="24"/>
          <w:szCs w:val="24"/>
        </w:rPr>
        <w:t xml:space="preserve"> </w:t>
      </w:r>
    </w:p>
    <w:p w:rsidR="00B10095" w:rsidRDefault="00B10095" w:rsidP="00B10095">
      <w:pPr>
        <w:autoSpaceDE w:val="0"/>
        <w:autoSpaceDN w:val="0"/>
        <w:adjustRightInd w:val="0"/>
        <w:spacing w:after="0" w:line="240" w:lineRule="auto"/>
        <w:rPr>
          <w:rFonts w:ascii="TimesNewRomanPSMT" w:hAnsi="TimesNewRomanPSMT" w:cs="TimesNewRomanPSMT"/>
          <w:sz w:val="24"/>
          <w:szCs w:val="24"/>
        </w:rPr>
      </w:pPr>
    </w:p>
    <w:p w:rsidR="00B10095" w:rsidRPr="00920CCF" w:rsidRDefault="00B10095" w:rsidP="00B1009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The article leaves it to their </w:t>
      </w:r>
      <w:r>
        <w:rPr>
          <w:rFonts w:ascii="TimesNewRomanPS-ItalicMT" w:hAnsi="TimesNewRomanPS-ItalicMT" w:cs="TimesNewRomanPS-ItalicMT"/>
          <w:i/>
          <w:iCs/>
          <w:sz w:val="24"/>
          <w:szCs w:val="24"/>
        </w:rPr>
        <w:t xml:space="preserve">choice </w:t>
      </w:r>
      <w:r>
        <w:rPr>
          <w:rFonts w:ascii="TimesNewRomanPSMT" w:hAnsi="TimesNewRomanPSMT" w:cs="TimesNewRomanPSMT"/>
          <w:sz w:val="24"/>
          <w:szCs w:val="24"/>
        </w:rPr>
        <w:t>to establish such educational institutions as will serve both the purposes, namely, the purpose of conserving their religion, language or culture and also the purpose of giving a thorough general education to their children. Minorities, however, not entitled to have educational institutions exclusively for their own benefit.</w:t>
      </w:r>
    </w:p>
    <w:p w:rsidR="00920CCF" w:rsidRDefault="00920CCF" w:rsidP="00920CCF">
      <w:pPr>
        <w:autoSpaceDE w:val="0"/>
        <w:autoSpaceDN w:val="0"/>
        <w:adjustRightInd w:val="0"/>
        <w:spacing w:after="0" w:line="240" w:lineRule="auto"/>
        <w:rPr>
          <w:rFonts w:ascii="TimesNewRomanPSMT" w:hAnsi="TimesNewRomanPSMT" w:cs="TimesNewRomanPSMT"/>
          <w:sz w:val="24"/>
          <w:szCs w:val="24"/>
        </w:rPr>
      </w:pPr>
    </w:p>
    <w:p w:rsidR="00B10095" w:rsidRDefault="00B10095" w:rsidP="00B10095">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PA Inamdar vs. State of Maharashtra</w:t>
      </w:r>
      <w:r>
        <w:rPr>
          <w:rFonts w:ascii="TimesNewRomanPSMT" w:hAnsi="TimesNewRomanPSMT" w:cs="TimesNewRomanPSMT"/>
          <w:sz w:val="24"/>
          <w:szCs w:val="24"/>
        </w:rPr>
        <w:t xml:space="preserve"> - </w:t>
      </w:r>
      <w:r w:rsidRPr="00B10095">
        <w:rPr>
          <w:rFonts w:ascii="TimesNewRomanPSMT" w:hAnsi="TimesNewRomanPSMT" w:cs="TimesNewRomanPSMT"/>
          <w:sz w:val="24"/>
          <w:szCs w:val="24"/>
        </w:rPr>
        <w:t>for the application of this</w:t>
      </w:r>
      <w:r>
        <w:rPr>
          <w:rFonts w:ascii="TimesNewRomanPSMT" w:hAnsi="TimesNewRomanPSMT" w:cs="TimesNewRomanPSMT"/>
          <w:sz w:val="24"/>
          <w:szCs w:val="24"/>
        </w:rPr>
        <w:t xml:space="preserve"> </w:t>
      </w:r>
      <w:r w:rsidRPr="00B10095">
        <w:rPr>
          <w:rFonts w:ascii="TimesNewRomanPSMT" w:hAnsi="TimesNewRomanPSMT" w:cs="TimesNewRomanPSMT"/>
          <w:sz w:val="24"/>
          <w:szCs w:val="24"/>
        </w:rPr>
        <w:t>right minority</w:t>
      </w:r>
      <w:r>
        <w:rPr>
          <w:rFonts w:ascii="TimesNewRomanPSMT" w:hAnsi="TimesNewRomanPSMT" w:cs="TimesNewRomanPSMT"/>
          <w:sz w:val="24"/>
          <w:szCs w:val="24"/>
        </w:rPr>
        <w:t xml:space="preserve"> </w:t>
      </w:r>
      <w:r w:rsidRPr="00B10095">
        <w:rPr>
          <w:rFonts w:ascii="TimesNewRomanPSMT" w:hAnsi="TimesNewRomanPSMT" w:cs="TimesNewRomanPSMT"/>
          <w:sz w:val="24"/>
          <w:szCs w:val="24"/>
        </w:rPr>
        <w:t>institutions are divided into three classes: 1) institutions which neither</w:t>
      </w:r>
      <w:r>
        <w:rPr>
          <w:rFonts w:ascii="TimesNewRomanPSMT" w:hAnsi="TimesNewRomanPSMT" w:cs="TimesNewRomanPSMT"/>
          <w:sz w:val="24"/>
          <w:szCs w:val="24"/>
        </w:rPr>
        <w:t xml:space="preserve"> </w:t>
      </w:r>
      <w:r w:rsidRPr="00B10095">
        <w:rPr>
          <w:rFonts w:ascii="TimesNewRomanPSMT" w:hAnsi="TimesNewRomanPSMT" w:cs="TimesNewRomanPSMT"/>
          <w:sz w:val="24"/>
          <w:szCs w:val="24"/>
        </w:rPr>
        <w:t>seek aid nor recognition from the state 2) institutions that seek aid from the State and</w:t>
      </w:r>
      <w:r>
        <w:rPr>
          <w:rFonts w:ascii="TimesNewRomanPSMT" w:hAnsi="TimesNewRomanPSMT" w:cs="TimesNewRomanPSMT"/>
          <w:sz w:val="24"/>
          <w:szCs w:val="24"/>
        </w:rPr>
        <w:t xml:space="preserve"> </w:t>
      </w:r>
      <w:r w:rsidRPr="00B10095">
        <w:rPr>
          <w:rFonts w:ascii="TimesNewRomanPSMT" w:hAnsi="TimesNewRomanPSMT" w:cs="TimesNewRomanPSMT"/>
          <w:sz w:val="24"/>
          <w:szCs w:val="24"/>
        </w:rPr>
        <w:t>3) institutions which seek recognition but not aid. The institutions belonging to the</w:t>
      </w:r>
      <w:r>
        <w:rPr>
          <w:rFonts w:ascii="TimesNewRomanPSMT" w:hAnsi="TimesNewRomanPSMT" w:cs="TimesNewRomanPSMT"/>
          <w:sz w:val="24"/>
          <w:szCs w:val="24"/>
        </w:rPr>
        <w:t xml:space="preserve"> </w:t>
      </w:r>
      <w:r w:rsidRPr="00B10095">
        <w:rPr>
          <w:rFonts w:ascii="TimesNewRomanPSMT" w:hAnsi="TimesNewRomanPSMT" w:cs="TimesNewRomanPSMT"/>
          <w:sz w:val="24"/>
          <w:szCs w:val="24"/>
        </w:rPr>
        <w:t>first category cannot be subjected to any regulations except those emanating from the</w:t>
      </w:r>
      <w:r>
        <w:rPr>
          <w:rFonts w:ascii="TimesNewRomanPSMT" w:hAnsi="TimesNewRomanPSMT" w:cs="TimesNewRomanPSMT"/>
          <w:sz w:val="24"/>
          <w:szCs w:val="24"/>
        </w:rPr>
        <w:t xml:space="preserve"> </w:t>
      </w:r>
      <w:r w:rsidRPr="00B10095">
        <w:rPr>
          <w:rFonts w:ascii="TimesNewRomanPSMT" w:hAnsi="TimesNewRomanPSMT" w:cs="TimesNewRomanPSMT"/>
          <w:sz w:val="24"/>
          <w:szCs w:val="24"/>
        </w:rPr>
        <w:t>general laws of the</w:t>
      </w:r>
      <w:r w:rsidR="00B86553">
        <w:rPr>
          <w:rFonts w:ascii="TimesNewRomanPSMT" w:hAnsi="TimesNewRomanPSMT" w:cs="TimesNewRomanPSMT"/>
          <w:sz w:val="24"/>
          <w:szCs w:val="24"/>
        </w:rPr>
        <w:t xml:space="preserve"> </w:t>
      </w:r>
      <w:r w:rsidRPr="00B10095">
        <w:rPr>
          <w:rFonts w:ascii="TimesNewRomanPSMT" w:hAnsi="TimesNewRomanPSMT" w:cs="TimesNewRomanPSMT"/>
          <w:sz w:val="24"/>
          <w:szCs w:val="24"/>
        </w:rPr>
        <w:t>land such as labor, contract or tax laws, however, the institutions</w:t>
      </w:r>
      <w:r>
        <w:rPr>
          <w:rFonts w:ascii="TimesNewRomanPSMT" w:hAnsi="TimesNewRomanPSMT" w:cs="TimesNewRomanPSMT"/>
          <w:sz w:val="24"/>
          <w:szCs w:val="24"/>
        </w:rPr>
        <w:t xml:space="preserve"> </w:t>
      </w:r>
      <w:r w:rsidRPr="00B10095">
        <w:rPr>
          <w:rFonts w:ascii="TimesNewRomanPSMT" w:hAnsi="TimesNewRomanPSMT" w:cs="TimesNewRomanPSMT"/>
          <w:sz w:val="24"/>
          <w:szCs w:val="24"/>
        </w:rPr>
        <w:t>belonging to the second and third class can be subjected to regul</w:t>
      </w:r>
      <w:r w:rsidR="00B86553">
        <w:rPr>
          <w:rFonts w:ascii="TimesNewRomanPSMT" w:hAnsi="TimesNewRomanPSMT" w:cs="TimesNewRomanPSMT"/>
          <w:sz w:val="24"/>
          <w:szCs w:val="24"/>
        </w:rPr>
        <w:t>a</w:t>
      </w:r>
      <w:r w:rsidRPr="00B10095">
        <w:rPr>
          <w:rFonts w:ascii="TimesNewRomanPSMT" w:hAnsi="TimesNewRomanPSMT" w:cs="TimesNewRomanPSMT"/>
          <w:sz w:val="24"/>
          <w:szCs w:val="24"/>
        </w:rPr>
        <w:t>tions pertaining to</w:t>
      </w:r>
      <w:r>
        <w:rPr>
          <w:rFonts w:ascii="TimesNewRomanPSMT" w:hAnsi="TimesNewRomanPSMT" w:cs="TimesNewRomanPSMT"/>
          <w:sz w:val="24"/>
          <w:szCs w:val="24"/>
        </w:rPr>
        <w:t xml:space="preserve"> </w:t>
      </w:r>
      <w:r w:rsidRPr="00B10095">
        <w:rPr>
          <w:rFonts w:ascii="TimesNewRomanPSMT" w:hAnsi="TimesNewRomanPSMT" w:cs="TimesNewRomanPSMT"/>
          <w:sz w:val="24"/>
          <w:szCs w:val="24"/>
        </w:rPr>
        <w:t>the academic standards and to better administration of the institution in the interest of</w:t>
      </w:r>
      <w:r>
        <w:rPr>
          <w:rFonts w:ascii="TimesNewRomanPSMT" w:hAnsi="TimesNewRomanPSMT" w:cs="TimesNewRomanPSMT"/>
          <w:sz w:val="24"/>
          <w:szCs w:val="24"/>
        </w:rPr>
        <w:t xml:space="preserve"> </w:t>
      </w:r>
      <w:r w:rsidRPr="00B10095">
        <w:rPr>
          <w:rFonts w:ascii="TimesNewRomanPSMT" w:hAnsi="TimesNewRomanPSMT" w:cs="TimesNewRomanPSMT"/>
          <w:sz w:val="24"/>
          <w:szCs w:val="24"/>
        </w:rPr>
        <w:t>that institution itself. The regulations should</w:t>
      </w:r>
      <w:r>
        <w:rPr>
          <w:rFonts w:ascii="TimesNewRomanPSMT" w:hAnsi="TimesNewRomanPSMT" w:cs="TimesNewRomanPSMT"/>
          <w:sz w:val="24"/>
          <w:szCs w:val="24"/>
        </w:rPr>
        <w:t xml:space="preserve"> </w:t>
      </w:r>
      <w:r w:rsidRPr="00B10095">
        <w:rPr>
          <w:rFonts w:ascii="TimesNewRomanPSMT" w:hAnsi="TimesNewRomanPSMT" w:cs="TimesNewRomanPSMT"/>
          <w:sz w:val="24"/>
          <w:szCs w:val="24"/>
        </w:rPr>
        <w:t>be conducive to making the institution an</w:t>
      </w:r>
      <w:r>
        <w:rPr>
          <w:rFonts w:ascii="TimesNewRomanPSMT" w:hAnsi="TimesNewRomanPSMT" w:cs="TimesNewRomanPSMT"/>
          <w:sz w:val="24"/>
          <w:szCs w:val="24"/>
        </w:rPr>
        <w:t xml:space="preserve"> </w:t>
      </w:r>
      <w:r w:rsidRPr="00B10095">
        <w:rPr>
          <w:rFonts w:ascii="TimesNewRomanPSMT" w:hAnsi="TimesNewRomanPSMT" w:cs="TimesNewRomanPSMT"/>
          <w:sz w:val="24"/>
          <w:szCs w:val="24"/>
        </w:rPr>
        <w:t>effective vehicle of education for the minority</w:t>
      </w:r>
      <w:r>
        <w:rPr>
          <w:rFonts w:ascii="TimesNewRomanPSMT" w:hAnsi="TimesNewRomanPSMT" w:cs="TimesNewRomanPSMT"/>
          <w:sz w:val="24"/>
          <w:szCs w:val="24"/>
        </w:rPr>
        <w:t xml:space="preserve"> </w:t>
      </w:r>
      <w:r w:rsidRPr="00B10095">
        <w:rPr>
          <w:rFonts w:ascii="TimesNewRomanPSMT" w:hAnsi="TimesNewRomanPSMT" w:cs="TimesNewRomanPSMT"/>
          <w:sz w:val="24"/>
          <w:szCs w:val="24"/>
        </w:rPr>
        <w:t>community or other persons who resort</w:t>
      </w:r>
      <w:r>
        <w:rPr>
          <w:rFonts w:ascii="TimesNewRomanPSMT" w:hAnsi="TimesNewRomanPSMT" w:cs="TimesNewRomanPSMT"/>
          <w:sz w:val="24"/>
          <w:szCs w:val="24"/>
        </w:rPr>
        <w:t xml:space="preserve"> </w:t>
      </w:r>
      <w:r w:rsidRPr="00B10095">
        <w:rPr>
          <w:rFonts w:ascii="TimesNewRomanPSMT" w:hAnsi="TimesNewRomanPSMT" w:cs="TimesNewRomanPSMT"/>
          <w:sz w:val="24"/>
          <w:szCs w:val="24"/>
        </w:rPr>
        <w:t>to it. Thus, regulations as are in the interests of efficiency of instruction, discipline,</w:t>
      </w:r>
      <w:r>
        <w:rPr>
          <w:rFonts w:ascii="TimesNewRomanPSMT" w:hAnsi="TimesNewRomanPSMT" w:cs="TimesNewRomanPSMT"/>
          <w:sz w:val="24"/>
          <w:szCs w:val="24"/>
        </w:rPr>
        <w:t xml:space="preserve"> </w:t>
      </w:r>
      <w:r w:rsidRPr="00B10095">
        <w:rPr>
          <w:rFonts w:ascii="TimesNewRomanPSMT" w:hAnsi="TimesNewRomanPSMT" w:cs="TimesNewRomanPSMT"/>
          <w:sz w:val="24"/>
          <w:szCs w:val="24"/>
        </w:rPr>
        <w:t>health, sanitation, public order and the like may</w:t>
      </w:r>
      <w:r>
        <w:rPr>
          <w:rFonts w:ascii="TimesNewRomanPSMT" w:hAnsi="TimesNewRomanPSMT" w:cs="TimesNewRomanPSMT"/>
          <w:sz w:val="24"/>
          <w:szCs w:val="24"/>
        </w:rPr>
        <w:t xml:space="preserve"> </w:t>
      </w:r>
      <w:r w:rsidRPr="00B10095">
        <w:rPr>
          <w:rFonts w:ascii="TimesNewRomanPSMT" w:hAnsi="TimesNewRomanPSMT" w:cs="TimesNewRomanPSMT"/>
          <w:sz w:val="24"/>
          <w:szCs w:val="24"/>
        </w:rPr>
        <w:t>undoubtedly be imposed but not</w:t>
      </w:r>
      <w:r>
        <w:rPr>
          <w:rFonts w:ascii="TimesNewRomanPSMT" w:hAnsi="TimesNewRomanPSMT" w:cs="TimesNewRomanPSMT"/>
          <w:sz w:val="24"/>
          <w:szCs w:val="24"/>
        </w:rPr>
        <w:t xml:space="preserve"> </w:t>
      </w:r>
      <w:r w:rsidRPr="00B10095">
        <w:rPr>
          <w:rFonts w:ascii="TimesNewRomanPSMT" w:hAnsi="TimesNewRomanPSMT" w:cs="TimesNewRomanPSMT"/>
          <w:sz w:val="24"/>
          <w:szCs w:val="24"/>
        </w:rPr>
        <w:t>others.</w:t>
      </w:r>
    </w:p>
    <w:p w:rsidR="00B10095" w:rsidRDefault="00B10095" w:rsidP="00B10095">
      <w:pPr>
        <w:autoSpaceDE w:val="0"/>
        <w:autoSpaceDN w:val="0"/>
        <w:adjustRightInd w:val="0"/>
        <w:spacing w:after="0" w:line="240" w:lineRule="auto"/>
        <w:rPr>
          <w:rFonts w:ascii="TimesNewRomanPSMT" w:hAnsi="TimesNewRomanPSMT" w:cs="TimesNewRomanPSMT"/>
          <w:sz w:val="24"/>
          <w:szCs w:val="24"/>
        </w:rPr>
      </w:pPr>
    </w:p>
    <w:p w:rsidR="00FC62D7" w:rsidRDefault="00B10095" w:rsidP="00B10095">
      <w:pPr>
        <w:autoSpaceDE w:val="0"/>
        <w:autoSpaceDN w:val="0"/>
        <w:adjustRightInd w:val="0"/>
        <w:spacing w:after="0" w:line="240" w:lineRule="auto"/>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Islamic Academy of Education vs. State of Karnataka </w:t>
      </w:r>
      <w:r w:rsidR="00FC62D7">
        <w:rPr>
          <w:rFonts w:ascii="TimesNewRomanPS-BoldMT" w:hAnsi="TimesNewRomanPS-BoldMT" w:cs="TimesNewRomanPS-BoldMT"/>
          <w:b/>
          <w:bCs/>
          <w:sz w:val="24"/>
          <w:szCs w:val="24"/>
        </w:rPr>
        <w:t>–</w:t>
      </w:r>
      <w:r>
        <w:rPr>
          <w:rFonts w:ascii="TimesNewRomanPS-BoldMT" w:hAnsi="TimesNewRomanPS-BoldMT" w:cs="TimesNewRomanPS-BoldMT"/>
          <w:b/>
          <w:bCs/>
          <w:sz w:val="24"/>
          <w:szCs w:val="24"/>
        </w:rPr>
        <w:t xml:space="preserve"> </w:t>
      </w:r>
    </w:p>
    <w:p w:rsidR="00FC62D7" w:rsidRDefault="00FC62D7" w:rsidP="00B10095">
      <w:pPr>
        <w:autoSpaceDE w:val="0"/>
        <w:autoSpaceDN w:val="0"/>
        <w:adjustRightInd w:val="0"/>
        <w:spacing w:after="0" w:line="240" w:lineRule="auto"/>
        <w:rPr>
          <w:rFonts w:ascii="TimesNewRomanPS-BoldMT" w:hAnsi="TimesNewRomanPS-BoldMT" w:cs="TimesNewRomanPS-BoldMT"/>
          <w:b/>
          <w:bCs/>
          <w:sz w:val="24"/>
          <w:szCs w:val="24"/>
        </w:rPr>
      </w:pPr>
    </w:p>
    <w:p w:rsidR="00B10095" w:rsidRDefault="00B10095" w:rsidP="00FC62D7">
      <w:pPr>
        <w:pStyle w:val="ListParagraph"/>
        <w:numPr>
          <w:ilvl w:val="0"/>
          <w:numId w:val="6"/>
        </w:numPr>
        <w:autoSpaceDE w:val="0"/>
        <w:autoSpaceDN w:val="0"/>
        <w:adjustRightInd w:val="0"/>
        <w:spacing w:after="0" w:line="240" w:lineRule="auto"/>
        <w:rPr>
          <w:rFonts w:ascii="TimesNewRomanPSMT" w:hAnsi="TimesNewRomanPSMT" w:cs="TimesNewRomanPSMT"/>
          <w:sz w:val="24"/>
          <w:szCs w:val="24"/>
        </w:rPr>
      </w:pPr>
      <w:r w:rsidRPr="00FC62D7">
        <w:rPr>
          <w:rFonts w:ascii="TimesNewRomanPSMT" w:hAnsi="TimesNewRomanPSMT" w:cs="TimesNewRomanPSMT"/>
          <w:sz w:val="24"/>
          <w:szCs w:val="24"/>
        </w:rPr>
        <w:t xml:space="preserve">the court held that each institute will be entitled to have its own fee structure. But there can be no profiteering and capitation fees as imparting education is charitable in </w:t>
      </w:r>
      <w:r w:rsidRPr="00FC62D7">
        <w:rPr>
          <w:rFonts w:ascii="TimesNewRomanPSMT" w:hAnsi="TimesNewRomanPSMT" w:cs="TimesNewRomanPSMT"/>
          <w:sz w:val="24"/>
          <w:szCs w:val="24"/>
        </w:rPr>
        <w:lastRenderedPageBreak/>
        <w:t>nature and any surplus/prof</w:t>
      </w:r>
      <w:r w:rsidR="00B86553">
        <w:rPr>
          <w:rFonts w:ascii="TimesNewRomanPSMT" w:hAnsi="TimesNewRomanPSMT" w:cs="TimesNewRomanPSMT"/>
          <w:sz w:val="24"/>
          <w:szCs w:val="24"/>
        </w:rPr>
        <w:t>i</w:t>
      </w:r>
      <w:r w:rsidRPr="00FC62D7">
        <w:rPr>
          <w:rFonts w:ascii="TimesNewRomanPSMT" w:hAnsi="TimesNewRomanPSMT" w:cs="TimesNewRomanPSMT"/>
          <w:sz w:val="24"/>
          <w:szCs w:val="24"/>
        </w:rPr>
        <w:t xml:space="preserve">t generated must be used only for benefit of institution and not for any personal gain. </w:t>
      </w:r>
    </w:p>
    <w:p w:rsidR="00FC62D7" w:rsidRDefault="00FC62D7" w:rsidP="00FC62D7">
      <w:pPr>
        <w:pStyle w:val="ListParagraph"/>
        <w:autoSpaceDE w:val="0"/>
        <w:autoSpaceDN w:val="0"/>
        <w:adjustRightInd w:val="0"/>
        <w:spacing w:after="0" w:line="240" w:lineRule="auto"/>
        <w:rPr>
          <w:rFonts w:ascii="TimesNewRomanPSMT" w:hAnsi="TimesNewRomanPSMT" w:cs="TimesNewRomanPSMT"/>
          <w:sz w:val="24"/>
          <w:szCs w:val="24"/>
        </w:rPr>
      </w:pPr>
    </w:p>
    <w:p w:rsidR="00FC62D7" w:rsidRDefault="00FC62D7" w:rsidP="00FC62D7">
      <w:pPr>
        <w:pStyle w:val="ListParagraph"/>
        <w:numPr>
          <w:ilvl w:val="0"/>
          <w:numId w:val="6"/>
        </w:numPr>
        <w:autoSpaceDE w:val="0"/>
        <w:autoSpaceDN w:val="0"/>
        <w:adjustRightInd w:val="0"/>
        <w:spacing w:after="0" w:line="240" w:lineRule="auto"/>
        <w:rPr>
          <w:rFonts w:ascii="TimesNewRomanPSMT" w:hAnsi="TimesNewRomanPSMT" w:cs="TimesNewRomanPSMT"/>
          <w:sz w:val="24"/>
          <w:szCs w:val="24"/>
        </w:rPr>
      </w:pPr>
      <w:r w:rsidRPr="00FC62D7">
        <w:rPr>
          <w:rFonts w:ascii="TimesNewRomanPSMT" w:hAnsi="TimesNewRomanPSMT" w:cs="TimesNewRomanPSMT"/>
          <w:sz w:val="24"/>
          <w:szCs w:val="24"/>
        </w:rPr>
        <w:t>Non-minority educational institutions have the same rights</w:t>
      </w:r>
      <w:r>
        <w:rPr>
          <w:rFonts w:ascii="TimesNewRomanPSMT" w:hAnsi="TimesNewRomanPSMT" w:cs="TimesNewRomanPSMT"/>
          <w:sz w:val="24"/>
          <w:szCs w:val="24"/>
        </w:rPr>
        <w:t xml:space="preserve"> </w:t>
      </w:r>
      <w:r w:rsidRPr="00FC62D7">
        <w:rPr>
          <w:rFonts w:ascii="TimesNewRomanPSMT" w:hAnsi="TimesNewRomanPSMT" w:cs="TimesNewRomanPSMT"/>
          <w:sz w:val="24"/>
          <w:szCs w:val="24"/>
        </w:rPr>
        <w:t>as those conferred on minority educational institutions by art 30, but they do no</w:t>
      </w:r>
      <w:r>
        <w:rPr>
          <w:rFonts w:ascii="TimesNewRomanPSMT" w:hAnsi="TimesNewRomanPSMT" w:cs="TimesNewRomanPSMT"/>
          <w:sz w:val="24"/>
          <w:szCs w:val="24"/>
        </w:rPr>
        <w:t>t</w:t>
      </w:r>
      <w:r w:rsidRPr="00FC62D7">
        <w:rPr>
          <w:rFonts w:ascii="TimesNewRomanPSMT" w:hAnsi="TimesNewRomanPSMT" w:cs="TimesNewRomanPSMT"/>
          <w:sz w:val="24"/>
          <w:szCs w:val="24"/>
        </w:rPr>
        <w:t xml:space="preserve"> have protection of art 30.</w:t>
      </w:r>
    </w:p>
    <w:p w:rsidR="00FC62D7" w:rsidRPr="00FC62D7" w:rsidRDefault="00FC62D7" w:rsidP="00FC62D7">
      <w:pPr>
        <w:autoSpaceDE w:val="0"/>
        <w:autoSpaceDN w:val="0"/>
        <w:adjustRightInd w:val="0"/>
        <w:spacing w:after="0" w:line="240" w:lineRule="auto"/>
        <w:rPr>
          <w:rFonts w:ascii="TimesNewRomanPSMT" w:hAnsi="TimesNewRomanPSMT" w:cs="TimesNewRomanPSMT"/>
          <w:sz w:val="24"/>
          <w:szCs w:val="24"/>
        </w:rPr>
      </w:pPr>
    </w:p>
    <w:p w:rsidR="00FC62D7" w:rsidRDefault="00FC62D7" w:rsidP="00FC62D7">
      <w:pPr>
        <w:pStyle w:val="ListParagraph"/>
        <w:numPr>
          <w:ilvl w:val="0"/>
          <w:numId w:val="6"/>
        </w:numPr>
        <w:autoSpaceDE w:val="0"/>
        <w:autoSpaceDN w:val="0"/>
        <w:adjustRightInd w:val="0"/>
        <w:spacing w:after="0" w:line="240" w:lineRule="auto"/>
        <w:rPr>
          <w:rFonts w:ascii="TimesNewRomanPSMT" w:hAnsi="TimesNewRomanPSMT" w:cs="TimesNewRomanPSMT"/>
          <w:sz w:val="24"/>
          <w:szCs w:val="24"/>
        </w:rPr>
      </w:pPr>
      <w:r w:rsidRPr="00FC62D7">
        <w:rPr>
          <w:rFonts w:ascii="TimesNewRomanPSMT" w:hAnsi="TimesNewRomanPSMT" w:cs="TimesNewRomanPSMT"/>
          <w:sz w:val="24"/>
          <w:szCs w:val="24"/>
        </w:rPr>
        <w:t>The Committee</w:t>
      </w:r>
      <w:r>
        <w:rPr>
          <w:rFonts w:ascii="TimesNewRomanPSMT" w:hAnsi="TimesNewRomanPSMT" w:cs="TimesNewRomanPSMT"/>
          <w:sz w:val="24"/>
          <w:szCs w:val="24"/>
        </w:rPr>
        <w:t>(</w:t>
      </w:r>
      <w:r w:rsidRPr="00FC62D7">
        <w:rPr>
          <w:rFonts w:ascii="TimesNewRomanPSMT" w:hAnsi="TimesNewRomanPSMT" w:cs="TimesNewRomanPSMT"/>
          <w:sz w:val="24"/>
          <w:szCs w:val="24"/>
        </w:rPr>
        <w:t>the respective state government shall constitute a separate committee to be</w:t>
      </w:r>
      <w:r>
        <w:rPr>
          <w:rFonts w:ascii="TimesNewRomanPSMT" w:hAnsi="TimesNewRomanPSMT" w:cs="TimesNewRomanPSMT"/>
          <w:sz w:val="24"/>
          <w:szCs w:val="24"/>
        </w:rPr>
        <w:t xml:space="preserve"> </w:t>
      </w:r>
      <w:r w:rsidRPr="00FC62D7">
        <w:rPr>
          <w:rFonts w:ascii="TimesNewRomanPSMT" w:hAnsi="TimesNewRomanPSMT" w:cs="TimesNewRomanPSMT"/>
          <w:sz w:val="24"/>
          <w:szCs w:val="24"/>
        </w:rPr>
        <w:t>headed by a retired Judge of High Court</w:t>
      </w:r>
      <w:r>
        <w:rPr>
          <w:rFonts w:ascii="TimesNewRomanPSMT" w:hAnsi="TimesNewRomanPSMT" w:cs="TimesNewRomanPSMT"/>
          <w:sz w:val="24"/>
          <w:szCs w:val="24"/>
        </w:rPr>
        <w:t xml:space="preserve">) </w:t>
      </w:r>
      <w:r w:rsidRPr="00FC62D7">
        <w:rPr>
          <w:rFonts w:ascii="TimesNewRomanPSMT" w:hAnsi="TimesNewRomanPSMT" w:cs="TimesNewRomanPSMT"/>
          <w:sz w:val="24"/>
          <w:szCs w:val="24"/>
        </w:rPr>
        <w:t>would ensure that the tests conducted for the admission by these institutions were fair and transparent and in fixing percentage of quota for students to be admitted by the Management of unaided minority professional colleges, the State would keep in mind, apart from local needs, the paramount interest/need of that Community in the state.</w:t>
      </w:r>
    </w:p>
    <w:p w:rsidR="00FC62D7" w:rsidRPr="00FC62D7" w:rsidRDefault="00FC62D7" w:rsidP="00FC62D7">
      <w:pPr>
        <w:pStyle w:val="ListParagraph"/>
        <w:rPr>
          <w:rFonts w:ascii="TimesNewRomanPSMT" w:hAnsi="TimesNewRomanPSMT" w:cs="TimesNewRomanPSMT"/>
          <w:sz w:val="24"/>
          <w:szCs w:val="24"/>
        </w:rPr>
      </w:pPr>
    </w:p>
    <w:p w:rsidR="00FC62D7" w:rsidRPr="00A27505" w:rsidRDefault="00FC62D7" w:rsidP="00FC62D7">
      <w:pPr>
        <w:autoSpaceDE w:val="0"/>
        <w:autoSpaceDN w:val="0"/>
        <w:adjustRightInd w:val="0"/>
        <w:spacing w:after="0" w:line="240" w:lineRule="auto"/>
        <w:rPr>
          <w:rFonts w:ascii="TimesNewRomanPSMT" w:hAnsi="TimesNewRomanPSMT" w:cs="TimesNewRomanPSMT"/>
          <w:b/>
          <w:bCs/>
          <w:sz w:val="32"/>
          <w:szCs w:val="32"/>
          <w:u w:val="single"/>
        </w:rPr>
      </w:pPr>
      <w:r w:rsidRPr="00A27505">
        <w:rPr>
          <w:rFonts w:ascii="TimesNewRomanPSMT" w:hAnsi="TimesNewRomanPSMT" w:cs="TimesNewRomanPSMT"/>
          <w:b/>
          <w:bCs/>
          <w:sz w:val="32"/>
          <w:szCs w:val="32"/>
          <w:u w:val="single"/>
        </w:rPr>
        <w:t>Article 32</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p>
    <w:p w:rsidR="00FC62D7" w:rsidRDefault="00FC62D7" w:rsidP="00B23646">
      <w:pPr>
        <w:autoSpaceDE w:val="0"/>
        <w:autoSpaceDN w:val="0"/>
        <w:adjustRightInd w:val="0"/>
        <w:spacing w:after="0" w:line="240" w:lineRule="auto"/>
        <w:rPr>
          <w:rFonts w:ascii="TimesNewRomanPSMT" w:hAnsi="TimesNewRomanPSMT" w:cs="TimesNewRomanPSMT"/>
          <w:sz w:val="24"/>
          <w:szCs w:val="24"/>
        </w:rPr>
      </w:pPr>
      <w:proofErr w:type="spellStart"/>
      <w:r>
        <w:rPr>
          <w:rFonts w:ascii="TimesNewRomanPS-BoldMT" w:hAnsi="TimesNewRomanPS-BoldMT" w:cs="TimesNewRomanPS-BoldMT"/>
          <w:b/>
          <w:bCs/>
          <w:sz w:val="24"/>
          <w:szCs w:val="24"/>
        </w:rPr>
        <w:t>Bandhua</w:t>
      </w:r>
      <w:proofErr w:type="spellEnd"/>
      <w:r>
        <w:rPr>
          <w:rFonts w:ascii="TimesNewRomanPS-BoldMT" w:hAnsi="TimesNewRomanPS-BoldMT" w:cs="TimesNewRomanPS-BoldMT"/>
          <w:b/>
          <w:bCs/>
          <w:sz w:val="24"/>
          <w:szCs w:val="24"/>
        </w:rPr>
        <w:t xml:space="preserve"> Mukti </w:t>
      </w:r>
      <w:proofErr w:type="spellStart"/>
      <w:r>
        <w:rPr>
          <w:rFonts w:ascii="TimesNewRomanPS-BoldMT" w:hAnsi="TimesNewRomanPS-BoldMT" w:cs="TimesNewRomanPS-BoldMT"/>
          <w:b/>
          <w:bCs/>
          <w:sz w:val="24"/>
          <w:szCs w:val="24"/>
        </w:rPr>
        <w:t>Morcha</w:t>
      </w:r>
      <w:proofErr w:type="spellEnd"/>
      <w:r>
        <w:rPr>
          <w:rFonts w:ascii="TimesNewRomanPS-BoldMT" w:hAnsi="TimesNewRomanPS-BoldMT" w:cs="TimesNewRomanPS-BoldMT"/>
          <w:b/>
          <w:bCs/>
          <w:sz w:val="24"/>
          <w:szCs w:val="24"/>
        </w:rPr>
        <w:t xml:space="preserve"> </w:t>
      </w:r>
      <w:r>
        <w:rPr>
          <w:rFonts w:ascii="TimesNewRomanPSMT" w:hAnsi="TimesNewRomanPSMT" w:cs="TimesNewRomanPSMT"/>
          <w:sz w:val="24"/>
          <w:szCs w:val="24"/>
        </w:rPr>
        <w:t>has clarified that there is no limitation in regard to the</w:t>
      </w:r>
      <w:r w:rsidR="00B23646">
        <w:rPr>
          <w:rFonts w:ascii="TimesNewRomanPSMT" w:hAnsi="TimesNewRomanPSMT" w:cs="TimesNewRomanPSMT"/>
          <w:sz w:val="24"/>
          <w:szCs w:val="24"/>
        </w:rPr>
        <w:t xml:space="preserve"> </w:t>
      </w:r>
      <w:r>
        <w:rPr>
          <w:rFonts w:ascii="TimesNewRomanPSMT" w:hAnsi="TimesNewRomanPSMT" w:cs="TimesNewRomanPSMT"/>
          <w:sz w:val="24"/>
          <w:szCs w:val="24"/>
        </w:rPr>
        <w:t>kind of proceedings envisaged in clause (1) of Art 32 except that the proceedings</w:t>
      </w:r>
      <w:r w:rsidR="00B23646">
        <w:rPr>
          <w:rFonts w:ascii="TimesNewRomanPSMT" w:hAnsi="TimesNewRomanPSMT" w:cs="TimesNewRomanPSMT"/>
          <w:sz w:val="24"/>
          <w:szCs w:val="24"/>
        </w:rPr>
        <w:t xml:space="preserve"> </w:t>
      </w:r>
      <w:r>
        <w:rPr>
          <w:rFonts w:ascii="TimesNewRomanPSMT" w:hAnsi="TimesNewRomanPSMT" w:cs="TimesNewRomanPSMT"/>
          <w:sz w:val="24"/>
          <w:szCs w:val="24"/>
        </w:rPr>
        <w:t>must be “appropriate” and this requirement of appropriateness must be judged in the</w:t>
      </w:r>
      <w:r w:rsidR="00B23646">
        <w:rPr>
          <w:rFonts w:ascii="TimesNewRomanPSMT" w:hAnsi="TimesNewRomanPSMT" w:cs="TimesNewRomanPSMT"/>
          <w:sz w:val="24"/>
          <w:szCs w:val="24"/>
        </w:rPr>
        <w:t xml:space="preserve"> </w:t>
      </w:r>
      <w:r>
        <w:rPr>
          <w:rFonts w:ascii="TimesNewRomanPSMT" w:hAnsi="TimesNewRomanPSMT" w:cs="TimesNewRomanPSMT"/>
          <w:sz w:val="24"/>
          <w:szCs w:val="24"/>
        </w:rPr>
        <w:t>light of the purpose for which the proceeding is to be taken, enforcement of a</w:t>
      </w:r>
      <w:r w:rsidR="00B23646">
        <w:rPr>
          <w:rFonts w:ascii="TimesNewRomanPSMT" w:hAnsi="TimesNewRomanPSMT" w:cs="TimesNewRomanPSMT"/>
          <w:sz w:val="24"/>
          <w:szCs w:val="24"/>
        </w:rPr>
        <w:t xml:space="preserve"> </w:t>
      </w:r>
      <w:r>
        <w:rPr>
          <w:rFonts w:ascii="TimesNewRomanPSMT" w:hAnsi="TimesNewRomanPSMT" w:cs="TimesNewRomanPSMT"/>
          <w:sz w:val="24"/>
          <w:szCs w:val="24"/>
        </w:rPr>
        <w:t>fundamental right.</w:t>
      </w:r>
      <w:r w:rsidR="00B23646">
        <w:rPr>
          <w:rFonts w:ascii="TimesNewRomanPSMT" w:hAnsi="TimesNewRomanPSMT" w:cs="TimesNewRomanPSMT"/>
          <w:sz w:val="24"/>
          <w:szCs w:val="24"/>
        </w:rPr>
        <w:t xml:space="preserve"> </w:t>
      </w:r>
      <w:r w:rsidR="00B23646" w:rsidRPr="00B23646">
        <w:rPr>
          <w:rFonts w:ascii="TimesNewRomanPSMT" w:hAnsi="TimesNewRomanPSMT" w:cs="TimesNewRomanPSMT"/>
          <w:b/>
          <w:bCs/>
          <w:sz w:val="24"/>
          <w:szCs w:val="24"/>
        </w:rPr>
        <w:t>PIL -</w:t>
      </w:r>
      <w:r w:rsidR="00B23646">
        <w:rPr>
          <w:rFonts w:ascii="TimesNewRomanPSMT" w:hAnsi="TimesNewRomanPSMT" w:cs="TimesNewRomanPSMT"/>
          <w:sz w:val="24"/>
          <w:szCs w:val="24"/>
        </w:rPr>
        <w:t xml:space="preserve"> </w:t>
      </w:r>
      <w:r w:rsidR="00B23646" w:rsidRPr="00B23646">
        <w:rPr>
          <w:rFonts w:ascii="TimesNewRomanPSMT" w:hAnsi="TimesNewRomanPSMT" w:cs="TimesNewRomanPSMT"/>
          <w:sz w:val="24"/>
          <w:szCs w:val="24"/>
        </w:rPr>
        <w:t>where a person to whom legal inquiry is</w:t>
      </w:r>
      <w:r w:rsidR="00B23646">
        <w:rPr>
          <w:rFonts w:ascii="TimesNewRomanPSMT" w:hAnsi="TimesNewRomanPSMT" w:cs="TimesNewRomanPSMT"/>
          <w:sz w:val="24"/>
          <w:szCs w:val="24"/>
        </w:rPr>
        <w:t xml:space="preserve"> </w:t>
      </w:r>
      <w:r w:rsidR="00B23646" w:rsidRPr="00B23646">
        <w:rPr>
          <w:rFonts w:ascii="TimesNewRomanPSMT" w:hAnsi="TimesNewRomanPSMT" w:cs="TimesNewRomanPSMT"/>
          <w:sz w:val="24"/>
          <w:szCs w:val="24"/>
        </w:rPr>
        <w:t>caused by reason of violation of a fundamental right is unable to approach the court</w:t>
      </w:r>
      <w:r w:rsidR="00B23646">
        <w:rPr>
          <w:rFonts w:ascii="TimesNewRomanPSMT" w:hAnsi="TimesNewRomanPSMT" w:cs="TimesNewRomanPSMT"/>
          <w:sz w:val="24"/>
          <w:szCs w:val="24"/>
        </w:rPr>
        <w:t xml:space="preserve"> </w:t>
      </w:r>
      <w:r w:rsidR="00B23646" w:rsidRPr="00B23646">
        <w:rPr>
          <w:rFonts w:ascii="TimesNewRomanPSMT" w:hAnsi="TimesNewRomanPSMT" w:cs="TimesNewRomanPSMT"/>
          <w:sz w:val="24"/>
          <w:szCs w:val="24"/>
        </w:rPr>
        <w:t>for judicial redress on account of poverty or disability or socially or economically</w:t>
      </w:r>
      <w:r w:rsidR="00B23646">
        <w:rPr>
          <w:rFonts w:ascii="TimesNewRomanPSMT" w:hAnsi="TimesNewRomanPSMT" w:cs="TimesNewRomanPSMT"/>
          <w:sz w:val="24"/>
          <w:szCs w:val="24"/>
        </w:rPr>
        <w:t xml:space="preserve"> </w:t>
      </w:r>
      <w:r w:rsidR="00B23646" w:rsidRPr="00B23646">
        <w:rPr>
          <w:rFonts w:ascii="TimesNewRomanPSMT" w:hAnsi="TimesNewRomanPSMT" w:cs="TimesNewRomanPSMT"/>
          <w:sz w:val="24"/>
          <w:szCs w:val="24"/>
        </w:rPr>
        <w:t>disadvantaged position, any member of the public acting bona fide can move the</w:t>
      </w:r>
      <w:r w:rsidR="00B23646">
        <w:rPr>
          <w:rFonts w:ascii="TimesNewRomanPSMT" w:hAnsi="TimesNewRomanPSMT" w:cs="TimesNewRomanPSMT"/>
          <w:sz w:val="24"/>
          <w:szCs w:val="24"/>
        </w:rPr>
        <w:t xml:space="preserve"> </w:t>
      </w:r>
      <w:r w:rsidR="00B23646" w:rsidRPr="00B23646">
        <w:rPr>
          <w:rFonts w:ascii="TimesNewRomanPSMT" w:hAnsi="TimesNewRomanPSMT" w:cs="TimesNewRomanPSMT"/>
          <w:sz w:val="24"/>
          <w:szCs w:val="24"/>
        </w:rPr>
        <w:t>court for relied under art 32…so that fundamental rights may become meaningful not</w:t>
      </w:r>
      <w:r w:rsidR="00B23646">
        <w:rPr>
          <w:rFonts w:ascii="TimesNewRomanPSMT" w:hAnsi="TimesNewRomanPSMT" w:cs="TimesNewRomanPSMT"/>
          <w:sz w:val="24"/>
          <w:szCs w:val="24"/>
        </w:rPr>
        <w:t xml:space="preserve"> </w:t>
      </w:r>
      <w:r w:rsidR="00B23646" w:rsidRPr="00B23646">
        <w:rPr>
          <w:rFonts w:ascii="TimesNewRomanPSMT" w:hAnsi="TimesNewRomanPSMT" w:cs="TimesNewRomanPSMT"/>
          <w:sz w:val="24"/>
          <w:szCs w:val="24"/>
        </w:rPr>
        <w:t>only for the rich and the well-to do who have the means to approach the court but</w:t>
      </w:r>
      <w:r w:rsidR="00B23646">
        <w:rPr>
          <w:rFonts w:ascii="TimesNewRomanPSMT" w:hAnsi="TimesNewRomanPSMT" w:cs="TimesNewRomanPSMT"/>
          <w:sz w:val="24"/>
          <w:szCs w:val="24"/>
        </w:rPr>
        <w:t xml:space="preserve"> </w:t>
      </w:r>
      <w:r w:rsidR="00B23646" w:rsidRPr="00B23646">
        <w:rPr>
          <w:rFonts w:ascii="TimesNewRomanPSMT" w:hAnsi="TimesNewRomanPSMT" w:cs="TimesNewRomanPSMT"/>
          <w:sz w:val="24"/>
          <w:szCs w:val="24"/>
        </w:rPr>
        <w:t>also for the large masses of people who are living a life of want and destitution and</w:t>
      </w:r>
      <w:r w:rsidR="00B23646">
        <w:rPr>
          <w:rFonts w:ascii="TimesNewRomanPSMT" w:hAnsi="TimesNewRomanPSMT" w:cs="TimesNewRomanPSMT"/>
          <w:sz w:val="24"/>
          <w:szCs w:val="24"/>
        </w:rPr>
        <w:t xml:space="preserve"> </w:t>
      </w:r>
      <w:r w:rsidR="00B23646" w:rsidRPr="00B23646">
        <w:rPr>
          <w:rFonts w:ascii="TimesNewRomanPSMT" w:hAnsi="TimesNewRomanPSMT" w:cs="TimesNewRomanPSMT"/>
          <w:sz w:val="24"/>
          <w:szCs w:val="24"/>
        </w:rPr>
        <w:t>who are by reason of lack of awareness, assertiveness and resources unable to seek</w:t>
      </w:r>
      <w:r w:rsidR="00B23646">
        <w:rPr>
          <w:rFonts w:ascii="TimesNewRomanPSMT" w:hAnsi="TimesNewRomanPSMT" w:cs="TimesNewRomanPSMT"/>
          <w:sz w:val="24"/>
          <w:szCs w:val="24"/>
        </w:rPr>
        <w:t xml:space="preserve"> </w:t>
      </w:r>
      <w:r w:rsidR="00B23646" w:rsidRPr="00B23646">
        <w:rPr>
          <w:rFonts w:ascii="TimesNewRomanPSMT" w:hAnsi="TimesNewRomanPSMT" w:cs="TimesNewRomanPSMT"/>
          <w:sz w:val="24"/>
          <w:szCs w:val="24"/>
        </w:rPr>
        <w:t>judicial redress.”</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word “appropriate” refers to the purpose of proceedings and so long as the</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purpose of the proceeding is enforcement of a fundamental right, it is appropriate and</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when it related to the enforcement of the fundamental rights of poor, disabled or</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ignorant by a public spirited person even a letter addressed by him can legitimately be</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regarded as an “appropriate proceeding.”</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b/>
          <w:bCs/>
          <w:sz w:val="24"/>
          <w:szCs w:val="24"/>
        </w:rPr>
        <w:t xml:space="preserve">32(2)- </w:t>
      </w:r>
      <w:r>
        <w:rPr>
          <w:rFonts w:ascii="TimesNewRomanPSMT" w:hAnsi="TimesNewRomanPSMT" w:cs="TimesNewRomanPSMT"/>
          <w:sz w:val="24"/>
          <w:szCs w:val="24"/>
        </w:rPr>
        <w:t>The word “appropriate” refers to the purpose of proceedings and so long as the</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purpose of the proceeding is enforcement of a fundamental right, it is appropriate and</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when it related to the enforcement of the fundamental rights of poor, disabled or</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ignorant by a public spirited person even a letter addressed by him can legitimately be</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regarded as an “appropriate proceeding.”</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The protection of art 32 may not be denied even by an amendment of the Constitution because this article constitutes the basic structure of the Constitution that cannot be changed even by an amendment under art 368.</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sidRPr="00FC62D7">
        <w:rPr>
          <w:rFonts w:ascii="TimesNewRomanPSMT" w:hAnsi="TimesNewRomanPSMT" w:cs="TimesNewRomanPSMT"/>
          <w:b/>
          <w:bCs/>
          <w:sz w:val="24"/>
          <w:szCs w:val="24"/>
        </w:rPr>
        <w:t>Art 32</w:t>
      </w:r>
      <w:r>
        <w:rPr>
          <w:rFonts w:ascii="TimesNewRomanPSMT" w:hAnsi="TimesNewRomanPSMT" w:cs="TimesNewRomanPSMT"/>
          <w:sz w:val="24"/>
          <w:szCs w:val="24"/>
        </w:rPr>
        <w:t xml:space="preserve"> has been invoked in matters of great public concern even though no violation was alleged.</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sidRPr="00FC62D7">
        <w:rPr>
          <w:rFonts w:ascii="TimesNewRomanPSMT" w:hAnsi="TimesNewRomanPSMT" w:cs="TimesNewRomanPSMT"/>
          <w:b/>
          <w:bCs/>
          <w:sz w:val="24"/>
          <w:szCs w:val="24"/>
        </w:rPr>
        <w:t>Art 32</w:t>
      </w:r>
      <w:r>
        <w:rPr>
          <w:rFonts w:ascii="TimesNewRomanPSMT" w:hAnsi="TimesNewRomanPSMT" w:cs="TimesNewRomanPSMT"/>
          <w:sz w:val="24"/>
          <w:szCs w:val="24"/>
        </w:rPr>
        <w:t xml:space="preserve"> does not merely confer power on it but also lays a constitutional</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obligation to protect the fundamental rights of the people and for that purpose the</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lastRenderedPageBreak/>
        <w:t>court has all incidental and ancillary powers to enforce the fundamental rights.</w:t>
      </w:r>
    </w:p>
    <w:p w:rsidR="00FC62D7" w:rsidRDefault="00FC62D7" w:rsidP="00FC62D7">
      <w:pPr>
        <w:autoSpaceDE w:val="0"/>
        <w:autoSpaceDN w:val="0"/>
        <w:adjustRightInd w:val="0"/>
        <w:spacing w:after="0" w:line="240" w:lineRule="auto"/>
        <w:rPr>
          <w:rFonts w:ascii="TimesNewRomanPSMT" w:hAnsi="TimesNewRomanPSMT" w:cs="TimesNewRomanPSMT"/>
          <w:sz w:val="24"/>
          <w:szCs w:val="24"/>
        </w:rPr>
      </w:pP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b/>
          <w:bCs/>
          <w:sz w:val="24"/>
          <w:szCs w:val="24"/>
        </w:rPr>
        <w:t xml:space="preserve">PIL - </w:t>
      </w:r>
      <w:r>
        <w:rPr>
          <w:rFonts w:ascii="TimesNewRomanPSMT" w:hAnsi="TimesNewRomanPSMT" w:cs="TimesNewRomanPSMT"/>
          <w:sz w:val="24"/>
          <w:szCs w:val="24"/>
        </w:rPr>
        <w:t xml:space="preserve">The developments about PIL under art 32 are: </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p>
    <w:p w:rsidR="00B23646" w:rsidRDefault="00B23646" w:rsidP="00B23646">
      <w:pPr>
        <w:pStyle w:val="ListParagraph"/>
        <w:numPr>
          <w:ilvl w:val="0"/>
          <w:numId w:val="7"/>
        </w:numPr>
        <w:autoSpaceDE w:val="0"/>
        <w:autoSpaceDN w:val="0"/>
        <w:adjustRightInd w:val="0"/>
        <w:spacing w:after="0" w:line="240" w:lineRule="auto"/>
        <w:rPr>
          <w:rFonts w:ascii="TimesNewRomanPSMT" w:hAnsi="TimesNewRomanPSMT" w:cs="TimesNewRomanPSMT"/>
          <w:sz w:val="24"/>
          <w:szCs w:val="24"/>
        </w:rPr>
      </w:pPr>
      <w:r w:rsidRPr="00B23646">
        <w:rPr>
          <w:rFonts w:ascii="TimesNewRomanPSMT" w:hAnsi="TimesNewRomanPSMT" w:cs="TimesNewRomanPSMT"/>
          <w:sz w:val="24"/>
          <w:szCs w:val="24"/>
        </w:rPr>
        <w:t>from a remedy invented for the</w:t>
      </w:r>
      <w:r>
        <w:rPr>
          <w:rFonts w:ascii="TimesNewRomanPSMT" w:hAnsi="TimesNewRomanPSMT" w:cs="TimesNewRomanPSMT"/>
          <w:sz w:val="24"/>
          <w:szCs w:val="24"/>
        </w:rPr>
        <w:t xml:space="preserve"> </w:t>
      </w:r>
      <w:r w:rsidRPr="00B23646">
        <w:rPr>
          <w:rFonts w:ascii="TimesNewRomanPSMT" w:hAnsi="TimesNewRomanPSMT" w:cs="TimesNewRomanPSMT"/>
          <w:sz w:val="24"/>
          <w:szCs w:val="24"/>
        </w:rPr>
        <w:t xml:space="preserve">of weak and disabled as quoted from </w:t>
      </w:r>
      <w:proofErr w:type="spellStart"/>
      <w:r w:rsidRPr="00B23646">
        <w:rPr>
          <w:rFonts w:ascii="TimesNewRomanPSMT" w:hAnsi="TimesNewRomanPSMT" w:cs="TimesNewRomanPSMT"/>
          <w:sz w:val="24"/>
          <w:szCs w:val="24"/>
        </w:rPr>
        <w:t>Bandhua</w:t>
      </w:r>
      <w:proofErr w:type="spellEnd"/>
      <w:r w:rsidRPr="00B23646">
        <w:rPr>
          <w:rFonts w:ascii="TimesNewRomanPSMT" w:hAnsi="TimesNewRomanPSMT" w:cs="TimesNewRomanPSMT"/>
          <w:sz w:val="24"/>
          <w:szCs w:val="24"/>
        </w:rPr>
        <w:t xml:space="preserve"> Mukta, it has moved to bring</w:t>
      </w:r>
      <w:r>
        <w:rPr>
          <w:rFonts w:ascii="TimesNewRomanPSMT" w:hAnsi="TimesNewRomanPSMT" w:cs="TimesNewRomanPSMT"/>
          <w:sz w:val="24"/>
          <w:szCs w:val="24"/>
        </w:rPr>
        <w:t xml:space="preserve"> </w:t>
      </w:r>
      <w:r w:rsidRPr="00B23646">
        <w:rPr>
          <w:rFonts w:ascii="TimesNewRomanPSMT" w:hAnsi="TimesNewRomanPSMT" w:cs="TimesNewRomanPSMT"/>
          <w:sz w:val="24"/>
          <w:szCs w:val="24"/>
        </w:rPr>
        <w:t>all sorts of issues to the court.</w:t>
      </w:r>
    </w:p>
    <w:p w:rsidR="00B23646" w:rsidRDefault="00B23646" w:rsidP="00B23646">
      <w:pPr>
        <w:pStyle w:val="ListParagraph"/>
        <w:autoSpaceDE w:val="0"/>
        <w:autoSpaceDN w:val="0"/>
        <w:adjustRightInd w:val="0"/>
        <w:spacing w:after="0" w:line="240" w:lineRule="auto"/>
        <w:rPr>
          <w:rFonts w:ascii="TimesNewRomanPSMT" w:hAnsi="TimesNewRomanPSMT" w:cs="TimesNewRomanPSMT"/>
          <w:sz w:val="24"/>
          <w:szCs w:val="24"/>
        </w:rPr>
      </w:pPr>
    </w:p>
    <w:p w:rsidR="00FC62D7" w:rsidRDefault="00B23646" w:rsidP="00B23646">
      <w:pPr>
        <w:pStyle w:val="ListParagraph"/>
        <w:numPr>
          <w:ilvl w:val="0"/>
          <w:numId w:val="7"/>
        </w:numPr>
        <w:autoSpaceDE w:val="0"/>
        <w:autoSpaceDN w:val="0"/>
        <w:adjustRightInd w:val="0"/>
        <w:spacing w:after="0" w:line="240" w:lineRule="auto"/>
        <w:rPr>
          <w:rFonts w:ascii="TimesNewRomanPSMT" w:hAnsi="TimesNewRomanPSMT" w:cs="TimesNewRomanPSMT"/>
          <w:sz w:val="24"/>
          <w:szCs w:val="24"/>
        </w:rPr>
      </w:pPr>
      <w:r w:rsidRPr="00B23646">
        <w:rPr>
          <w:rFonts w:ascii="TimesNewRomanPSMT" w:hAnsi="TimesNewRomanPSMT" w:cs="TimesNewRomanPSMT"/>
          <w:sz w:val="24"/>
          <w:szCs w:val="24"/>
        </w:rPr>
        <w:t>Though art 32 is available only for the enforcement</w:t>
      </w:r>
      <w:r>
        <w:rPr>
          <w:rFonts w:ascii="TimesNewRomanPSMT" w:hAnsi="TimesNewRomanPSMT" w:cs="TimesNewRomanPSMT"/>
          <w:sz w:val="24"/>
          <w:szCs w:val="24"/>
        </w:rPr>
        <w:t xml:space="preserve"> </w:t>
      </w:r>
      <w:r w:rsidRPr="00B23646">
        <w:rPr>
          <w:rFonts w:ascii="TimesNewRomanPSMT" w:hAnsi="TimesNewRomanPSMT" w:cs="TimesNewRomanPSMT"/>
          <w:sz w:val="24"/>
          <w:szCs w:val="24"/>
        </w:rPr>
        <w:t>of fundamental rights, in the name of PIL occasionally matters, in which no violation</w:t>
      </w:r>
      <w:r>
        <w:rPr>
          <w:rFonts w:ascii="TimesNewRomanPSMT" w:hAnsi="TimesNewRomanPSMT" w:cs="TimesNewRomanPSMT"/>
          <w:sz w:val="24"/>
          <w:szCs w:val="24"/>
        </w:rPr>
        <w:t xml:space="preserve"> </w:t>
      </w:r>
      <w:r w:rsidRPr="00B23646">
        <w:rPr>
          <w:rFonts w:ascii="TimesNewRomanPSMT" w:hAnsi="TimesNewRomanPSMT" w:cs="TimesNewRomanPSMT"/>
          <w:sz w:val="24"/>
          <w:szCs w:val="24"/>
        </w:rPr>
        <w:t>of any fundamental rights is alleged, have also been entertained and decided.</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BoldMT" w:hAnsi="TimesNewRomanPS-BoldMT" w:cs="TimesNewRomanPS-BoldMT"/>
          <w:b/>
          <w:bCs/>
          <w:sz w:val="24"/>
          <w:szCs w:val="24"/>
        </w:rPr>
        <w:t xml:space="preserve">16(4) – </w:t>
      </w:r>
      <w:r>
        <w:rPr>
          <w:rFonts w:ascii="TimesNewRomanPSMT" w:hAnsi="TimesNewRomanPSMT" w:cs="TimesNewRomanPSMT"/>
          <w:sz w:val="24"/>
          <w:szCs w:val="24"/>
        </w:rPr>
        <w:t>the right to move SC for enforcement of fundamental rights shall not be</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suspended except as otherwise under art 359 which empowers the President to</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suspend the enforcement of the FRs when a proclamation of emergency under art 352</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in in operation. It was in 1962 and 1971 that emergency was proclaimed on ground of</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external aggression and once in 1975 on grounds of internal disturbances and on all 3</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occasions, enforcement of FRs was suspended under art 359.</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In </w:t>
      </w:r>
      <w:r>
        <w:rPr>
          <w:rFonts w:ascii="TimesNewRomanPS-ItalicMT" w:hAnsi="TimesNewRomanPS-ItalicMT" w:cs="TimesNewRomanPS-ItalicMT"/>
          <w:i/>
          <w:iCs/>
          <w:sz w:val="24"/>
          <w:szCs w:val="24"/>
        </w:rPr>
        <w:t xml:space="preserve">Olga </w:t>
      </w:r>
      <w:proofErr w:type="spellStart"/>
      <w:r>
        <w:rPr>
          <w:rFonts w:ascii="TimesNewRomanPS-ItalicMT" w:hAnsi="TimesNewRomanPS-ItalicMT" w:cs="TimesNewRomanPS-ItalicMT"/>
          <w:i/>
          <w:iCs/>
          <w:sz w:val="24"/>
          <w:szCs w:val="24"/>
        </w:rPr>
        <w:t>Tellis</w:t>
      </w:r>
      <w:proofErr w:type="spellEnd"/>
      <w:r>
        <w:rPr>
          <w:rFonts w:ascii="TimesNewRomanPS-ItalicMT" w:hAnsi="TimesNewRomanPS-ItalicMT" w:cs="TimesNewRomanPS-ItalicMT"/>
          <w:i/>
          <w:iCs/>
          <w:sz w:val="24"/>
          <w:szCs w:val="24"/>
        </w:rPr>
        <w:t xml:space="preserve"> </w:t>
      </w:r>
      <w:r>
        <w:rPr>
          <w:rFonts w:ascii="TimesNewRomanPSMT" w:hAnsi="TimesNewRomanPSMT" w:cs="TimesNewRomanPSMT"/>
          <w:sz w:val="24"/>
          <w:szCs w:val="24"/>
        </w:rPr>
        <w:t>the Supreme Court held that no one has the right to make use of public</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property for private use without requisite authorization. </w:t>
      </w:r>
      <w:r>
        <w:rPr>
          <w:rFonts w:ascii="TimesNewRomanPS-ItalicMT" w:hAnsi="TimesNewRomanPS-ItalicMT" w:cs="TimesNewRomanPS-ItalicMT"/>
          <w:i/>
          <w:iCs/>
          <w:sz w:val="24"/>
          <w:szCs w:val="24"/>
        </w:rPr>
        <w:t xml:space="preserve">Olga </w:t>
      </w:r>
      <w:proofErr w:type="spellStart"/>
      <w:r>
        <w:rPr>
          <w:rFonts w:ascii="TimesNewRomanPS-ItalicMT" w:hAnsi="TimesNewRomanPS-ItalicMT" w:cs="TimesNewRomanPS-ItalicMT"/>
          <w:i/>
          <w:iCs/>
          <w:sz w:val="24"/>
          <w:szCs w:val="24"/>
        </w:rPr>
        <w:t>Tellis</w:t>
      </w:r>
      <w:proofErr w:type="spellEnd"/>
      <w:r>
        <w:rPr>
          <w:rFonts w:ascii="TimesNewRomanPS-ItalicMT" w:hAnsi="TimesNewRomanPS-ItalicMT" w:cs="TimesNewRomanPS-ItalicMT"/>
          <w:i/>
          <w:iCs/>
          <w:sz w:val="24"/>
          <w:szCs w:val="24"/>
        </w:rPr>
        <w:t xml:space="preserve"> </w:t>
      </w:r>
      <w:r>
        <w:rPr>
          <w:rFonts w:ascii="TimesNewRomanPSMT" w:hAnsi="TimesNewRomanPSMT" w:cs="TimesNewRomanPSMT"/>
          <w:sz w:val="24"/>
          <w:szCs w:val="24"/>
        </w:rPr>
        <w:t>did not recognize right to housing as an integral part of right to life. It only recognized that due process should be followed for eviction of unauthorized occupants of public premises. No remedy was devised to protect right to livelihood by ordering the government to initiate a housing scheme for the</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rehabilitation of evicted slum and pavement dwellers.</w:t>
      </w:r>
    </w:p>
    <w:p w:rsidR="00B23646" w:rsidRDefault="00B23646" w:rsidP="00B23646">
      <w:pPr>
        <w:autoSpaceDE w:val="0"/>
        <w:autoSpaceDN w:val="0"/>
        <w:adjustRightInd w:val="0"/>
        <w:spacing w:after="0" w:line="240" w:lineRule="auto"/>
        <w:rPr>
          <w:rFonts w:ascii="TimesNewRomanPSMT" w:hAnsi="TimesNewRomanPSMT" w:cs="TimesNewRomanPSMT"/>
          <w:sz w:val="24"/>
          <w:szCs w:val="24"/>
        </w:rPr>
      </w:pPr>
    </w:p>
    <w:p w:rsidR="00B23646" w:rsidRDefault="00444BA4" w:rsidP="00444BA4">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b/>
          <w:bCs/>
          <w:sz w:val="24"/>
          <w:szCs w:val="24"/>
        </w:rPr>
        <w:t xml:space="preserve">Paschim </w:t>
      </w:r>
      <w:proofErr w:type="spellStart"/>
      <w:r>
        <w:rPr>
          <w:rFonts w:ascii="TimesNewRomanPSMT" w:hAnsi="TimesNewRomanPSMT" w:cs="TimesNewRomanPSMT"/>
          <w:b/>
          <w:bCs/>
          <w:sz w:val="24"/>
          <w:szCs w:val="24"/>
        </w:rPr>
        <w:t>Banga</w:t>
      </w:r>
      <w:proofErr w:type="spellEnd"/>
      <w:r>
        <w:rPr>
          <w:rFonts w:ascii="TimesNewRomanPSMT" w:hAnsi="TimesNewRomanPSMT" w:cs="TimesNewRomanPSMT"/>
          <w:b/>
          <w:bCs/>
          <w:sz w:val="24"/>
          <w:szCs w:val="24"/>
        </w:rPr>
        <w:t xml:space="preserve"> vs </w:t>
      </w:r>
      <w:r w:rsidRPr="00444BA4">
        <w:rPr>
          <w:rFonts w:ascii="TimesNewRomanPSMT" w:hAnsi="TimesNewRomanPSMT" w:cs="TimesNewRomanPSMT"/>
          <w:b/>
          <w:bCs/>
          <w:sz w:val="24"/>
          <w:szCs w:val="24"/>
        </w:rPr>
        <w:t>State of West Bengal</w:t>
      </w:r>
      <w:r>
        <w:rPr>
          <w:rFonts w:ascii="TimesNewRomanPSMT" w:hAnsi="TimesNewRomanPSMT" w:cs="TimesNewRomanPSMT"/>
          <w:b/>
          <w:bCs/>
          <w:sz w:val="24"/>
          <w:szCs w:val="24"/>
        </w:rPr>
        <w:t xml:space="preserve"> - </w:t>
      </w:r>
      <w:r>
        <w:rPr>
          <w:rFonts w:ascii="TimesNewRomanPSMT" w:hAnsi="TimesNewRomanPSMT" w:cs="TimesNewRomanPSMT"/>
          <w:sz w:val="24"/>
          <w:szCs w:val="24"/>
        </w:rPr>
        <w:t xml:space="preserve">The court found that the government hospitals were duty bound to extend medical assistance for preserving human life. Failure on part of a government hospital to provide timely medical treatment results in violation of right to life. </w:t>
      </w:r>
      <w:r w:rsidR="00B23646">
        <w:rPr>
          <w:rFonts w:ascii="TimesNewRomanPSMT" w:hAnsi="TimesNewRomanPSMT" w:cs="TimesNewRomanPSMT"/>
          <w:sz w:val="24"/>
          <w:szCs w:val="24"/>
        </w:rPr>
        <w:t>Lack of resources could not be cited as an excuse for not enforcing a constitutional obligation</w:t>
      </w:r>
      <w:r>
        <w:rPr>
          <w:rFonts w:ascii="TimesNewRomanPSMT" w:hAnsi="TimesNewRomanPSMT" w:cs="TimesNewRomanPSMT"/>
          <w:sz w:val="24"/>
          <w:szCs w:val="24"/>
        </w:rPr>
        <w:t xml:space="preserve"> </w:t>
      </w:r>
      <w:r w:rsidR="00B23646">
        <w:rPr>
          <w:rFonts w:ascii="TimesNewRomanPSMT" w:hAnsi="TimesNewRomanPSMT" w:cs="TimesNewRomanPSMT"/>
          <w:sz w:val="24"/>
          <w:szCs w:val="24"/>
        </w:rPr>
        <w:t>to protect health of the citizens.</w:t>
      </w:r>
      <w:r>
        <w:rPr>
          <w:rFonts w:ascii="TimesNewRomanPSMT" w:hAnsi="TimesNewRomanPSMT" w:cs="TimesNewRomanPSMT"/>
          <w:sz w:val="24"/>
          <w:szCs w:val="24"/>
        </w:rPr>
        <w:t xml:space="preserve"> </w:t>
      </w:r>
    </w:p>
    <w:p w:rsidR="003947B7" w:rsidRPr="00A27505" w:rsidRDefault="003947B7" w:rsidP="00444BA4">
      <w:pPr>
        <w:autoSpaceDE w:val="0"/>
        <w:autoSpaceDN w:val="0"/>
        <w:adjustRightInd w:val="0"/>
        <w:spacing w:after="0" w:line="240" w:lineRule="auto"/>
        <w:rPr>
          <w:rFonts w:ascii="TimesNewRomanPSMT" w:hAnsi="TimesNewRomanPSMT" w:cs="TimesNewRomanPSMT"/>
          <w:b/>
          <w:bCs/>
          <w:sz w:val="32"/>
          <w:szCs w:val="32"/>
          <w:u w:val="single"/>
        </w:rPr>
      </w:pPr>
    </w:p>
    <w:p w:rsidR="003947B7" w:rsidRPr="00A27505" w:rsidRDefault="003947B7" w:rsidP="00444BA4">
      <w:pPr>
        <w:autoSpaceDE w:val="0"/>
        <w:autoSpaceDN w:val="0"/>
        <w:adjustRightInd w:val="0"/>
        <w:spacing w:after="0" w:line="240" w:lineRule="auto"/>
        <w:rPr>
          <w:rFonts w:ascii="TimesNewRomanPSMT" w:hAnsi="TimesNewRomanPSMT" w:cs="TimesNewRomanPSMT"/>
          <w:b/>
          <w:bCs/>
          <w:sz w:val="32"/>
          <w:szCs w:val="32"/>
          <w:u w:val="single"/>
        </w:rPr>
      </w:pPr>
      <w:r w:rsidRPr="00A27505">
        <w:rPr>
          <w:rFonts w:ascii="TimesNewRomanPSMT" w:hAnsi="TimesNewRomanPSMT" w:cs="TimesNewRomanPSMT"/>
          <w:b/>
          <w:bCs/>
          <w:sz w:val="32"/>
          <w:szCs w:val="32"/>
          <w:u w:val="single"/>
        </w:rPr>
        <w:t xml:space="preserve">BASIC STRUCTURE </w:t>
      </w:r>
    </w:p>
    <w:p w:rsidR="003947B7" w:rsidRDefault="003947B7" w:rsidP="00444BA4">
      <w:pPr>
        <w:autoSpaceDE w:val="0"/>
        <w:autoSpaceDN w:val="0"/>
        <w:adjustRightInd w:val="0"/>
        <w:spacing w:after="0" w:line="240" w:lineRule="auto"/>
        <w:rPr>
          <w:rFonts w:ascii="TimesNewRomanPSMT" w:hAnsi="TimesNewRomanPSMT" w:cs="TimesNewRomanPSMT"/>
          <w:sz w:val="24"/>
          <w:szCs w:val="24"/>
        </w:rPr>
      </w:pPr>
    </w:p>
    <w:p w:rsidR="003947B7" w:rsidRDefault="00AB58F1" w:rsidP="003947B7">
      <w:pPr>
        <w:autoSpaceDE w:val="0"/>
        <w:autoSpaceDN w:val="0"/>
        <w:adjustRightInd w:val="0"/>
        <w:spacing w:after="0" w:line="240" w:lineRule="auto"/>
        <w:rPr>
          <w:rFonts w:ascii="TimesNewRomanPSMT" w:hAnsi="TimesNewRomanPSMT" w:cs="TimesNewRomanPSMT"/>
          <w:sz w:val="24"/>
          <w:szCs w:val="24"/>
          <w:u w:val="single"/>
          <w:lang w:val="en-GB"/>
        </w:rPr>
      </w:pPr>
      <w:r w:rsidRPr="003947B7">
        <w:rPr>
          <w:rFonts w:ascii="TimesNewRomanPSMT" w:hAnsi="TimesNewRomanPSMT" w:cs="TimesNewRomanPSMT"/>
          <w:sz w:val="24"/>
          <w:szCs w:val="24"/>
          <w:u w:val="single"/>
          <w:lang w:val="en-GB"/>
        </w:rPr>
        <w:t>What are the limitations on the  amending power of the Parliament?</w:t>
      </w:r>
    </w:p>
    <w:p w:rsidR="003947B7" w:rsidRDefault="003947B7" w:rsidP="003947B7">
      <w:pPr>
        <w:autoSpaceDE w:val="0"/>
        <w:autoSpaceDN w:val="0"/>
        <w:adjustRightInd w:val="0"/>
        <w:spacing w:after="0" w:line="240" w:lineRule="auto"/>
        <w:rPr>
          <w:rFonts w:ascii="TimesNewRomanPSMT" w:hAnsi="TimesNewRomanPSMT" w:cs="TimesNewRomanPSMT"/>
          <w:sz w:val="24"/>
          <w:szCs w:val="24"/>
        </w:rPr>
      </w:pPr>
    </w:p>
    <w:p w:rsidR="003947B7" w:rsidRPr="003947B7" w:rsidRDefault="003947B7" w:rsidP="003947B7">
      <w:pPr>
        <w:autoSpaceDE w:val="0"/>
        <w:autoSpaceDN w:val="0"/>
        <w:adjustRightInd w:val="0"/>
        <w:spacing w:after="0" w:line="240" w:lineRule="auto"/>
        <w:rPr>
          <w:rFonts w:ascii="TimesNewRomanPSMT" w:hAnsi="TimesNewRomanPSMT" w:cs="TimesNewRomanPSMT"/>
          <w:sz w:val="24"/>
          <w:szCs w:val="24"/>
        </w:rPr>
      </w:pPr>
      <w:r w:rsidRPr="003947B7">
        <w:rPr>
          <w:rFonts w:ascii="TimesNewRomanPSMT" w:hAnsi="TimesNewRomanPSMT" w:cs="TimesNewRomanPSMT"/>
          <w:sz w:val="24"/>
          <w:szCs w:val="24"/>
          <w:lang w:val="en-GB"/>
        </w:rPr>
        <w:t>The limitations can be substantive and procedural- the latter are mentioned in Article 368. If the procedure is not followed, the Amendment can be questioned.</w:t>
      </w:r>
    </w:p>
    <w:p w:rsidR="003947B7" w:rsidRPr="003947B7" w:rsidRDefault="003947B7" w:rsidP="003947B7">
      <w:pPr>
        <w:autoSpaceDE w:val="0"/>
        <w:autoSpaceDN w:val="0"/>
        <w:adjustRightInd w:val="0"/>
        <w:spacing w:after="0" w:line="240" w:lineRule="auto"/>
        <w:rPr>
          <w:rFonts w:ascii="TimesNewRomanPSMT" w:hAnsi="TimesNewRomanPSMT" w:cs="TimesNewRomanPSMT"/>
          <w:sz w:val="24"/>
          <w:szCs w:val="24"/>
        </w:rPr>
      </w:pPr>
      <w:r w:rsidRPr="003947B7">
        <w:rPr>
          <w:rFonts w:ascii="TimesNewRomanPSMT" w:hAnsi="TimesNewRomanPSMT" w:cs="TimesNewRomanPSMT"/>
          <w:sz w:val="24"/>
          <w:szCs w:val="24"/>
          <w:lang w:val="en-GB"/>
        </w:rPr>
        <w:t>But if procedure is followed, are there other limitations on the amending power.</w:t>
      </w:r>
    </w:p>
    <w:p w:rsidR="003947B7" w:rsidRDefault="003947B7" w:rsidP="00444BA4">
      <w:pPr>
        <w:autoSpaceDE w:val="0"/>
        <w:autoSpaceDN w:val="0"/>
        <w:adjustRightInd w:val="0"/>
        <w:spacing w:after="0" w:line="240" w:lineRule="auto"/>
        <w:rPr>
          <w:rFonts w:ascii="TimesNewRomanPSMT" w:hAnsi="TimesNewRomanPSMT" w:cs="TimesNewRomanPSMT"/>
          <w:sz w:val="24"/>
          <w:szCs w:val="24"/>
        </w:rPr>
      </w:pPr>
    </w:p>
    <w:p w:rsidR="00AB58F1" w:rsidRPr="00B642C5" w:rsidRDefault="003947B7" w:rsidP="00B642C5">
      <w:pPr>
        <w:numPr>
          <w:ilvl w:val="0"/>
          <w:numId w:val="11"/>
        </w:numPr>
        <w:autoSpaceDE w:val="0"/>
        <w:autoSpaceDN w:val="0"/>
        <w:adjustRightInd w:val="0"/>
        <w:rPr>
          <w:rFonts w:ascii="TimesNewRomanPSMT" w:hAnsi="TimesNewRomanPSMT" w:cs="TimesNewRomanPSMT"/>
          <w:sz w:val="24"/>
          <w:szCs w:val="24"/>
        </w:rPr>
      </w:pPr>
      <w:proofErr w:type="spellStart"/>
      <w:r w:rsidRPr="00B642C5">
        <w:rPr>
          <w:rFonts w:ascii="TimesNewRomanPSMT" w:hAnsi="TimesNewRomanPSMT" w:cs="TimesNewRomanPSMT"/>
          <w:b/>
          <w:bCs/>
          <w:sz w:val="24"/>
          <w:szCs w:val="24"/>
        </w:rPr>
        <w:t>Shankari</w:t>
      </w:r>
      <w:proofErr w:type="spellEnd"/>
      <w:r w:rsidRPr="00B642C5">
        <w:rPr>
          <w:rFonts w:ascii="TimesNewRomanPSMT" w:hAnsi="TimesNewRomanPSMT" w:cs="TimesNewRomanPSMT"/>
          <w:b/>
          <w:bCs/>
          <w:sz w:val="24"/>
          <w:szCs w:val="24"/>
        </w:rPr>
        <w:t xml:space="preserve"> Prasad </w:t>
      </w:r>
      <w:r w:rsidR="00B642C5" w:rsidRPr="00B642C5">
        <w:rPr>
          <w:rFonts w:ascii="TimesNewRomanPSMT" w:hAnsi="TimesNewRomanPSMT" w:cs="TimesNewRomanPSMT"/>
          <w:b/>
          <w:bCs/>
          <w:sz w:val="24"/>
          <w:szCs w:val="24"/>
          <w:lang w:val="en-US"/>
        </w:rPr>
        <w:t>v. Union of India 1951</w:t>
      </w:r>
      <w:r w:rsidR="00B642C5" w:rsidRPr="00B642C5">
        <w:rPr>
          <w:rFonts w:ascii="TimesNewRomanPSMT" w:hAnsi="TimesNewRomanPSMT" w:cs="TimesNewRomanPSMT"/>
          <w:sz w:val="24"/>
          <w:szCs w:val="24"/>
          <w:lang w:val="en-US"/>
        </w:rPr>
        <w:t xml:space="preserve"> </w:t>
      </w:r>
      <w:r w:rsidR="00B642C5">
        <w:rPr>
          <w:rFonts w:ascii="TimesNewRomanPSMT" w:hAnsi="TimesNewRomanPSMT" w:cs="TimesNewRomanPSMT"/>
          <w:sz w:val="24"/>
          <w:szCs w:val="24"/>
        </w:rPr>
        <w:t>–</w:t>
      </w:r>
      <w:r>
        <w:rPr>
          <w:rFonts w:ascii="TimesNewRomanPSMT" w:hAnsi="TimesNewRomanPSMT" w:cs="TimesNewRomanPSMT"/>
          <w:sz w:val="24"/>
          <w:szCs w:val="24"/>
        </w:rPr>
        <w:t xml:space="preserve"> </w:t>
      </w:r>
      <w:r w:rsidR="00B642C5">
        <w:rPr>
          <w:rFonts w:ascii="TimesNewRomanPSMT" w:hAnsi="TimesNewRomanPSMT" w:cs="TimesNewRomanPSMT"/>
          <w:sz w:val="24"/>
          <w:szCs w:val="24"/>
        </w:rPr>
        <w:t xml:space="preserve">368 - </w:t>
      </w:r>
      <w:r w:rsidRPr="003947B7">
        <w:rPr>
          <w:rFonts w:ascii="TimesNewRomanPSMT" w:hAnsi="TimesNewRomanPSMT" w:cs="TimesNewRomanPSMT"/>
          <w:sz w:val="24"/>
          <w:szCs w:val="24"/>
        </w:rPr>
        <w:t>It is a self-contained code, no restriction can be read into that power except those mentioned in the Article itself”</w:t>
      </w:r>
      <w:r w:rsidR="00B642C5">
        <w:rPr>
          <w:rFonts w:ascii="TimesNewRomanPSMT" w:hAnsi="TimesNewRomanPSMT" w:cs="TimesNewRomanPSMT"/>
          <w:sz w:val="24"/>
          <w:szCs w:val="24"/>
        </w:rPr>
        <w:t xml:space="preserve">. </w:t>
      </w:r>
      <w:r w:rsidR="00AB58F1" w:rsidRPr="00B642C5">
        <w:rPr>
          <w:rFonts w:ascii="TimesNewRomanPSMT" w:hAnsi="TimesNewRomanPSMT" w:cs="TimesNewRomanPSMT"/>
          <w:sz w:val="24"/>
          <w:szCs w:val="24"/>
          <w:lang w:val="en-US"/>
        </w:rPr>
        <w:t>Article 368 contains both power and procedure. Amendments are not laws as contemplated in Article 13 and are thus not subject to the discipline of Fundamental Rights.</w:t>
      </w:r>
    </w:p>
    <w:p w:rsidR="00AB58F1" w:rsidRPr="00B642C5" w:rsidRDefault="00B642C5" w:rsidP="00B642C5">
      <w:pPr>
        <w:numPr>
          <w:ilvl w:val="0"/>
          <w:numId w:val="11"/>
        </w:numPr>
        <w:autoSpaceDE w:val="0"/>
        <w:autoSpaceDN w:val="0"/>
        <w:adjustRightInd w:val="0"/>
        <w:rPr>
          <w:rFonts w:ascii="TimesNewRomanPSMT" w:hAnsi="TimesNewRomanPSMT" w:cs="TimesNewRomanPSMT"/>
          <w:sz w:val="24"/>
          <w:szCs w:val="24"/>
        </w:rPr>
      </w:pPr>
      <w:r w:rsidRPr="00B642C5">
        <w:rPr>
          <w:rFonts w:ascii="TimesNewRomanPSMT" w:hAnsi="TimesNewRomanPSMT" w:cs="TimesNewRomanPSMT"/>
          <w:b/>
          <w:bCs/>
          <w:i/>
          <w:iCs/>
          <w:sz w:val="24"/>
          <w:szCs w:val="24"/>
          <w:lang w:val="en-GB"/>
        </w:rPr>
        <w:t xml:space="preserve">Sajjan Singh v. State of Rajasthan </w:t>
      </w:r>
      <w:r w:rsidRPr="00B642C5">
        <w:rPr>
          <w:rFonts w:ascii="TimesNewRomanPSMT" w:hAnsi="TimesNewRomanPSMT" w:cs="TimesNewRomanPSMT"/>
          <w:sz w:val="24"/>
          <w:szCs w:val="24"/>
          <w:lang w:val="en-GB"/>
        </w:rPr>
        <w:t>(1965)</w:t>
      </w:r>
      <w:r>
        <w:rPr>
          <w:rFonts w:ascii="TimesNewRomanPSMT" w:hAnsi="TimesNewRomanPSMT" w:cs="TimesNewRomanPSMT"/>
          <w:sz w:val="24"/>
          <w:szCs w:val="24"/>
          <w:lang w:val="en-GB"/>
        </w:rPr>
        <w:t xml:space="preserve"> - </w:t>
      </w:r>
      <w:r w:rsidR="00AB58F1" w:rsidRPr="00B642C5">
        <w:rPr>
          <w:rFonts w:ascii="TimesNewRomanPSMT" w:hAnsi="TimesNewRomanPSMT" w:cs="TimesNewRomanPSMT"/>
          <w:sz w:val="24"/>
          <w:szCs w:val="24"/>
          <w:lang w:val="en-GB"/>
        </w:rPr>
        <w:t xml:space="preserve">Encouraged by </w:t>
      </w:r>
      <w:proofErr w:type="spellStart"/>
      <w:r>
        <w:rPr>
          <w:rFonts w:ascii="TimesNewRomanPSMT" w:hAnsi="TimesNewRomanPSMT" w:cs="TimesNewRomanPSMT"/>
          <w:sz w:val="24"/>
          <w:szCs w:val="24"/>
          <w:lang w:val="en-GB"/>
        </w:rPr>
        <w:t>shankari</w:t>
      </w:r>
      <w:proofErr w:type="spellEnd"/>
      <w:r>
        <w:rPr>
          <w:rFonts w:ascii="TimesNewRomanPSMT" w:hAnsi="TimesNewRomanPSMT" w:cs="TimesNewRomanPSMT"/>
          <w:sz w:val="24"/>
          <w:szCs w:val="24"/>
          <w:lang w:val="en-GB"/>
        </w:rPr>
        <w:t xml:space="preserve"> prasad judgement</w:t>
      </w:r>
      <w:r w:rsidR="00AB58F1" w:rsidRPr="00B642C5">
        <w:rPr>
          <w:rFonts w:ascii="TimesNewRomanPSMT" w:hAnsi="TimesNewRomanPSMT" w:cs="TimesNewRomanPSMT"/>
          <w:sz w:val="24"/>
          <w:szCs w:val="24"/>
          <w:lang w:val="en-GB"/>
        </w:rPr>
        <w:t>, the Parliament brought the 4</w:t>
      </w:r>
      <w:r w:rsidR="00AB58F1" w:rsidRPr="00B642C5">
        <w:rPr>
          <w:rFonts w:ascii="TimesNewRomanPSMT" w:hAnsi="TimesNewRomanPSMT" w:cs="TimesNewRomanPSMT"/>
          <w:sz w:val="24"/>
          <w:szCs w:val="24"/>
          <w:vertAlign w:val="superscript"/>
          <w:lang w:val="en-GB"/>
        </w:rPr>
        <w:t>th</w:t>
      </w:r>
      <w:r w:rsidR="00AB58F1" w:rsidRPr="00B642C5">
        <w:rPr>
          <w:rFonts w:ascii="TimesNewRomanPSMT" w:hAnsi="TimesNewRomanPSMT" w:cs="TimesNewRomanPSMT"/>
          <w:sz w:val="24"/>
          <w:szCs w:val="24"/>
          <w:lang w:val="en-GB"/>
        </w:rPr>
        <w:t xml:space="preserve"> Amendment amending Article 31A to widen the scope of agrarian reform. The 17</w:t>
      </w:r>
      <w:r w:rsidR="00AB58F1" w:rsidRPr="00B642C5">
        <w:rPr>
          <w:rFonts w:ascii="TimesNewRomanPSMT" w:hAnsi="TimesNewRomanPSMT" w:cs="TimesNewRomanPSMT"/>
          <w:sz w:val="24"/>
          <w:szCs w:val="24"/>
          <w:vertAlign w:val="superscript"/>
          <w:lang w:val="en-GB"/>
        </w:rPr>
        <w:t>th</w:t>
      </w:r>
      <w:r w:rsidR="00AB58F1" w:rsidRPr="00B642C5">
        <w:rPr>
          <w:rFonts w:ascii="TimesNewRomanPSMT" w:hAnsi="TimesNewRomanPSMT" w:cs="TimesNewRomanPSMT"/>
          <w:sz w:val="24"/>
          <w:szCs w:val="24"/>
          <w:lang w:val="en-GB"/>
        </w:rPr>
        <w:t xml:space="preserve"> Amendment included certain Acts in the 9</w:t>
      </w:r>
      <w:r w:rsidR="00AB58F1" w:rsidRPr="00B642C5">
        <w:rPr>
          <w:rFonts w:ascii="TimesNewRomanPSMT" w:hAnsi="TimesNewRomanPSMT" w:cs="TimesNewRomanPSMT"/>
          <w:sz w:val="24"/>
          <w:szCs w:val="24"/>
          <w:vertAlign w:val="superscript"/>
          <w:lang w:val="en-GB"/>
        </w:rPr>
        <w:t>th</w:t>
      </w:r>
      <w:r w:rsidR="00AB58F1" w:rsidRPr="00B642C5">
        <w:rPr>
          <w:rFonts w:ascii="TimesNewRomanPSMT" w:hAnsi="TimesNewRomanPSMT" w:cs="TimesNewRomanPSMT"/>
          <w:sz w:val="24"/>
          <w:szCs w:val="24"/>
          <w:lang w:val="en-GB"/>
        </w:rPr>
        <w:t xml:space="preserve"> Schedule to protect them from challenge under Articles 14, 19 and 31. </w:t>
      </w:r>
      <w:r w:rsidRPr="00B642C5">
        <w:rPr>
          <w:rFonts w:ascii="TimesNewRomanPSMT" w:hAnsi="TimesNewRomanPSMT" w:cs="TimesNewRomanPSMT"/>
          <w:sz w:val="24"/>
          <w:szCs w:val="24"/>
          <w:lang w:val="en-GB"/>
        </w:rPr>
        <w:t xml:space="preserve">The </w:t>
      </w:r>
      <w:r w:rsidRPr="00B642C5">
        <w:rPr>
          <w:rFonts w:ascii="TimesNewRomanPSMT" w:hAnsi="TimesNewRomanPSMT" w:cs="TimesNewRomanPSMT"/>
          <w:sz w:val="24"/>
          <w:szCs w:val="24"/>
          <w:lang w:val="en-GB"/>
        </w:rPr>
        <w:lastRenderedPageBreak/>
        <w:t>Supreme Court rejected the contention saying that the High Court’s jurisdiction</w:t>
      </w:r>
      <w:r>
        <w:rPr>
          <w:rFonts w:ascii="TimesNewRomanPSMT" w:hAnsi="TimesNewRomanPSMT" w:cs="TimesNewRomanPSMT"/>
          <w:sz w:val="24"/>
          <w:szCs w:val="24"/>
          <w:lang w:val="en-GB"/>
        </w:rPr>
        <w:t xml:space="preserve"> under 368</w:t>
      </w:r>
      <w:r w:rsidRPr="00B642C5">
        <w:rPr>
          <w:rFonts w:ascii="TimesNewRomanPSMT" w:hAnsi="TimesNewRomanPSMT" w:cs="TimesNewRomanPSMT"/>
          <w:sz w:val="24"/>
          <w:szCs w:val="24"/>
          <w:lang w:val="en-GB"/>
        </w:rPr>
        <w:t xml:space="preserve"> was not affected</w:t>
      </w:r>
    </w:p>
    <w:p w:rsidR="00B642C5" w:rsidRPr="00AB58F1" w:rsidRDefault="00B642C5" w:rsidP="00B642C5">
      <w:pPr>
        <w:numPr>
          <w:ilvl w:val="0"/>
          <w:numId w:val="11"/>
        </w:numPr>
        <w:autoSpaceDE w:val="0"/>
        <w:autoSpaceDN w:val="0"/>
        <w:adjustRightInd w:val="0"/>
        <w:rPr>
          <w:rFonts w:ascii="TimesNewRomanPSMT" w:hAnsi="TimesNewRomanPSMT" w:cs="TimesNewRomanPSMT"/>
          <w:sz w:val="24"/>
          <w:szCs w:val="24"/>
        </w:rPr>
      </w:pPr>
      <w:r w:rsidRPr="00B642C5">
        <w:rPr>
          <w:rFonts w:ascii="TimesNewRomanPSMT" w:hAnsi="TimesNewRomanPSMT" w:cs="TimesNewRomanPSMT"/>
          <w:b/>
          <w:bCs/>
          <w:i/>
          <w:iCs/>
          <w:sz w:val="24"/>
          <w:szCs w:val="24"/>
          <w:lang w:val="en-GB"/>
        </w:rPr>
        <w:t>Golak Nath v. State of Punjab</w:t>
      </w:r>
      <w:r>
        <w:rPr>
          <w:rFonts w:ascii="TimesNewRomanPSMT" w:hAnsi="TimesNewRomanPSMT" w:cs="TimesNewRomanPSMT"/>
          <w:b/>
          <w:bCs/>
          <w:i/>
          <w:iCs/>
          <w:sz w:val="24"/>
          <w:szCs w:val="24"/>
          <w:lang w:val="en-GB"/>
        </w:rPr>
        <w:t xml:space="preserve"> - </w:t>
      </w:r>
      <w:r w:rsidRPr="00B642C5">
        <w:rPr>
          <w:rFonts w:ascii="TimesNewRomanPSMT" w:hAnsi="TimesNewRomanPSMT" w:cs="TimesNewRomanPSMT"/>
          <w:b/>
          <w:bCs/>
          <w:i/>
          <w:iCs/>
          <w:sz w:val="24"/>
          <w:szCs w:val="24"/>
          <w:lang w:val="en-GB"/>
        </w:rPr>
        <w:t>The 1</w:t>
      </w:r>
      <w:r w:rsidRPr="00B642C5">
        <w:rPr>
          <w:rFonts w:ascii="TimesNewRomanPSMT" w:hAnsi="TimesNewRomanPSMT" w:cs="TimesNewRomanPSMT"/>
          <w:b/>
          <w:bCs/>
          <w:i/>
          <w:iCs/>
          <w:sz w:val="24"/>
          <w:szCs w:val="24"/>
          <w:vertAlign w:val="superscript"/>
          <w:lang w:val="en-GB"/>
        </w:rPr>
        <w:t>st</w:t>
      </w:r>
      <w:r w:rsidRPr="00B642C5">
        <w:rPr>
          <w:rFonts w:ascii="TimesNewRomanPSMT" w:hAnsi="TimesNewRomanPSMT" w:cs="TimesNewRomanPSMT"/>
          <w:b/>
          <w:bCs/>
          <w:i/>
          <w:iCs/>
          <w:sz w:val="24"/>
          <w:szCs w:val="24"/>
          <w:lang w:val="en-GB"/>
        </w:rPr>
        <w:t>, 4</w:t>
      </w:r>
      <w:r w:rsidRPr="00B642C5">
        <w:rPr>
          <w:rFonts w:ascii="TimesNewRomanPSMT" w:hAnsi="TimesNewRomanPSMT" w:cs="TimesNewRomanPSMT"/>
          <w:b/>
          <w:bCs/>
          <w:i/>
          <w:iCs/>
          <w:sz w:val="24"/>
          <w:szCs w:val="24"/>
          <w:vertAlign w:val="superscript"/>
          <w:lang w:val="en-GB"/>
        </w:rPr>
        <w:t>th</w:t>
      </w:r>
      <w:r w:rsidRPr="00B642C5">
        <w:rPr>
          <w:rFonts w:ascii="TimesNewRomanPSMT" w:hAnsi="TimesNewRomanPSMT" w:cs="TimesNewRomanPSMT"/>
          <w:b/>
          <w:bCs/>
          <w:i/>
          <w:iCs/>
          <w:sz w:val="24"/>
          <w:szCs w:val="24"/>
          <w:lang w:val="en-GB"/>
        </w:rPr>
        <w:t xml:space="preserve"> and 17</w:t>
      </w:r>
      <w:r w:rsidRPr="00B642C5">
        <w:rPr>
          <w:rFonts w:ascii="TimesNewRomanPSMT" w:hAnsi="TimesNewRomanPSMT" w:cs="TimesNewRomanPSMT"/>
          <w:b/>
          <w:bCs/>
          <w:i/>
          <w:iCs/>
          <w:sz w:val="24"/>
          <w:szCs w:val="24"/>
          <w:vertAlign w:val="superscript"/>
          <w:lang w:val="en-GB"/>
        </w:rPr>
        <w:t>th</w:t>
      </w:r>
      <w:r w:rsidRPr="00B642C5">
        <w:rPr>
          <w:rFonts w:ascii="TimesNewRomanPSMT" w:hAnsi="TimesNewRomanPSMT" w:cs="TimesNewRomanPSMT"/>
          <w:b/>
          <w:bCs/>
          <w:i/>
          <w:iCs/>
          <w:sz w:val="24"/>
          <w:szCs w:val="24"/>
          <w:lang w:val="en-GB"/>
        </w:rPr>
        <w:t xml:space="preserve"> Amendments were questioned again in Golak Nath</w:t>
      </w:r>
      <w:r>
        <w:rPr>
          <w:rFonts w:ascii="TimesNewRomanPSMT" w:hAnsi="TimesNewRomanPSMT" w:cs="TimesNewRomanPSMT"/>
          <w:b/>
          <w:bCs/>
          <w:i/>
          <w:iCs/>
          <w:sz w:val="24"/>
          <w:szCs w:val="24"/>
          <w:lang w:val="en-GB"/>
        </w:rPr>
        <w:t xml:space="preserve">, </w:t>
      </w:r>
      <w:r w:rsidRPr="00B642C5">
        <w:rPr>
          <w:rFonts w:ascii="TimesNewRomanPSMT" w:hAnsi="TimesNewRomanPSMT" w:cs="TimesNewRomanPSMT"/>
          <w:b/>
          <w:bCs/>
          <w:i/>
          <w:iCs/>
          <w:sz w:val="24"/>
          <w:szCs w:val="24"/>
          <w:lang w:val="en-GB"/>
        </w:rPr>
        <w:t>the argument that amending power is sovereign power was rejected</w:t>
      </w:r>
      <w:r w:rsidR="00AB58F1">
        <w:rPr>
          <w:rFonts w:ascii="TimesNewRomanPSMT" w:hAnsi="TimesNewRomanPSMT" w:cs="TimesNewRomanPSMT"/>
          <w:b/>
          <w:bCs/>
          <w:i/>
          <w:iCs/>
          <w:sz w:val="24"/>
          <w:szCs w:val="24"/>
          <w:lang w:val="en-GB"/>
        </w:rPr>
        <w:t xml:space="preserve">. Parliament </w:t>
      </w:r>
      <w:r w:rsidR="00AB58F1" w:rsidRPr="00AB58F1">
        <w:rPr>
          <w:rFonts w:ascii="TimesNewRomanPSMT" w:hAnsi="TimesNewRomanPSMT" w:cs="TimesNewRomanPSMT"/>
          <w:b/>
          <w:bCs/>
          <w:i/>
          <w:iCs/>
          <w:sz w:val="24"/>
          <w:szCs w:val="24"/>
          <w:lang w:val="en-GB"/>
        </w:rPr>
        <w:t>is not a sovereign body-</w:t>
      </w:r>
    </w:p>
    <w:p w:rsidR="00AB58F1" w:rsidRPr="00AB58F1" w:rsidRDefault="00AB58F1" w:rsidP="00BC58FC">
      <w:pPr>
        <w:autoSpaceDE w:val="0"/>
        <w:autoSpaceDN w:val="0"/>
        <w:adjustRightInd w:val="0"/>
        <w:ind w:left="720"/>
        <w:rPr>
          <w:rFonts w:ascii="TimesNewRomanPSMT" w:hAnsi="TimesNewRomanPSMT" w:cs="TimesNewRomanPSMT"/>
          <w:sz w:val="24"/>
          <w:szCs w:val="24"/>
        </w:rPr>
      </w:pPr>
      <w:r w:rsidRPr="00AB58F1">
        <w:rPr>
          <w:rFonts w:ascii="TimesNewRomanPSMT" w:hAnsi="TimesNewRomanPSMT" w:cs="TimesNewRomanPSMT"/>
          <w:sz w:val="24"/>
          <w:szCs w:val="24"/>
          <w:lang w:val="en-GB"/>
        </w:rPr>
        <w:t>After the Golak Nath case, several amendments were brought about to bypass the ratio</w:t>
      </w:r>
    </w:p>
    <w:p w:rsidR="00AB58F1" w:rsidRPr="00BC58FC" w:rsidRDefault="00AB58F1" w:rsidP="00AB58F1">
      <w:pPr>
        <w:numPr>
          <w:ilvl w:val="0"/>
          <w:numId w:val="11"/>
        </w:numPr>
        <w:autoSpaceDE w:val="0"/>
        <w:autoSpaceDN w:val="0"/>
        <w:adjustRightInd w:val="0"/>
        <w:rPr>
          <w:rFonts w:ascii="TimesNewRomanPSMT" w:hAnsi="TimesNewRomanPSMT" w:cs="TimesNewRomanPSMT"/>
          <w:b/>
          <w:bCs/>
          <w:sz w:val="24"/>
          <w:szCs w:val="24"/>
        </w:rPr>
      </w:pPr>
      <w:r w:rsidRPr="00BC58FC">
        <w:rPr>
          <w:rFonts w:ascii="TimesNewRomanPSMT" w:hAnsi="TimesNewRomanPSMT" w:cs="TimesNewRomanPSMT"/>
          <w:b/>
          <w:bCs/>
          <w:sz w:val="24"/>
          <w:szCs w:val="24"/>
          <w:u w:val="single"/>
          <w:lang w:val="en-GB"/>
        </w:rPr>
        <w:t>25</w:t>
      </w:r>
      <w:r w:rsidRPr="00BC58FC">
        <w:rPr>
          <w:rFonts w:ascii="TimesNewRomanPSMT" w:hAnsi="TimesNewRomanPSMT" w:cs="TimesNewRomanPSMT"/>
          <w:b/>
          <w:bCs/>
          <w:sz w:val="24"/>
          <w:szCs w:val="24"/>
          <w:u w:val="single"/>
          <w:vertAlign w:val="superscript"/>
          <w:lang w:val="en-GB"/>
        </w:rPr>
        <w:t>th</w:t>
      </w:r>
      <w:r w:rsidRPr="00BC58FC">
        <w:rPr>
          <w:rFonts w:ascii="TimesNewRomanPSMT" w:hAnsi="TimesNewRomanPSMT" w:cs="TimesNewRomanPSMT"/>
          <w:b/>
          <w:bCs/>
          <w:sz w:val="24"/>
          <w:szCs w:val="24"/>
          <w:u w:val="single"/>
          <w:lang w:val="en-GB"/>
        </w:rPr>
        <w:t xml:space="preserve"> Amendment- </w:t>
      </w:r>
    </w:p>
    <w:p w:rsidR="00AB58F1" w:rsidRPr="00AB58F1" w:rsidRDefault="00AB58F1" w:rsidP="00AB58F1">
      <w:pPr>
        <w:autoSpaceDE w:val="0"/>
        <w:autoSpaceDN w:val="0"/>
        <w:adjustRightInd w:val="0"/>
        <w:ind w:left="720"/>
        <w:rPr>
          <w:rFonts w:ascii="TimesNewRomanPSMT" w:hAnsi="TimesNewRomanPSMT" w:cs="TimesNewRomanPSMT"/>
          <w:sz w:val="24"/>
          <w:szCs w:val="24"/>
        </w:rPr>
      </w:pPr>
      <w:r w:rsidRPr="00AB58F1">
        <w:rPr>
          <w:rFonts w:ascii="TimesNewRomanPSMT" w:hAnsi="TimesNewRomanPSMT" w:cs="TimesNewRomanPSMT"/>
          <w:sz w:val="24"/>
          <w:szCs w:val="24"/>
          <w:lang w:val="en-GB"/>
        </w:rPr>
        <w:t>- Article 13 was amended. Clause (4) was inserted and it was laid down that amendments were not laws for the purposes of Article 13.</w:t>
      </w:r>
    </w:p>
    <w:p w:rsidR="00AB58F1" w:rsidRPr="00AB58F1" w:rsidRDefault="00AB58F1" w:rsidP="00AB58F1">
      <w:pPr>
        <w:autoSpaceDE w:val="0"/>
        <w:autoSpaceDN w:val="0"/>
        <w:adjustRightInd w:val="0"/>
        <w:ind w:left="720"/>
        <w:rPr>
          <w:rFonts w:ascii="TimesNewRomanPSMT" w:hAnsi="TimesNewRomanPSMT" w:cs="TimesNewRomanPSMT"/>
          <w:sz w:val="24"/>
          <w:szCs w:val="24"/>
        </w:rPr>
      </w:pPr>
      <w:r w:rsidRPr="00AB58F1">
        <w:rPr>
          <w:rFonts w:ascii="TimesNewRomanPSMT" w:hAnsi="TimesNewRomanPSMT" w:cs="TimesNewRomanPSMT"/>
          <w:sz w:val="24"/>
          <w:szCs w:val="24"/>
          <w:lang w:val="en-GB"/>
        </w:rPr>
        <w:t>- It also added Article 31C to the Constitution which gave power to the Parliament to make law to implement certain DPSP even in abrogation of Article 14, 19 and 31.</w:t>
      </w:r>
    </w:p>
    <w:p w:rsidR="00AB58F1" w:rsidRPr="00AB58F1" w:rsidRDefault="00AB58F1" w:rsidP="00AB58F1">
      <w:pPr>
        <w:autoSpaceDE w:val="0"/>
        <w:autoSpaceDN w:val="0"/>
        <w:adjustRightInd w:val="0"/>
        <w:ind w:left="720"/>
        <w:rPr>
          <w:rFonts w:ascii="TimesNewRomanPSMT" w:hAnsi="TimesNewRomanPSMT" w:cs="TimesNewRomanPSMT"/>
          <w:sz w:val="24"/>
          <w:szCs w:val="24"/>
        </w:rPr>
      </w:pPr>
      <w:r w:rsidRPr="00AB58F1">
        <w:rPr>
          <w:rFonts w:ascii="TimesNewRomanPSMT" w:hAnsi="TimesNewRomanPSMT" w:cs="TimesNewRomanPSMT"/>
          <w:sz w:val="24"/>
          <w:szCs w:val="24"/>
          <w:lang w:val="en-GB"/>
        </w:rPr>
        <w:t>- It amended Article 31(2) by replacing the word ‘compensation’ with the word ‘amount’</w:t>
      </w:r>
    </w:p>
    <w:p w:rsidR="00AB58F1" w:rsidRPr="00BC58FC" w:rsidRDefault="00AB58F1" w:rsidP="00AB58F1">
      <w:pPr>
        <w:numPr>
          <w:ilvl w:val="0"/>
          <w:numId w:val="11"/>
        </w:numPr>
        <w:autoSpaceDE w:val="0"/>
        <w:autoSpaceDN w:val="0"/>
        <w:adjustRightInd w:val="0"/>
        <w:rPr>
          <w:rFonts w:ascii="TimesNewRomanPSMT" w:hAnsi="TimesNewRomanPSMT" w:cs="TimesNewRomanPSMT"/>
          <w:b/>
          <w:bCs/>
          <w:sz w:val="24"/>
          <w:szCs w:val="24"/>
        </w:rPr>
      </w:pPr>
      <w:r w:rsidRPr="00BC58FC">
        <w:rPr>
          <w:rFonts w:ascii="TimesNewRomanPSMT" w:hAnsi="TimesNewRomanPSMT" w:cs="TimesNewRomanPSMT"/>
          <w:b/>
          <w:bCs/>
          <w:sz w:val="24"/>
          <w:szCs w:val="24"/>
          <w:u w:val="single"/>
          <w:lang w:val="en-GB"/>
        </w:rPr>
        <w:t>26</w:t>
      </w:r>
      <w:r w:rsidRPr="00BC58FC">
        <w:rPr>
          <w:rFonts w:ascii="TimesNewRomanPSMT" w:hAnsi="TimesNewRomanPSMT" w:cs="TimesNewRomanPSMT"/>
          <w:b/>
          <w:bCs/>
          <w:sz w:val="24"/>
          <w:szCs w:val="24"/>
          <w:u w:val="single"/>
          <w:vertAlign w:val="superscript"/>
          <w:lang w:val="en-GB"/>
        </w:rPr>
        <w:t>th</w:t>
      </w:r>
      <w:r w:rsidRPr="00BC58FC">
        <w:rPr>
          <w:rFonts w:ascii="TimesNewRomanPSMT" w:hAnsi="TimesNewRomanPSMT" w:cs="TimesNewRomanPSMT"/>
          <w:b/>
          <w:bCs/>
          <w:sz w:val="24"/>
          <w:szCs w:val="24"/>
          <w:u w:val="single"/>
          <w:lang w:val="en-GB"/>
        </w:rPr>
        <w:t xml:space="preserve"> Amendment</w:t>
      </w:r>
      <w:r w:rsidRPr="00BC58FC">
        <w:rPr>
          <w:rFonts w:ascii="TimesNewRomanPSMT" w:hAnsi="TimesNewRomanPSMT" w:cs="TimesNewRomanPSMT"/>
          <w:b/>
          <w:bCs/>
          <w:sz w:val="24"/>
          <w:szCs w:val="24"/>
          <w:lang w:val="en-GB"/>
        </w:rPr>
        <w:t xml:space="preserve">- </w:t>
      </w:r>
    </w:p>
    <w:p w:rsidR="00AB58F1" w:rsidRPr="00AB58F1" w:rsidRDefault="00AB58F1" w:rsidP="00AB58F1">
      <w:pPr>
        <w:autoSpaceDE w:val="0"/>
        <w:autoSpaceDN w:val="0"/>
        <w:adjustRightInd w:val="0"/>
        <w:ind w:left="720"/>
        <w:rPr>
          <w:rFonts w:ascii="TimesNewRomanPSMT" w:hAnsi="TimesNewRomanPSMT" w:cs="TimesNewRomanPSMT"/>
          <w:sz w:val="24"/>
          <w:szCs w:val="24"/>
        </w:rPr>
      </w:pPr>
      <w:r w:rsidRPr="00AB58F1">
        <w:rPr>
          <w:rFonts w:ascii="TimesNewRomanPSMT" w:hAnsi="TimesNewRomanPSMT" w:cs="TimesNewRomanPSMT"/>
          <w:sz w:val="24"/>
          <w:szCs w:val="24"/>
          <w:lang w:val="en-GB"/>
        </w:rPr>
        <w:t>- deleted Article 362 abolishing Princely states and privileges of princes.</w:t>
      </w:r>
    </w:p>
    <w:p w:rsidR="00AB58F1" w:rsidRPr="00BC58FC" w:rsidRDefault="00AB58F1" w:rsidP="00AB58F1">
      <w:pPr>
        <w:numPr>
          <w:ilvl w:val="0"/>
          <w:numId w:val="11"/>
        </w:numPr>
        <w:autoSpaceDE w:val="0"/>
        <w:autoSpaceDN w:val="0"/>
        <w:adjustRightInd w:val="0"/>
        <w:rPr>
          <w:rFonts w:ascii="TimesNewRomanPSMT" w:hAnsi="TimesNewRomanPSMT" w:cs="TimesNewRomanPSMT"/>
          <w:b/>
          <w:bCs/>
          <w:sz w:val="24"/>
          <w:szCs w:val="24"/>
        </w:rPr>
      </w:pPr>
      <w:r w:rsidRPr="00BC58FC">
        <w:rPr>
          <w:rFonts w:ascii="TimesNewRomanPSMT" w:hAnsi="TimesNewRomanPSMT" w:cs="TimesNewRomanPSMT"/>
          <w:b/>
          <w:bCs/>
          <w:sz w:val="24"/>
          <w:szCs w:val="24"/>
          <w:u w:val="single"/>
          <w:lang w:val="en-GB"/>
        </w:rPr>
        <w:t>29</w:t>
      </w:r>
      <w:r w:rsidRPr="00BC58FC">
        <w:rPr>
          <w:rFonts w:ascii="TimesNewRomanPSMT" w:hAnsi="TimesNewRomanPSMT" w:cs="TimesNewRomanPSMT"/>
          <w:b/>
          <w:bCs/>
          <w:sz w:val="24"/>
          <w:szCs w:val="24"/>
          <w:u w:val="single"/>
          <w:vertAlign w:val="superscript"/>
          <w:lang w:val="en-GB"/>
        </w:rPr>
        <w:t>th</w:t>
      </w:r>
      <w:r w:rsidRPr="00BC58FC">
        <w:rPr>
          <w:rFonts w:ascii="TimesNewRomanPSMT" w:hAnsi="TimesNewRomanPSMT" w:cs="TimesNewRomanPSMT"/>
          <w:b/>
          <w:bCs/>
          <w:sz w:val="24"/>
          <w:szCs w:val="24"/>
          <w:u w:val="single"/>
          <w:lang w:val="en-GB"/>
        </w:rPr>
        <w:t xml:space="preserve"> Amendment</w:t>
      </w:r>
      <w:r w:rsidRPr="00BC58FC">
        <w:rPr>
          <w:rFonts w:ascii="TimesNewRomanPSMT" w:hAnsi="TimesNewRomanPSMT" w:cs="TimesNewRomanPSMT"/>
          <w:b/>
          <w:bCs/>
          <w:sz w:val="24"/>
          <w:szCs w:val="24"/>
          <w:lang w:val="en-GB"/>
        </w:rPr>
        <w:t xml:space="preserve">- </w:t>
      </w:r>
    </w:p>
    <w:p w:rsidR="00AB58F1" w:rsidRPr="00AB58F1" w:rsidRDefault="00AB58F1" w:rsidP="00AB58F1">
      <w:pPr>
        <w:autoSpaceDE w:val="0"/>
        <w:autoSpaceDN w:val="0"/>
        <w:adjustRightInd w:val="0"/>
        <w:ind w:left="720"/>
        <w:rPr>
          <w:rFonts w:ascii="TimesNewRomanPSMT" w:hAnsi="TimesNewRomanPSMT" w:cs="TimesNewRomanPSMT"/>
          <w:sz w:val="24"/>
          <w:szCs w:val="24"/>
        </w:rPr>
      </w:pPr>
      <w:r w:rsidRPr="00AB58F1">
        <w:rPr>
          <w:rFonts w:ascii="TimesNewRomanPSMT" w:hAnsi="TimesNewRomanPSMT" w:cs="TimesNewRomanPSMT"/>
          <w:sz w:val="24"/>
          <w:szCs w:val="24"/>
          <w:lang w:val="en-GB"/>
        </w:rPr>
        <w:t>- expanded the 9</w:t>
      </w:r>
      <w:r w:rsidRPr="00AB58F1">
        <w:rPr>
          <w:rFonts w:ascii="TimesNewRomanPSMT" w:hAnsi="TimesNewRomanPSMT" w:cs="TimesNewRomanPSMT"/>
          <w:sz w:val="24"/>
          <w:szCs w:val="24"/>
          <w:vertAlign w:val="superscript"/>
          <w:lang w:val="en-GB"/>
        </w:rPr>
        <w:t>th</w:t>
      </w:r>
      <w:r w:rsidRPr="00AB58F1">
        <w:rPr>
          <w:rFonts w:ascii="TimesNewRomanPSMT" w:hAnsi="TimesNewRomanPSMT" w:cs="TimesNewRomanPSMT"/>
          <w:sz w:val="24"/>
          <w:szCs w:val="24"/>
          <w:lang w:val="en-GB"/>
        </w:rPr>
        <w:t xml:space="preserve"> Schedule</w:t>
      </w:r>
    </w:p>
    <w:p w:rsidR="00AB58F1" w:rsidRPr="00AB58F1" w:rsidRDefault="00AB58F1" w:rsidP="00AB58F1">
      <w:pPr>
        <w:numPr>
          <w:ilvl w:val="0"/>
          <w:numId w:val="11"/>
        </w:numPr>
        <w:autoSpaceDE w:val="0"/>
        <w:autoSpaceDN w:val="0"/>
        <w:adjustRightInd w:val="0"/>
        <w:rPr>
          <w:rFonts w:ascii="TimesNewRomanPSMT" w:hAnsi="TimesNewRomanPSMT" w:cs="TimesNewRomanPSMT"/>
          <w:sz w:val="24"/>
          <w:szCs w:val="24"/>
        </w:rPr>
      </w:pPr>
      <w:proofErr w:type="spellStart"/>
      <w:r w:rsidRPr="00AB58F1">
        <w:rPr>
          <w:rFonts w:ascii="TimesNewRomanPSMT" w:hAnsi="TimesNewRomanPSMT" w:cs="TimesNewRomanPSMT"/>
          <w:b/>
          <w:bCs/>
          <w:i/>
          <w:iCs/>
          <w:sz w:val="24"/>
          <w:szCs w:val="24"/>
          <w:lang w:val="en-GB"/>
        </w:rPr>
        <w:t>Keshavananda</w:t>
      </w:r>
      <w:proofErr w:type="spellEnd"/>
      <w:r w:rsidRPr="00AB58F1">
        <w:rPr>
          <w:rFonts w:ascii="TimesNewRomanPSMT" w:hAnsi="TimesNewRomanPSMT" w:cs="TimesNewRomanPSMT"/>
          <w:b/>
          <w:bCs/>
          <w:i/>
          <w:iCs/>
          <w:sz w:val="24"/>
          <w:szCs w:val="24"/>
          <w:lang w:val="en-GB"/>
        </w:rPr>
        <w:t xml:space="preserve"> Bharati v. State of Kerala</w:t>
      </w:r>
      <w:r>
        <w:rPr>
          <w:rFonts w:ascii="TimesNewRomanPSMT" w:hAnsi="TimesNewRomanPSMT" w:cs="TimesNewRomanPSMT"/>
          <w:b/>
          <w:bCs/>
          <w:i/>
          <w:iCs/>
          <w:sz w:val="24"/>
          <w:szCs w:val="24"/>
          <w:lang w:val="en-GB"/>
        </w:rPr>
        <w:t xml:space="preserve"> - </w:t>
      </w:r>
      <w:r w:rsidRPr="00AB58F1">
        <w:rPr>
          <w:rFonts w:ascii="TimesNewRomanPSMT" w:hAnsi="TimesNewRomanPSMT" w:cs="TimesNewRomanPSMT"/>
          <w:sz w:val="24"/>
          <w:szCs w:val="24"/>
          <w:lang w:val="en-GB"/>
        </w:rPr>
        <w:t xml:space="preserve">All these amendments were questioned in </w:t>
      </w:r>
      <w:proofErr w:type="spellStart"/>
      <w:r w:rsidRPr="00AB58F1">
        <w:rPr>
          <w:rFonts w:ascii="TimesNewRomanPSMT" w:hAnsi="TimesNewRomanPSMT" w:cs="TimesNewRomanPSMT"/>
          <w:sz w:val="24"/>
          <w:szCs w:val="24"/>
          <w:lang w:val="en-GB"/>
        </w:rPr>
        <w:t>Keshavananda</w:t>
      </w:r>
      <w:proofErr w:type="spellEnd"/>
      <w:r w:rsidRPr="00AB58F1">
        <w:rPr>
          <w:rFonts w:ascii="TimesNewRomanPSMT" w:hAnsi="TimesNewRomanPSMT" w:cs="TimesNewRomanPSMT"/>
          <w:sz w:val="24"/>
          <w:szCs w:val="24"/>
          <w:lang w:val="en-GB"/>
        </w:rPr>
        <w:t xml:space="preserve"> Bharati’s case. </w:t>
      </w:r>
    </w:p>
    <w:p w:rsidR="00AB58F1" w:rsidRDefault="00AB58F1" w:rsidP="00AB58F1">
      <w:pPr>
        <w:pStyle w:val="ListParagraph"/>
        <w:numPr>
          <w:ilvl w:val="0"/>
          <w:numId w:val="19"/>
        </w:numPr>
        <w:autoSpaceDE w:val="0"/>
        <w:autoSpaceDN w:val="0"/>
        <w:adjustRightInd w:val="0"/>
        <w:rPr>
          <w:rFonts w:ascii="TimesNewRomanPSMT" w:hAnsi="TimesNewRomanPSMT" w:cs="TimesNewRomanPSMT"/>
          <w:sz w:val="24"/>
          <w:szCs w:val="24"/>
          <w:lang w:val="en-GB"/>
        </w:rPr>
      </w:pPr>
      <w:r w:rsidRPr="00AB58F1">
        <w:rPr>
          <w:rFonts w:ascii="TimesNewRomanPSMT" w:hAnsi="TimesNewRomanPSMT" w:cs="TimesNewRomanPSMT"/>
          <w:sz w:val="24"/>
          <w:szCs w:val="24"/>
          <w:lang w:val="en-GB"/>
        </w:rPr>
        <w:t>Majority I</w:t>
      </w:r>
      <w:r w:rsidRPr="00AB58F1">
        <w:rPr>
          <w:rFonts w:ascii="TimesNewRomanPSMT" w:hAnsi="TimesNewRomanPSMT" w:cs="TimesNewRomanPSMT"/>
          <w:sz w:val="24"/>
          <w:szCs w:val="24"/>
        </w:rPr>
        <w:t xml:space="preserve"> - </w:t>
      </w:r>
      <w:r w:rsidRPr="00AB58F1">
        <w:rPr>
          <w:rFonts w:ascii="TimesNewRomanPSMT" w:hAnsi="TimesNewRomanPSMT" w:cs="TimesNewRomanPSMT"/>
          <w:sz w:val="24"/>
          <w:szCs w:val="24"/>
          <w:lang w:val="en-GB"/>
        </w:rPr>
        <w:t xml:space="preserve">Amending power extends to amending all provisions of the Constitution including Part III. Fundamental Rights are not beyond amending power(Supported </w:t>
      </w:r>
      <w:proofErr w:type="spellStart"/>
      <w:r w:rsidRPr="00AB58F1">
        <w:rPr>
          <w:rFonts w:ascii="TimesNewRomanPSMT" w:hAnsi="TimesNewRomanPSMT" w:cs="TimesNewRomanPSMT"/>
          <w:sz w:val="24"/>
          <w:szCs w:val="24"/>
          <w:lang w:val="en-GB"/>
        </w:rPr>
        <w:t>Sankari</w:t>
      </w:r>
      <w:proofErr w:type="spellEnd"/>
      <w:r w:rsidRPr="00AB58F1">
        <w:rPr>
          <w:rFonts w:ascii="TimesNewRomanPSMT" w:hAnsi="TimesNewRomanPSMT" w:cs="TimesNewRomanPSMT"/>
          <w:sz w:val="24"/>
          <w:szCs w:val="24"/>
          <w:lang w:val="en-GB"/>
        </w:rPr>
        <w:t xml:space="preserve"> Prasad).</w:t>
      </w:r>
    </w:p>
    <w:p w:rsidR="00AB58F1" w:rsidRPr="00AB58F1" w:rsidRDefault="00AB58F1" w:rsidP="00AB58F1">
      <w:pPr>
        <w:pStyle w:val="ListParagraph"/>
        <w:autoSpaceDE w:val="0"/>
        <w:autoSpaceDN w:val="0"/>
        <w:adjustRightInd w:val="0"/>
        <w:ind w:left="1440"/>
        <w:rPr>
          <w:rFonts w:ascii="TimesNewRomanPSMT" w:hAnsi="TimesNewRomanPSMT" w:cs="TimesNewRomanPSMT"/>
          <w:sz w:val="24"/>
          <w:szCs w:val="24"/>
          <w:lang w:val="en-GB"/>
        </w:rPr>
      </w:pPr>
    </w:p>
    <w:p w:rsidR="00AB58F1" w:rsidRPr="00AB58F1" w:rsidRDefault="00AB58F1" w:rsidP="00AB58F1">
      <w:pPr>
        <w:pStyle w:val="ListParagraph"/>
        <w:numPr>
          <w:ilvl w:val="0"/>
          <w:numId w:val="19"/>
        </w:numPr>
        <w:autoSpaceDE w:val="0"/>
        <w:autoSpaceDN w:val="0"/>
        <w:adjustRightInd w:val="0"/>
        <w:rPr>
          <w:rFonts w:ascii="TimesNewRomanPSMT" w:hAnsi="TimesNewRomanPSMT" w:cs="TimesNewRomanPSMT"/>
          <w:sz w:val="24"/>
          <w:szCs w:val="24"/>
          <w:lang w:val="en-GB"/>
        </w:rPr>
      </w:pPr>
      <w:r w:rsidRPr="00AB58F1">
        <w:rPr>
          <w:rFonts w:ascii="TimesNewRomanPSMT" w:hAnsi="TimesNewRomanPSMT" w:cs="TimesNewRomanPSMT"/>
          <w:sz w:val="24"/>
          <w:szCs w:val="24"/>
          <w:lang w:val="en-GB"/>
        </w:rPr>
        <w:t>Majority II</w:t>
      </w:r>
      <w:r w:rsidRPr="00AB58F1">
        <w:rPr>
          <w:rFonts w:ascii="TimesNewRomanPSMT" w:hAnsi="TimesNewRomanPSMT" w:cs="TimesNewRomanPSMT"/>
          <w:sz w:val="24"/>
          <w:szCs w:val="24"/>
        </w:rPr>
        <w:t xml:space="preserve"> - </w:t>
      </w:r>
      <w:r w:rsidRPr="00AB58F1">
        <w:rPr>
          <w:rFonts w:ascii="TimesNewRomanPSMT" w:hAnsi="TimesNewRomanPSMT" w:cs="TimesNewRomanPSMT"/>
          <w:sz w:val="24"/>
          <w:szCs w:val="24"/>
          <w:lang w:val="en-GB"/>
        </w:rPr>
        <w:t xml:space="preserve">Even though amending power extends to all provisions, it is limited. The Parliament has no power to amend in such a way as to destroy the basic structure/framework of the Constitution. However, the basic structure was not defined. </w:t>
      </w:r>
    </w:p>
    <w:p w:rsidR="00AB58F1" w:rsidRPr="00AB58F1" w:rsidRDefault="00AB58F1" w:rsidP="00AB58F1">
      <w:pPr>
        <w:pStyle w:val="ListParagraph"/>
        <w:autoSpaceDE w:val="0"/>
        <w:autoSpaceDN w:val="0"/>
        <w:adjustRightInd w:val="0"/>
        <w:ind w:left="1440"/>
        <w:rPr>
          <w:rFonts w:ascii="TimesNewRomanPSMT" w:hAnsi="TimesNewRomanPSMT" w:cs="TimesNewRomanPSMT"/>
          <w:sz w:val="24"/>
          <w:szCs w:val="24"/>
          <w:lang w:val="en-GB"/>
        </w:rPr>
      </w:pPr>
    </w:p>
    <w:p w:rsidR="00AB58F1" w:rsidRPr="00AB58F1" w:rsidRDefault="00AB58F1" w:rsidP="00AB58F1">
      <w:pPr>
        <w:pStyle w:val="ListParagraph"/>
        <w:numPr>
          <w:ilvl w:val="0"/>
          <w:numId w:val="19"/>
        </w:numPr>
        <w:autoSpaceDE w:val="0"/>
        <w:autoSpaceDN w:val="0"/>
        <w:adjustRightInd w:val="0"/>
        <w:rPr>
          <w:rFonts w:ascii="TimesNewRomanPSMT" w:hAnsi="TimesNewRomanPSMT" w:cs="TimesNewRomanPSMT"/>
          <w:sz w:val="24"/>
          <w:szCs w:val="24"/>
        </w:rPr>
      </w:pPr>
      <w:r w:rsidRPr="00AB58F1">
        <w:rPr>
          <w:rFonts w:ascii="TimesNewRomanPSMT" w:hAnsi="TimesNewRomanPSMT" w:cs="TimesNewRomanPSMT"/>
          <w:sz w:val="24"/>
          <w:szCs w:val="24"/>
          <w:lang w:val="en-GB"/>
        </w:rPr>
        <w:t xml:space="preserve">Justice Khanna </w:t>
      </w:r>
      <w:r w:rsidRPr="00AB58F1">
        <w:rPr>
          <w:rFonts w:ascii="TimesNewRomanPSMT" w:hAnsi="TimesNewRomanPSMT" w:cs="TimesNewRomanPSMT"/>
          <w:sz w:val="24"/>
          <w:szCs w:val="24"/>
        </w:rPr>
        <w:t xml:space="preserve">- </w:t>
      </w:r>
      <w:r w:rsidRPr="00AB58F1">
        <w:rPr>
          <w:rFonts w:ascii="TimesNewRomanPSMT" w:hAnsi="TimesNewRomanPSMT" w:cs="TimesNewRomanPSMT"/>
          <w:sz w:val="24"/>
          <w:szCs w:val="24"/>
          <w:lang w:val="en-GB"/>
        </w:rPr>
        <w:t>He said that Fundamental Rights may be amended. His idea of ‘basic structure’ was one of institutional design. He did not join either majority in full force.</w:t>
      </w:r>
    </w:p>
    <w:p w:rsidR="00AB58F1" w:rsidRPr="00AB58F1" w:rsidRDefault="00AB58F1" w:rsidP="00AB58F1">
      <w:pPr>
        <w:pStyle w:val="ListParagraph"/>
        <w:numPr>
          <w:ilvl w:val="0"/>
          <w:numId w:val="20"/>
        </w:numPr>
        <w:autoSpaceDE w:val="0"/>
        <w:autoSpaceDN w:val="0"/>
        <w:adjustRightInd w:val="0"/>
        <w:rPr>
          <w:rFonts w:ascii="TimesNewRomanPSMT" w:hAnsi="TimesNewRomanPSMT" w:cs="TimesNewRomanPSMT"/>
          <w:sz w:val="24"/>
          <w:szCs w:val="24"/>
        </w:rPr>
      </w:pPr>
      <w:r w:rsidRPr="00AB58F1">
        <w:rPr>
          <w:rFonts w:ascii="TimesNewRomanPSMT" w:hAnsi="TimesNewRomanPSMT" w:cs="TimesNewRomanPSMT"/>
          <w:sz w:val="24"/>
          <w:szCs w:val="24"/>
          <w:lang w:val="en-GB"/>
        </w:rPr>
        <w:t>He joined Majority I to the extent that the amending power of the Parliament covered all provisions.</w:t>
      </w:r>
      <w:r w:rsidRPr="00AB58F1">
        <w:rPr>
          <w:rFonts w:ascii="TimesNewRomanPSMT" w:hAnsi="TimesNewRomanPSMT" w:cs="TimesNewRomanPSMT"/>
          <w:sz w:val="24"/>
          <w:szCs w:val="24"/>
        </w:rPr>
        <w:t xml:space="preserve"> </w:t>
      </w:r>
    </w:p>
    <w:p w:rsidR="00AB58F1" w:rsidRPr="00AB58F1" w:rsidRDefault="00AB58F1" w:rsidP="00AB58F1">
      <w:pPr>
        <w:pStyle w:val="ListParagraph"/>
        <w:numPr>
          <w:ilvl w:val="0"/>
          <w:numId w:val="20"/>
        </w:numPr>
        <w:autoSpaceDE w:val="0"/>
        <w:autoSpaceDN w:val="0"/>
        <w:adjustRightInd w:val="0"/>
        <w:rPr>
          <w:rFonts w:ascii="TimesNewRomanPSMT" w:hAnsi="TimesNewRomanPSMT" w:cs="TimesNewRomanPSMT"/>
          <w:sz w:val="24"/>
          <w:szCs w:val="24"/>
        </w:rPr>
      </w:pPr>
      <w:r w:rsidRPr="00AB58F1">
        <w:rPr>
          <w:rFonts w:ascii="TimesNewRomanPSMT" w:hAnsi="TimesNewRomanPSMT" w:cs="TimesNewRomanPSMT"/>
          <w:sz w:val="24"/>
          <w:szCs w:val="24"/>
          <w:lang w:val="en-GB"/>
        </w:rPr>
        <w:t>He joined Majority II to the extent that the amending power was limited by basic structure.</w:t>
      </w:r>
    </w:p>
    <w:p w:rsidR="00AB58F1" w:rsidRPr="00BC58FC" w:rsidRDefault="00AB58F1" w:rsidP="00BC58FC">
      <w:pPr>
        <w:numPr>
          <w:ilvl w:val="0"/>
          <w:numId w:val="11"/>
        </w:numPr>
        <w:autoSpaceDE w:val="0"/>
        <w:autoSpaceDN w:val="0"/>
        <w:adjustRightInd w:val="0"/>
        <w:rPr>
          <w:rFonts w:ascii="TimesNewRomanPSMT" w:hAnsi="TimesNewRomanPSMT" w:cs="TimesNewRomanPSMT"/>
          <w:sz w:val="24"/>
          <w:szCs w:val="24"/>
        </w:rPr>
      </w:pPr>
      <w:r w:rsidRPr="00AB58F1">
        <w:rPr>
          <w:rFonts w:ascii="TimesNewRomanPSMT" w:hAnsi="TimesNewRomanPSMT" w:cs="TimesNewRomanPSMT"/>
          <w:b/>
          <w:bCs/>
          <w:i/>
          <w:iCs/>
          <w:sz w:val="24"/>
          <w:szCs w:val="24"/>
          <w:lang w:val="en-US"/>
        </w:rPr>
        <w:t>Indira Gandhi v. Raj Narain &amp; after</w:t>
      </w:r>
      <w:r>
        <w:rPr>
          <w:rFonts w:ascii="TimesNewRomanPSMT" w:hAnsi="TimesNewRomanPSMT" w:cs="TimesNewRomanPSMT"/>
          <w:b/>
          <w:bCs/>
          <w:i/>
          <w:iCs/>
          <w:sz w:val="24"/>
          <w:szCs w:val="24"/>
          <w:lang w:val="en-US"/>
        </w:rPr>
        <w:t xml:space="preserve"> - </w:t>
      </w:r>
      <w:r w:rsidRPr="00BC58FC">
        <w:rPr>
          <w:rFonts w:ascii="TimesNewRomanPSMT" w:hAnsi="TimesNewRomanPSMT" w:cs="TimesNewRomanPSMT"/>
          <w:sz w:val="24"/>
          <w:szCs w:val="24"/>
          <w:u w:val="single"/>
          <w:lang w:val="en-GB"/>
        </w:rPr>
        <w:t>42</w:t>
      </w:r>
      <w:r w:rsidRPr="00BC58FC">
        <w:rPr>
          <w:rFonts w:ascii="TimesNewRomanPSMT" w:hAnsi="TimesNewRomanPSMT" w:cs="TimesNewRomanPSMT"/>
          <w:sz w:val="24"/>
          <w:szCs w:val="24"/>
          <w:u w:val="single"/>
          <w:vertAlign w:val="superscript"/>
          <w:lang w:val="en-GB"/>
        </w:rPr>
        <w:t>nd</w:t>
      </w:r>
      <w:r w:rsidRPr="00BC58FC">
        <w:rPr>
          <w:rFonts w:ascii="TimesNewRomanPSMT" w:hAnsi="TimesNewRomanPSMT" w:cs="TimesNewRomanPSMT"/>
          <w:sz w:val="24"/>
          <w:szCs w:val="24"/>
          <w:u w:val="single"/>
          <w:lang w:val="en-GB"/>
        </w:rPr>
        <w:t xml:space="preserve"> Amendment</w:t>
      </w:r>
      <w:r w:rsidRPr="00BC58FC">
        <w:rPr>
          <w:rFonts w:ascii="TimesNewRomanPSMT" w:hAnsi="TimesNewRomanPSMT" w:cs="TimesNewRomanPSMT"/>
          <w:sz w:val="24"/>
          <w:szCs w:val="24"/>
        </w:rPr>
        <w:t xml:space="preserve"> - </w:t>
      </w:r>
      <w:r w:rsidRPr="00BC58FC">
        <w:rPr>
          <w:rFonts w:ascii="TimesNewRomanPSMT" w:hAnsi="TimesNewRomanPSMT" w:cs="TimesNewRomanPSMT"/>
          <w:sz w:val="24"/>
          <w:szCs w:val="24"/>
          <w:lang w:val="en-GB"/>
        </w:rPr>
        <w:t>It expanded Article 31C- This originally gave immunity to certain laws implementing specific DPSP. However, now it gave immunity to all laws implementing DPSP.</w:t>
      </w:r>
      <w:r w:rsidR="00BC58FC">
        <w:rPr>
          <w:rFonts w:ascii="TimesNewRomanPSMT" w:hAnsi="TimesNewRomanPSMT" w:cs="TimesNewRomanPSMT"/>
          <w:sz w:val="24"/>
          <w:szCs w:val="24"/>
        </w:rPr>
        <w:t xml:space="preserve"> </w:t>
      </w:r>
      <w:r w:rsidRPr="00BC58FC">
        <w:rPr>
          <w:rFonts w:ascii="TimesNewRomanPSMT" w:hAnsi="TimesNewRomanPSMT" w:cs="TimesNewRomanPSMT"/>
          <w:sz w:val="24"/>
          <w:szCs w:val="24"/>
          <w:lang w:val="en-GB"/>
        </w:rPr>
        <w:t xml:space="preserve">In order to make it clear, </w:t>
      </w:r>
      <w:r w:rsidRPr="00BC58FC">
        <w:rPr>
          <w:rFonts w:ascii="TimesNewRomanPSMT" w:hAnsi="TimesNewRomanPSMT" w:cs="TimesNewRomanPSMT"/>
          <w:sz w:val="24"/>
          <w:szCs w:val="24"/>
          <w:lang w:val="en-GB"/>
        </w:rPr>
        <w:lastRenderedPageBreak/>
        <w:t>Clause (4) ousting Judicial Review was added to Article 368 so that no amendment to the Constitution including Fundamental Rights could be called into question whether</w:t>
      </w:r>
      <w:r w:rsidR="00BC58FC">
        <w:rPr>
          <w:rFonts w:ascii="TimesNewRomanPSMT" w:hAnsi="TimesNewRomanPSMT" w:cs="TimesNewRomanPSMT"/>
          <w:sz w:val="24"/>
          <w:szCs w:val="24"/>
          <w:lang w:val="en-GB"/>
        </w:rPr>
        <w:t xml:space="preserve"> </w:t>
      </w:r>
      <w:r w:rsidRPr="00BC58FC">
        <w:rPr>
          <w:rFonts w:ascii="TimesNewRomanPSMT" w:hAnsi="TimesNewRomanPSMT" w:cs="TimesNewRomanPSMT"/>
          <w:sz w:val="24"/>
          <w:szCs w:val="24"/>
          <w:lang w:val="en-GB"/>
        </w:rPr>
        <w:t>made before or after the 42</w:t>
      </w:r>
      <w:r w:rsidRPr="00BC58FC">
        <w:rPr>
          <w:rFonts w:ascii="TimesNewRomanPSMT" w:hAnsi="TimesNewRomanPSMT" w:cs="TimesNewRomanPSMT"/>
          <w:sz w:val="24"/>
          <w:szCs w:val="24"/>
          <w:vertAlign w:val="superscript"/>
          <w:lang w:val="en-GB"/>
        </w:rPr>
        <w:t>nd</w:t>
      </w:r>
      <w:r w:rsidRPr="00BC58FC">
        <w:rPr>
          <w:rFonts w:ascii="TimesNewRomanPSMT" w:hAnsi="TimesNewRomanPSMT" w:cs="TimesNewRomanPSMT"/>
          <w:sz w:val="24"/>
          <w:szCs w:val="24"/>
          <w:lang w:val="en-GB"/>
        </w:rPr>
        <w:t xml:space="preserve"> Amendment and Clause (5) was also added making the amending power of Parliament unlimited.</w:t>
      </w:r>
    </w:p>
    <w:p w:rsidR="00AB58F1" w:rsidRPr="001B12D9" w:rsidRDefault="00BC58FC" w:rsidP="00BC58FC">
      <w:pPr>
        <w:numPr>
          <w:ilvl w:val="0"/>
          <w:numId w:val="11"/>
        </w:numPr>
        <w:autoSpaceDE w:val="0"/>
        <w:autoSpaceDN w:val="0"/>
        <w:adjustRightInd w:val="0"/>
        <w:rPr>
          <w:rFonts w:ascii="TimesNewRomanPSMT" w:hAnsi="TimesNewRomanPSMT" w:cs="TimesNewRomanPSMT"/>
          <w:b/>
          <w:bCs/>
          <w:i/>
          <w:iCs/>
          <w:sz w:val="24"/>
          <w:szCs w:val="24"/>
        </w:rPr>
      </w:pPr>
      <w:r w:rsidRPr="00BC58FC">
        <w:rPr>
          <w:rFonts w:ascii="TimesNewRomanPSMT" w:hAnsi="TimesNewRomanPSMT" w:cs="TimesNewRomanPSMT"/>
          <w:b/>
          <w:bCs/>
          <w:i/>
          <w:iCs/>
          <w:sz w:val="24"/>
          <w:szCs w:val="24"/>
          <w:lang w:val="en-GB"/>
        </w:rPr>
        <w:t>Minerva Mills v. Union of India (1980)</w:t>
      </w:r>
      <w:r>
        <w:rPr>
          <w:rFonts w:ascii="TimesNewRomanPSMT" w:hAnsi="TimesNewRomanPSMT" w:cs="TimesNewRomanPSMT"/>
          <w:b/>
          <w:bCs/>
          <w:i/>
          <w:iCs/>
          <w:sz w:val="24"/>
          <w:szCs w:val="24"/>
          <w:lang w:val="en-GB"/>
        </w:rPr>
        <w:t xml:space="preserve"> - </w:t>
      </w:r>
      <w:r w:rsidR="00A27505" w:rsidRPr="00BC58FC">
        <w:rPr>
          <w:rFonts w:ascii="TimesNewRomanPSMT" w:hAnsi="TimesNewRomanPSMT" w:cs="TimesNewRomanPSMT"/>
          <w:sz w:val="24"/>
          <w:szCs w:val="24"/>
          <w:lang w:val="en-GB"/>
        </w:rPr>
        <w:t>It said that Amending power is limited and cannot be transformed into unlimited power because limited amending power is part of the basic structure. Thus Clause (5) was ultra vires.</w:t>
      </w:r>
      <w:r w:rsidRPr="00BC58FC">
        <w:rPr>
          <w:rFonts w:ascii="TimesNewRomanPSMT" w:hAnsi="TimesNewRomanPSMT" w:cs="TimesNewRomanPSMT"/>
          <w:sz w:val="24"/>
          <w:szCs w:val="24"/>
        </w:rPr>
        <w:t xml:space="preserve"> </w:t>
      </w:r>
      <w:r w:rsidR="00A27505" w:rsidRPr="00BC58FC">
        <w:rPr>
          <w:rFonts w:ascii="TimesNewRomanPSMT" w:hAnsi="TimesNewRomanPSMT" w:cs="TimesNewRomanPSMT"/>
          <w:sz w:val="24"/>
          <w:szCs w:val="24"/>
          <w:lang w:val="en-GB"/>
        </w:rPr>
        <w:t>Also judicial review is part of basic structure. So Clause (4) is unconstitutional.</w:t>
      </w:r>
      <w:r w:rsidRPr="00BC58FC">
        <w:rPr>
          <w:rFonts w:ascii="TimesNewRomanPSMT" w:hAnsi="TimesNewRomanPSMT" w:cs="TimesNewRomanPSMT"/>
          <w:sz w:val="24"/>
          <w:szCs w:val="24"/>
        </w:rPr>
        <w:t xml:space="preserve"> </w:t>
      </w:r>
      <w:r w:rsidRPr="00BC58FC">
        <w:rPr>
          <w:rFonts w:ascii="TimesNewRomanPSMT" w:hAnsi="TimesNewRomanPSMT" w:cs="TimesNewRomanPSMT"/>
          <w:sz w:val="24"/>
          <w:szCs w:val="24"/>
          <w:lang w:val="en-GB"/>
        </w:rPr>
        <w:t>However, opinion was split as regards the expansion of Article 31C</w:t>
      </w:r>
    </w:p>
    <w:p w:rsidR="00BC58FC" w:rsidRPr="00C81CD5" w:rsidRDefault="001B12D9" w:rsidP="00C81CD5">
      <w:pPr>
        <w:numPr>
          <w:ilvl w:val="0"/>
          <w:numId w:val="11"/>
        </w:numPr>
        <w:autoSpaceDE w:val="0"/>
        <w:autoSpaceDN w:val="0"/>
        <w:adjustRightInd w:val="0"/>
        <w:rPr>
          <w:rFonts w:ascii="TimesNewRomanPSMT" w:hAnsi="TimesNewRomanPSMT" w:cs="TimesNewRomanPSMT"/>
          <w:b/>
          <w:bCs/>
          <w:i/>
          <w:iCs/>
          <w:sz w:val="24"/>
          <w:szCs w:val="24"/>
        </w:rPr>
      </w:pPr>
      <w:r w:rsidRPr="00C81CD5">
        <w:rPr>
          <w:rFonts w:ascii="TimesNewRomanPSMT" w:hAnsi="TimesNewRomanPSMT" w:cs="TimesNewRomanPSMT"/>
          <w:b/>
          <w:bCs/>
          <w:i/>
          <w:iCs/>
          <w:sz w:val="24"/>
          <w:szCs w:val="24"/>
        </w:rPr>
        <w:t xml:space="preserve">In I R Coelho v Union of India (2007) </w:t>
      </w:r>
      <w:r w:rsidR="00C81CD5" w:rsidRPr="00C81CD5">
        <w:rPr>
          <w:rFonts w:ascii="TimesNewRomanPSMT" w:hAnsi="TimesNewRomanPSMT" w:cs="TimesNewRomanPSMT"/>
          <w:sz w:val="24"/>
          <w:szCs w:val="24"/>
        </w:rPr>
        <w:t xml:space="preserve">I R </w:t>
      </w:r>
      <w:proofErr w:type="spellStart"/>
      <w:r w:rsidR="00C81CD5" w:rsidRPr="00C81CD5">
        <w:rPr>
          <w:rFonts w:ascii="TimesNewRomanPSMT" w:hAnsi="TimesNewRomanPSMT" w:cs="TimesNewRomanPSMT"/>
          <w:sz w:val="24"/>
          <w:szCs w:val="24"/>
        </w:rPr>
        <w:t>Coehlo</w:t>
      </w:r>
      <w:proofErr w:type="spellEnd"/>
      <w:r w:rsidR="00C81CD5" w:rsidRPr="00C81CD5">
        <w:rPr>
          <w:rFonts w:ascii="TimesNewRomanPSMT" w:hAnsi="TimesNewRomanPSMT" w:cs="TimesNewRomanPSMT"/>
          <w:sz w:val="24"/>
          <w:szCs w:val="24"/>
        </w:rPr>
        <w:t xml:space="preserve"> v State of k - The basic structure applies to the </w:t>
      </w:r>
      <w:proofErr w:type="spellStart"/>
      <w:r w:rsidR="00C81CD5" w:rsidRPr="00C81CD5">
        <w:rPr>
          <w:rFonts w:ascii="TimesNewRomanPSMT" w:hAnsi="TimesNewRomanPSMT" w:cs="TimesNewRomanPSMT"/>
          <w:sz w:val="24"/>
          <w:szCs w:val="24"/>
        </w:rPr>
        <w:t>amnedments</w:t>
      </w:r>
      <w:proofErr w:type="spellEnd"/>
      <w:r w:rsidR="00C81CD5" w:rsidRPr="00C81CD5">
        <w:rPr>
          <w:rFonts w:ascii="TimesNewRomanPSMT" w:hAnsi="TimesNewRomanPSMT" w:cs="TimesNewRomanPSMT"/>
          <w:sz w:val="24"/>
          <w:szCs w:val="24"/>
        </w:rPr>
        <w:t xml:space="preserve"> as well as 14,19 and 21 which are a part of the basic structure as well.</w:t>
      </w:r>
    </w:p>
    <w:p w:rsidR="00AB58F1" w:rsidRPr="00B642C5" w:rsidRDefault="00AB58F1" w:rsidP="00AB58F1">
      <w:pPr>
        <w:autoSpaceDE w:val="0"/>
        <w:autoSpaceDN w:val="0"/>
        <w:adjustRightInd w:val="0"/>
        <w:ind w:left="720"/>
        <w:rPr>
          <w:rFonts w:ascii="TimesNewRomanPSMT" w:hAnsi="TimesNewRomanPSMT" w:cs="TimesNewRomanPSMT"/>
          <w:sz w:val="24"/>
          <w:szCs w:val="24"/>
        </w:rPr>
      </w:pPr>
    </w:p>
    <w:p w:rsidR="00B642C5" w:rsidRPr="00B642C5" w:rsidRDefault="00B642C5" w:rsidP="00B642C5">
      <w:pPr>
        <w:autoSpaceDE w:val="0"/>
        <w:autoSpaceDN w:val="0"/>
        <w:adjustRightInd w:val="0"/>
        <w:ind w:left="720"/>
        <w:rPr>
          <w:rFonts w:ascii="TimesNewRomanPSMT" w:hAnsi="TimesNewRomanPSMT" w:cs="TimesNewRomanPSMT"/>
          <w:sz w:val="24"/>
          <w:szCs w:val="24"/>
        </w:rPr>
      </w:pPr>
    </w:p>
    <w:p w:rsidR="003947B7" w:rsidRPr="00B23646" w:rsidRDefault="003947B7" w:rsidP="00444BA4">
      <w:pPr>
        <w:autoSpaceDE w:val="0"/>
        <w:autoSpaceDN w:val="0"/>
        <w:adjustRightInd w:val="0"/>
        <w:spacing w:after="0" w:line="240" w:lineRule="auto"/>
        <w:rPr>
          <w:rFonts w:ascii="TimesNewRomanPSMT" w:hAnsi="TimesNewRomanPSMT" w:cs="TimesNewRomanPSMT"/>
          <w:sz w:val="24"/>
          <w:szCs w:val="24"/>
        </w:rPr>
      </w:pPr>
    </w:p>
    <w:sectPr w:rsidR="003947B7" w:rsidRPr="00B236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23C3" w:rsidRDefault="00B323C3" w:rsidP="00A940E5">
      <w:pPr>
        <w:spacing w:after="0" w:line="240" w:lineRule="auto"/>
      </w:pPr>
      <w:r>
        <w:separator/>
      </w:r>
    </w:p>
  </w:endnote>
  <w:endnote w:type="continuationSeparator" w:id="0">
    <w:p w:rsidR="00B323C3" w:rsidRDefault="00B323C3" w:rsidP="00A94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Wingdings 3">
    <w:charset w:val="02"/>
    <w:family w:val="decorative"/>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23C3" w:rsidRDefault="00B323C3" w:rsidP="00A940E5">
      <w:pPr>
        <w:spacing w:after="0" w:line="240" w:lineRule="auto"/>
      </w:pPr>
      <w:r>
        <w:separator/>
      </w:r>
    </w:p>
  </w:footnote>
  <w:footnote w:type="continuationSeparator" w:id="0">
    <w:p w:rsidR="00B323C3" w:rsidRDefault="00B323C3" w:rsidP="00A940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68CC"/>
    <w:multiLevelType w:val="hybridMultilevel"/>
    <w:tmpl w:val="CB949CD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31B442A"/>
    <w:multiLevelType w:val="hybridMultilevel"/>
    <w:tmpl w:val="1428C55E"/>
    <w:lvl w:ilvl="0" w:tplc="1D1E7F60">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05FE0414"/>
    <w:multiLevelType w:val="hybridMultilevel"/>
    <w:tmpl w:val="FF6A23AC"/>
    <w:lvl w:ilvl="0" w:tplc="40090011">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6FB69AC"/>
    <w:multiLevelType w:val="hybridMultilevel"/>
    <w:tmpl w:val="903E16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8A34BEB"/>
    <w:multiLevelType w:val="hybridMultilevel"/>
    <w:tmpl w:val="8850C668"/>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EF25C16"/>
    <w:multiLevelType w:val="hybridMultilevel"/>
    <w:tmpl w:val="7B80537A"/>
    <w:lvl w:ilvl="0" w:tplc="4B4023D0">
      <w:start w:val="1"/>
      <w:numFmt w:val="bullet"/>
      <w:lvlText w:val="•"/>
      <w:lvlJc w:val="left"/>
      <w:pPr>
        <w:ind w:left="1440" w:hanging="360"/>
      </w:pPr>
      <w:rPr>
        <w:rFonts w:ascii="TimesNewRomanPSMT" w:eastAsiaTheme="minorHAnsi" w:hAnsi="TimesNewRomanPSMT" w:cs="TimesNewRomanPSMT"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15:restartNumberingAfterBreak="0">
    <w:nsid w:val="2679324C"/>
    <w:multiLevelType w:val="hybridMultilevel"/>
    <w:tmpl w:val="25A6DCD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1C51874"/>
    <w:multiLevelType w:val="hybridMultilevel"/>
    <w:tmpl w:val="A6F8035E"/>
    <w:lvl w:ilvl="0" w:tplc="A4B2D3F2">
      <w:start w:val="1"/>
      <w:numFmt w:val="bullet"/>
      <w:lvlText w:val=""/>
      <w:lvlJc w:val="left"/>
      <w:pPr>
        <w:tabs>
          <w:tab w:val="num" w:pos="720"/>
        </w:tabs>
        <w:ind w:left="720" w:hanging="360"/>
      </w:pPr>
      <w:rPr>
        <w:rFonts w:ascii="Wingdings 3" w:hAnsi="Wingdings 3" w:hint="default"/>
      </w:rPr>
    </w:lvl>
    <w:lvl w:ilvl="1" w:tplc="62862A6E" w:tentative="1">
      <w:start w:val="1"/>
      <w:numFmt w:val="bullet"/>
      <w:lvlText w:val=""/>
      <w:lvlJc w:val="left"/>
      <w:pPr>
        <w:tabs>
          <w:tab w:val="num" w:pos="1440"/>
        </w:tabs>
        <w:ind w:left="1440" w:hanging="360"/>
      </w:pPr>
      <w:rPr>
        <w:rFonts w:ascii="Wingdings 3" w:hAnsi="Wingdings 3" w:hint="default"/>
      </w:rPr>
    </w:lvl>
    <w:lvl w:ilvl="2" w:tplc="3CF63D6C" w:tentative="1">
      <w:start w:val="1"/>
      <w:numFmt w:val="bullet"/>
      <w:lvlText w:val=""/>
      <w:lvlJc w:val="left"/>
      <w:pPr>
        <w:tabs>
          <w:tab w:val="num" w:pos="2160"/>
        </w:tabs>
        <w:ind w:left="2160" w:hanging="360"/>
      </w:pPr>
      <w:rPr>
        <w:rFonts w:ascii="Wingdings 3" w:hAnsi="Wingdings 3" w:hint="default"/>
      </w:rPr>
    </w:lvl>
    <w:lvl w:ilvl="3" w:tplc="AA1A4A5E" w:tentative="1">
      <w:start w:val="1"/>
      <w:numFmt w:val="bullet"/>
      <w:lvlText w:val=""/>
      <w:lvlJc w:val="left"/>
      <w:pPr>
        <w:tabs>
          <w:tab w:val="num" w:pos="2880"/>
        </w:tabs>
        <w:ind w:left="2880" w:hanging="360"/>
      </w:pPr>
      <w:rPr>
        <w:rFonts w:ascii="Wingdings 3" w:hAnsi="Wingdings 3" w:hint="default"/>
      </w:rPr>
    </w:lvl>
    <w:lvl w:ilvl="4" w:tplc="6FA6A328" w:tentative="1">
      <w:start w:val="1"/>
      <w:numFmt w:val="bullet"/>
      <w:lvlText w:val=""/>
      <w:lvlJc w:val="left"/>
      <w:pPr>
        <w:tabs>
          <w:tab w:val="num" w:pos="3600"/>
        </w:tabs>
        <w:ind w:left="3600" w:hanging="360"/>
      </w:pPr>
      <w:rPr>
        <w:rFonts w:ascii="Wingdings 3" w:hAnsi="Wingdings 3" w:hint="default"/>
      </w:rPr>
    </w:lvl>
    <w:lvl w:ilvl="5" w:tplc="E8D24248" w:tentative="1">
      <w:start w:val="1"/>
      <w:numFmt w:val="bullet"/>
      <w:lvlText w:val=""/>
      <w:lvlJc w:val="left"/>
      <w:pPr>
        <w:tabs>
          <w:tab w:val="num" w:pos="4320"/>
        </w:tabs>
        <w:ind w:left="4320" w:hanging="360"/>
      </w:pPr>
      <w:rPr>
        <w:rFonts w:ascii="Wingdings 3" w:hAnsi="Wingdings 3" w:hint="default"/>
      </w:rPr>
    </w:lvl>
    <w:lvl w:ilvl="6" w:tplc="41BA0DBA" w:tentative="1">
      <w:start w:val="1"/>
      <w:numFmt w:val="bullet"/>
      <w:lvlText w:val=""/>
      <w:lvlJc w:val="left"/>
      <w:pPr>
        <w:tabs>
          <w:tab w:val="num" w:pos="5040"/>
        </w:tabs>
        <w:ind w:left="5040" w:hanging="360"/>
      </w:pPr>
      <w:rPr>
        <w:rFonts w:ascii="Wingdings 3" w:hAnsi="Wingdings 3" w:hint="default"/>
      </w:rPr>
    </w:lvl>
    <w:lvl w:ilvl="7" w:tplc="DAE4050C" w:tentative="1">
      <w:start w:val="1"/>
      <w:numFmt w:val="bullet"/>
      <w:lvlText w:val=""/>
      <w:lvlJc w:val="left"/>
      <w:pPr>
        <w:tabs>
          <w:tab w:val="num" w:pos="5760"/>
        </w:tabs>
        <w:ind w:left="5760" w:hanging="360"/>
      </w:pPr>
      <w:rPr>
        <w:rFonts w:ascii="Wingdings 3" w:hAnsi="Wingdings 3" w:hint="default"/>
      </w:rPr>
    </w:lvl>
    <w:lvl w:ilvl="8" w:tplc="ED76873C"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33E05C82"/>
    <w:multiLevelType w:val="hybridMultilevel"/>
    <w:tmpl w:val="4B3EDADA"/>
    <w:lvl w:ilvl="0" w:tplc="5BC40544">
      <w:start w:val="1"/>
      <w:numFmt w:val="bullet"/>
      <w:lvlText w:val=""/>
      <w:lvlJc w:val="left"/>
      <w:pPr>
        <w:tabs>
          <w:tab w:val="num" w:pos="720"/>
        </w:tabs>
        <w:ind w:left="720" w:hanging="360"/>
      </w:pPr>
      <w:rPr>
        <w:rFonts w:ascii="Wingdings 3" w:hAnsi="Wingdings 3" w:hint="default"/>
      </w:rPr>
    </w:lvl>
    <w:lvl w:ilvl="1" w:tplc="65C83FB4" w:tentative="1">
      <w:start w:val="1"/>
      <w:numFmt w:val="bullet"/>
      <w:lvlText w:val=""/>
      <w:lvlJc w:val="left"/>
      <w:pPr>
        <w:tabs>
          <w:tab w:val="num" w:pos="1440"/>
        </w:tabs>
        <w:ind w:left="1440" w:hanging="360"/>
      </w:pPr>
      <w:rPr>
        <w:rFonts w:ascii="Wingdings 3" w:hAnsi="Wingdings 3" w:hint="default"/>
      </w:rPr>
    </w:lvl>
    <w:lvl w:ilvl="2" w:tplc="404CFE0E" w:tentative="1">
      <w:start w:val="1"/>
      <w:numFmt w:val="bullet"/>
      <w:lvlText w:val=""/>
      <w:lvlJc w:val="left"/>
      <w:pPr>
        <w:tabs>
          <w:tab w:val="num" w:pos="2160"/>
        </w:tabs>
        <w:ind w:left="2160" w:hanging="360"/>
      </w:pPr>
      <w:rPr>
        <w:rFonts w:ascii="Wingdings 3" w:hAnsi="Wingdings 3" w:hint="default"/>
      </w:rPr>
    </w:lvl>
    <w:lvl w:ilvl="3" w:tplc="F7BC9F1A" w:tentative="1">
      <w:start w:val="1"/>
      <w:numFmt w:val="bullet"/>
      <w:lvlText w:val=""/>
      <w:lvlJc w:val="left"/>
      <w:pPr>
        <w:tabs>
          <w:tab w:val="num" w:pos="2880"/>
        </w:tabs>
        <w:ind w:left="2880" w:hanging="360"/>
      </w:pPr>
      <w:rPr>
        <w:rFonts w:ascii="Wingdings 3" w:hAnsi="Wingdings 3" w:hint="default"/>
      </w:rPr>
    </w:lvl>
    <w:lvl w:ilvl="4" w:tplc="175A3CAC" w:tentative="1">
      <w:start w:val="1"/>
      <w:numFmt w:val="bullet"/>
      <w:lvlText w:val=""/>
      <w:lvlJc w:val="left"/>
      <w:pPr>
        <w:tabs>
          <w:tab w:val="num" w:pos="3600"/>
        </w:tabs>
        <w:ind w:left="3600" w:hanging="360"/>
      </w:pPr>
      <w:rPr>
        <w:rFonts w:ascii="Wingdings 3" w:hAnsi="Wingdings 3" w:hint="default"/>
      </w:rPr>
    </w:lvl>
    <w:lvl w:ilvl="5" w:tplc="F656C30A" w:tentative="1">
      <w:start w:val="1"/>
      <w:numFmt w:val="bullet"/>
      <w:lvlText w:val=""/>
      <w:lvlJc w:val="left"/>
      <w:pPr>
        <w:tabs>
          <w:tab w:val="num" w:pos="4320"/>
        </w:tabs>
        <w:ind w:left="4320" w:hanging="360"/>
      </w:pPr>
      <w:rPr>
        <w:rFonts w:ascii="Wingdings 3" w:hAnsi="Wingdings 3" w:hint="default"/>
      </w:rPr>
    </w:lvl>
    <w:lvl w:ilvl="6" w:tplc="D806D77C" w:tentative="1">
      <w:start w:val="1"/>
      <w:numFmt w:val="bullet"/>
      <w:lvlText w:val=""/>
      <w:lvlJc w:val="left"/>
      <w:pPr>
        <w:tabs>
          <w:tab w:val="num" w:pos="5040"/>
        </w:tabs>
        <w:ind w:left="5040" w:hanging="360"/>
      </w:pPr>
      <w:rPr>
        <w:rFonts w:ascii="Wingdings 3" w:hAnsi="Wingdings 3" w:hint="default"/>
      </w:rPr>
    </w:lvl>
    <w:lvl w:ilvl="7" w:tplc="6758365C" w:tentative="1">
      <w:start w:val="1"/>
      <w:numFmt w:val="bullet"/>
      <w:lvlText w:val=""/>
      <w:lvlJc w:val="left"/>
      <w:pPr>
        <w:tabs>
          <w:tab w:val="num" w:pos="5760"/>
        </w:tabs>
        <w:ind w:left="5760" w:hanging="360"/>
      </w:pPr>
      <w:rPr>
        <w:rFonts w:ascii="Wingdings 3" w:hAnsi="Wingdings 3" w:hint="default"/>
      </w:rPr>
    </w:lvl>
    <w:lvl w:ilvl="8" w:tplc="EE12C030"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343C1AA3"/>
    <w:multiLevelType w:val="hybridMultilevel"/>
    <w:tmpl w:val="320C4C32"/>
    <w:lvl w:ilvl="0" w:tplc="A964E35E">
      <w:start w:val="1"/>
      <w:numFmt w:val="bullet"/>
      <w:lvlText w:val=""/>
      <w:lvlJc w:val="left"/>
      <w:pPr>
        <w:tabs>
          <w:tab w:val="num" w:pos="720"/>
        </w:tabs>
        <w:ind w:left="720" w:hanging="360"/>
      </w:pPr>
      <w:rPr>
        <w:rFonts w:ascii="Wingdings 3" w:hAnsi="Wingdings 3" w:hint="default"/>
      </w:rPr>
    </w:lvl>
    <w:lvl w:ilvl="1" w:tplc="232497B2" w:tentative="1">
      <w:start w:val="1"/>
      <w:numFmt w:val="bullet"/>
      <w:lvlText w:val=""/>
      <w:lvlJc w:val="left"/>
      <w:pPr>
        <w:tabs>
          <w:tab w:val="num" w:pos="1440"/>
        </w:tabs>
        <w:ind w:left="1440" w:hanging="360"/>
      </w:pPr>
      <w:rPr>
        <w:rFonts w:ascii="Wingdings 3" w:hAnsi="Wingdings 3" w:hint="default"/>
      </w:rPr>
    </w:lvl>
    <w:lvl w:ilvl="2" w:tplc="2BAE33CC" w:tentative="1">
      <w:start w:val="1"/>
      <w:numFmt w:val="bullet"/>
      <w:lvlText w:val=""/>
      <w:lvlJc w:val="left"/>
      <w:pPr>
        <w:tabs>
          <w:tab w:val="num" w:pos="2160"/>
        </w:tabs>
        <w:ind w:left="2160" w:hanging="360"/>
      </w:pPr>
      <w:rPr>
        <w:rFonts w:ascii="Wingdings 3" w:hAnsi="Wingdings 3" w:hint="default"/>
      </w:rPr>
    </w:lvl>
    <w:lvl w:ilvl="3" w:tplc="63484B3A" w:tentative="1">
      <w:start w:val="1"/>
      <w:numFmt w:val="bullet"/>
      <w:lvlText w:val=""/>
      <w:lvlJc w:val="left"/>
      <w:pPr>
        <w:tabs>
          <w:tab w:val="num" w:pos="2880"/>
        </w:tabs>
        <w:ind w:left="2880" w:hanging="360"/>
      </w:pPr>
      <w:rPr>
        <w:rFonts w:ascii="Wingdings 3" w:hAnsi="Wingdings 3" w:hint="default"/>
      </w:rPr>
    </w:lvl>
    <w:lvl w:ilvl="4" w:tplc="6102E960" w:tentative="1">
      <w:start w:val="1"/>
      <w:numFmt w:val="bullet"/>
      <w:lvlText w:val=""/>
      <w:lvlJc w:val="left"/>
      <w:pPr>
        <w:tabs>
          <w:tab w:val="num" w:pos="3600"/>
        </w:tabs>
        <w:ind w:left="3600" w:hanging="360"/>
      </w:pPr>
      <w:rPr>
        <w:rFonts w:ascii="Wingdings 3" w:hAnsi="Wingdings 3" w:hint="default"/>
      </w:rPr>
    </w:lvl>
    <w:lvl w:ilvl="5" w:tplc="9104C1BA" w:tentative="1">
      <w:start w:val="1"/>
      <w:numFmt w:val="bullet"/>
      <w:lvlText w:val=""/>
      <w:lvlJc w:val="left"/>
      <w:pPr>
        <w:tabs>
          <w:tab w:val="num" w:pos="4320"/>
        </w:tabs>
        <w:ind w:left="4320" w:hanging="360"/>
      </w:pPr>
      <w:rPr>
        <w:rFonts w:ascii="Wingdings 3" w:hAnsi="Wingdings 3" w:hint="default"/>
      </w:rPr>
    </w:lvl>
    <w:lvl w:ilvl="6" w:tplc="85604CEC" w:tentative="1">
      <w:start w:val="1"/>
      <w:numFmt w:val="bullet"/>
      <w:lvlText w:val=""/>
      <w:lvlJc w:val="left"/>
      <w:pPr>
        <w:tabs>
          <w:tab w:val="num" w:pos="5040"/>
        </w:tabs>
        <w:ind w:left="5040" w:hanging="360"/>
      </w:pPr>
      <w:rPr>
        <w:rFonts w:ascii="Wingdings 3" w:hAnsi="Wingdings 3" w:hint="default"/>
      </w:rPr>
    </w:lvl>
    <w:lvl w:ilvl="7" w:tplc="862E2416" w:tentative="1">
      <w:start w:val="1"/>
      <w:numFmt w:val="bullet"/>
      <w:lvlText w:val=""/>
      <w:lvlJc w:val="left"/>
      <w:pPr>
        <w:tabs>
          <w:tab w:val="num" w:pos="5760"/>
        </w:tabs>
        <w:ind w:left="5760" w:hanging="360"/>
      </w:pPr>
      <w:rPr>
        <w:rFonts w:ascii="Wingdings 3" w:hAnsi="Wingdings 3" w:hint="default"/>
      </w:rPr>
    </w:lvl>
    <w:lvl w:ilvl="8" w:tplc="CE6CB1A8"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37D770A7"/>
    <w:multiLevelType w:val="hybridMultilevel"/>
    <w:tmpl w:val="146A8750"/>
    <w:lvl w:ilvl="0" w:tplc="AA3EAD58">
      <w:start w:val="1"/>
      <w:numFmt w:val="bullet"/>
      <w:lvlText w:val=""/>
      <w:lvlJc w:val="left"/>
      <w:pPr>
        <w:tabs>
          <w:tab w:val="num" w:pos="720"/>
        </w:tabs>
        <w:ind w:left="720" w:hanging="360"/>
      </w:pPr>
      <w:rPr>
        <w:rFonts w:ascii="Wingdings 3" w:hAnsi="Wingdings 3" w:hint="default"/>
      </w:rPr>
    </w:lvl>
    <w:lvl w:ilvl="1" w:tplc="857C76E2" w:tentative="1">
      <w:start w:val="1"/>
      <w:numFmt w:val="bullet"/>
      <w:lvlText w:val=""/>
      <w:lvlJc w:val="left"/>
      <w:pPr>
        <w:tabs>
          <w:tab w:val="num" w:pos="1440"/>
        </w:tabs>
        <w:ind w:left="1440" w:hanging="360"/>
      </w:pPr>
      <w:rPr>
        <w:rFonts w:ascii="Wingdings 3" w:hAnsi="Wingdings 3" w:hint="default"/>
      </w:rPr>
    </w:lvl>
    <w:lvl w:ilvl="2" w:tplc="42D2FBFA" w:tentative="1">
      <w:start w:val="1"/>
      <w:numFmt w:val="bullet"/>
      <w:lvlText w:val=""/>
      <w:lvlJc w:val="left"/>
      <w:pPr>
        <w:tabs>
          <w:tab w:val="num" w:pos="2160"/>
        </w:tabs>
        <w:ind w:left="2160" w:hanging="360"/>
      </w:pPr>
      <w:rPr>
        <w:rFonts w:ascii="Wingdings 3" w:hAnsi="Wingdings 3" w:hint="default"/>
      </w:rPr>
    </w:lvl>
    <w:lvl w:ilvl="3" w:tplc="66EA936A" w:tentative="1">
      <w:start w:val="1"/>
      <w:numFmt w:val="bullet"/>
      <w:lvlText w:val=""/>
      <w:lvlJc w:val="left"/>
      <w:pPr>
        <w:tabs>
          <w:tab w:val="num" w:pos="2880"/>
        </w:tabs>
        <w:ind w:left="2880" w:hanging="360"/>
      </w:pPr>
      <w:rPr>
        <w:rFonts w:ascii="Wingdings 3" w:hAnsi="Wingdings 3" w:hint="default"/>
      </w:rPr>
    </w:lvl>
    <w:lvl w:ilvl="4" w:tplc="EB46A29C" w:tentative="1">
      <w:start w:val="1"/>
      <w:numFmt w:val="bullet"/>
      <w:lvlText w:val=""/>
      <w:lvlJc w:val="left"/>
      <w:pPr>
        <w:tabs>
          <w:tab w:val="num" w:pos="3600"/>
        </w:tabs>
        <w:ind w:left="3600" w:hanging="360"/>
      </w:pPr>
      <w:rPr>
        <w:rFonts w:ascii="Wingdings 3" w:hAnsi="Wingdings 3" w:hint="default"/>
      </w:rPr>
    </w:lvl>
    <w:lvl w:ilvl="5" w:tplc="E814E6BE" w:tentative="1">
      <w:start w:val="1"/>
      <w:numFmt w:val="bullet"/>
      <w:lvlText w:val=""/>
      <w:lvlJc w:val="left"/>
      <w:pPr>
        <w:tabs>
          <w:tab w:val="num" w:pos="4320"/>
        </w:tabs>
        <w:ind w:left="4320" w:hanging="360"/>
      </w:pPr>
      <w:rPr>
        <w:rFonts w:ascii="Wingdings 3" w:hAnsi="Wingdings 3" w:hint="default"/>
      </w:rPr>
    </w:lvl>
    <w:lvl w:ilvl="6" w:tplc="A238E6A8" w:tentative="1">
      <w:start w:val="1"/>
      <w:numFmt w:val="bullet"/>
      <w:lvlText w:val=""/>
      <w:lvlJc w:val="left"/>
      <w:pPr>
        <w:tabs>
          <w:tab w:val="num" w:pos="5040"/>
        </w:tabs>
        <w:ind w:left="5040" w:hanging="360"/>
      </w:pPr>
      <w:rPr>
        <w:rFonts w:ascii="Wingdings 3" w:hAnsi="Wingdings 3" w:hint="default"/>
      </w:rPr>
    </w:lvl>
    <w:lvl w:ilvl="7" w:tplc="4A7628FE" w:tentative="1">
      <w:start w:val="1"/>
      <w:numFmt w:val="bullet"/>
      <w:lvlText w:val=""/>
      <w:lvlJc w:val="left"/>
      <w:pPr>
        <w:tabs>
          <w:tab w:val="num" w:pos="5760"/>
        </w:tabs>
        <w:ind w:left="5760" w:hanging="360"/>
      </w:pPr>
      <w:rPr>
        <w:rFonts w:ascii="Wingdings 3" w:hAnsi="Wingdings 3" w:hint="default"/>
      </w:rPr>
    </w:lvl>
    <w:lvl w:ilvl="8" w:tplc="1B501AA0"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383048F9"/>
    <w:multiLevelType w:val="hybridMultilevel"/>
    <w:tmpl w:val="5CD6D3B4"/>
    <w:lvl w:ilvl="0" w:tplc="4B4023D0">
      <w:start w:val="1"/>
      <w:numFmt w:val="bullet"/>
      <w:lvlText w:val="•"/>
      <w:lvlJc w:val="left"/>
      <w:pPr>
        <w:ind w:left="720" w:hanging="360"/>
      </w:pPr>
      <w:rPr>
        <w:rFonts w:ascii="TimesNewRomanPSMT" w:eastAsiaTheme="minorHAnsi" w:hAnsi="TimesNewRomanPSMT" w:cs="TimesNewRomanPSMT"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9AC3284"/>
    <w:multiLevelType w:val="hybridMultilevel"/>
    <w:tmpl w:val="654819FA"/>
    <w:lvl w:ilvl="0" w:tplc="BBF40394">
      <w:start w:val="14"/>
      <w:numFmt w:val="bullet"/>
      <w:lvlText w:val="-"/>
      <w:lvlJc w:val="left"/>
      <w:pPr>
        <w:ind w:left="2160" w:hanging="360"/>
      </w:pPr>
      <w:rPr>
        <w:rFonts w:ascii="Calibri" w:eastAsiaTheme="minorHAnsi" w:hAnsi="Calibri" w:cstheme="minorBidi"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3" w15:restartNumberingAfterBreak="0">
    <w:nsid w:val="3B92196C"/>
    <w:multiLevelType w:val="hybridMultilevel"/>
    <w:tmpl w:val="E58CAB44"/>
    <w:lvl w:ilvl="0" w:tplc="C6DEBFDA">
      <w:start w:val="1"/>
      <w:numFmt w:val="bullet"/>
      <w:lvlText w:val=""/>
      <w:lvlJc w:val="left"/>
      <w:pPr>
        <w:tabs>
          <w:tab w:val="num" w:pos="720"/>
        </w:tabs>
        <w:ind w:left="720" w:hanging="360"/>
      </w:pPr>
      <w:rPr>
        <w:rFonts w:ascii="Wingdings 3" w:hAnsi="Wingdings 3" w:hint="default"/>
      </w:rPr>
    </w:lvl>
    <w:lvl w:ilvl="1" w:tplc="95F42384" w:tentative="1">
      <w:start w:val="1"/>
      <w:numFmt w:val="bullet"/>
      <w:lvlText w:val=""/>
      <w:lvlJc w:val="left"/>
      <w:pPr>
        <w:tabs>
          <w:tab w:val="num" w:pos="1440"/>
        </w:tabs>
        <w:ind w:left="1440" w:hanging="360"/>
      </w:pPr>
      <w:rPr>
        <w:rFonts w:ascii="Wingdings 3" w:hAnsi="Wingdings 3" w:hint="default"/>
      </w:rPr>
    </w:lvl>
    <w:lvl w:ilvl="2" w:tplc="D4E60C48" w:tentative="1">
      <w:start w:val="1"/>
      <w:numFmt w:val="bullet"/>
      <w:lvlText w:val=""/>
      <w:lvlJc w:val="left"/>
      <w:pPr>
        <w:tabs>
          <w:tab w:val="num" w:pos="2160"/>
        </w:tabs>
        <w:ind w:left="2160" w:hanging="360"/>
      </w:pPr>
      <w:rPr>
        <w:rFonts w:ascii="Wingdings 3" w:hAnsi="Wingdings 3" w:hint="default"/>
      </w:rPr>
    </w:lvl>
    <w:lvl w:ilvl="3" w:tplc="7C44BD60" w:tentative="1">
      <w:start w:val="1"/>
      <w:numFmt w:val="bullet"/>
      <w:lvlText w:val=""/>
      <w:lvlJc w:val="left"/>
      <w:pPr>
        <w:tabs>
          <w:tab w:val="num" w:pos="2880"/>
        </w:tabs>
        <w:ind w:left="2880" w:hanging="360"/>
      </w:pPr>
      <w:rPr>
        <w:rFonts w:ascii="Wingdings 3" w:hAnsi="Wingdings 3" w:hint="default"/>
      </w:rPr>
    </w:lvl>
    <w:lvl w:ilvl="4" w:tplc="A45CEBB0" w:tentative="1">
      <w:start w:val="1"/>
      <w:numFmt w:val="bullet"/>
      <w:lvlText w:val=""/>
      <w:lvlJc w:val="left"/>
      <w:pPr>
        <w:tabs>
          <w:tab w:val="num" w:pos="3600"/>
        </w:tabs>
        <w:ind w:left="3600" w:hanging="360"/>
      </w:pPr>
      <w:rPr>
        <w:rFonts w:ascii="Wingdings 3" w:hAnsi="Wingdings 3" w:hint="default"/>
      </w:rPr>
    </w:lvl>
    <w:lvl w:ilvl="5" w:tplc="75303518" w:tentative="1">
      <w:start w:val="1"/>
      <w:numFmt w:val="bullet"/>
      <w:lvlText w:val=""/>
      <w:lvlJc w:val="left"/>
      <w:pPr>
        <w:tabs>
          <w:tab w:val="num" w:pos="4320"/>
        </w:tabs>
        <w:ind w:left="4320" w:hanging="360"/>
      </w:pPr>
      <w:rPr>
        <w:rFonts w:ascii="Wingdings 3" w:hAnsi="Wingdings 3" w:hint="default"/>
      </w:rPr>
    </w:lvl>
    <w:lvl w:ilvl="6" w:tplc="40E64C10" w:tentative="1">
      <w:start w:val="1"/>
      <w:numFmt w:val="bullet"/>
      <w:lvlText w:val=""/>
      <w:lvlJc w:val="left"/>
      <w:pPr>
        <w:tabs>
          <w:tab w:val="num" w:pos="5040"/>
        </w:tabs>
        <w:ind w:left="5040" w:hanging="360"/>
      </w:pPr>
      <w:rPr>
        <w:rFonts w:ascii="Wingdings 3" w:hAnsi="Wingdings 3" w:hint="default"/>
      </w:rPr>
    </w:lvl>
    <w:lvl w:ilvl="7" w:tplc="9104D726" w:tentative="1">
      <w:start w:val="1"/>
      <w:numFmt w:val="bullet"/>
      <w:lvlText w:val=""/>
      <w:lvlJc w:val="left"/>
      <w:pPr>
        <w:tabs>
          <w:tab w:val="num" w:pos="5760"/>
        </w:tabs>
        <w:ind w:left="5760" w:hanging="360"/>
      </w:pPr>
      <w:rPr>
        <w:rFonts w:ascii="Wingdings 3" w:hAnsi="Wingdings 3" w:hint="default"/>
      </w:rPr>
    </w:lvl>
    <w:lvl w:ilvl="8" w:tplc="871A863C"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3C7C1027"/>
    <w:multiLevelType w:val="hybridMultilevel"/>
    <w:tmpl w:val="46DE0FB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5AB73E1"/>
    <w:multiLevelType w:val="hybridMultilevel"/>
    <w:tmpl w:val="A9DAAC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7CD409D"/>
    <w:multiLevelType w:val="hybridMultilevel"/>
    <w:tmpl w:val="181AE3EE"/>
    <w:lvl w:ilvl="0" w:tplc="DDEE83EE">
      <w:start w:val="1"/>
      <w:numFmt w:val="bullet"/>
      <w:lvlText w:val=""/>
      <w:lvlJc w:val="left"/>
      <w:pPr>
        <w:tabs>
          <w:tab w:val="num" w:pos="720"/>
        </w:tabs>
        <w:ind w:left="720" w:hanging="360"/>
      </w:pPr>
      <w:rPr>
        <w:rFonts w:ascii="Wingdings 3" w:hAnsi="Wingdings 3" w:hint="default"/>
      </w:rPr>
    </w:lvl>
    <w:lvl w:ilvl="1" w:tplc="B5DC453E" w:tentative="1">
      <w:start w:val="1"/>
      <w:numFmt w:val="bullet"/>
      <w:lvlText w:val=""/>
      <w:lvlJc w:val="left"/>
      <w:pPr>
        <w:tabs>
          <w:tab w:val="num" w:pos="1440"/>
        </w:tabs>
        <w:ind w:left="1440" w:hanging="360"/>
      </w:pPr>
      <w:rPr>
        <w:rFonts w:ascii="Wingdings 3" w:hAnsi="Wingdings 3" w:hint="default"/>
      </w:rPr>
    </w:lvl>
    <w:lvl w:ilvl="2" w:tplc="BEA08DC6" w:tentative="1">
      <w:start w:val="1"/>
      <w:numFmt w:val="bullet"/>
      <w:lvlText w:val=""/>
      <w:lvlJc w:val="left"/>
      <w:pPr>
        <w:tabs>
          <w:tab w:val="num" w:pos="2160"/>
        </w:tabs>
        <w:ind w:left="2160" w:hanging="360"/>
      </w:pPr>
      <w:rPr>
        <w:rFonts w:ascii="Wingdings 3" w:hAnsi="Wingdings 3" w:hint="default"/>
      </w:rPr>
    </w:lvl>
    <w:lvl w:ilvl="3" w:tplc="4DB2F632" w:tentative="1">
      <w:start w:val="1"/>
      <w:numFmt w:val="bullet"/>
      <w:lvlText w:val=""/>
      <w:lvlJc w:val="left"/>
      <w:pPr>
        <w:tabs>
          <w:tab w:val="num" w:pos="2880"/>
        </w:tabs>
        <w:ind w:left="2880" w:hanging="360"/>
      </w:pPr>
      <w:rPr>
        <w:rFonts w:ascii="Wingdings 3" w:hAnsi="Wingdings 3" w:hint="default"/>
      </w:rPr>
    </w:lvl>
    <w:lvl w:ilvl="4" w:tplc="80A00D4A" w:tentative="1">
      <w:start w:val="1"/>
      <w:numFmt w:val="bullet"/>
      <w:lvlText w:val=""/>
      <w:lvlJc w:val="left"/>
      <w:pPr>
        <w:tabs>
          <w:tab w:val="num" w:pos="3600"/>
        </w:tabs>
        <w:ind w:left="3600" w:hanging="360"/>
      </w:pPr>
      <w:rPr>
        <w:rFonts w:ascii="Wingdings 3" w:hAnsi="Wingdings 3" w:hint="default"/>
      </w:rPr>
    </w:lvl>
    <w:lvl w:ilvl="5" w:tplc="2196E230" w:tentative="1">
      <w:start w:val="1"/>
      <w:numFmt w:val="bullet"/>
      <w:lvlText w:val=""/>
      <w:lvlJc w:val="left"/>
      <w:pPr>
        <w:tabs>
          <w:tab w:val="num" w:pos="4320"/>
        </w:tabs>
        <w:ind w:left="4320" w:hanging="360"/>
      </w:pPr>
      <w:rPr>
        <w:rFonts w:ascii="Wingdings 3" w:hAnsi="Wingdings 3" w:hint="default"/>
      </w:rPr>
    </w:lvl>
    <w:lvl w:ilvl="6" w:tplc="107A748A" w:tentative="1">
      <w:start w:val="1"/>
      <w:numFmt w:val="bullet"/>
      <w:lvlText w:val=""/>
      <w:lvlJc w:val="left"/>
      <w:pPr>
        <w:tabs>
          <w:tab w:val="num" w:pos="5040"/>
        </w:tabs>
        <w:ind w:left="5040" w:hanging="360"/>
      </w:pPr>
      <w:rPr>
        <w:rFonts w:ascii="Wingdings 3" w:hAnsi="Wingdings 3" w:hint="default"/>
      </w:rPr>
    </w:lvl>
    <w:lvl w:ilvl="7" w:tplc="5A5E2EE4" w:tentative="1">
      <w:start w:val="1"/>
      <w:numFmt w:val="bullet"/>
      <w:lvlText w:val=""/>
      <w:lvlJc w:val="left"/>
      <w:pPr>
        <w:tabs>
          <w:tab w:val="num" w:pos="5760"/>
        </w:tabs>
        <w:ind w:left="5760" w:hanging="360"/>
      </w:pPr>
      <w:rPr>
        <w:rFonts w:ascii="Wingdings 3" w:hAnsi="Wingdings 3" w:hint="default"/>
      </w:rPr>
    </w:lvl>
    <w:lvl w:ilvl="8" w:tplc="50D6A594"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487745A9"/>
    <w:multiLevelType w:val="hybridMultilevel"/>
    <w:tmpl w:val="A162CFC2"/>
    <w:lvl w:ilvl="0" w:tplc="DA92AD6C">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5203140F"/>
    <w:multiLevelType w:val="hybridMultilevel"/>
    <w:tmpl w:val="5FE42036"/>
    <w:lvl w:ilvl="0" w:tplc="1ABAB36E">
      <w:start w:val="1"/>
      <w:numFmt w:val="bullet"/>
      <w:lvlText w:val=""/>
      <w:lvlJc w:val="left"/>
      <w:pPr>
        <w:tabs>
          <w:tab w:val="num" w:pos="720"/>
        </w:tabs>
        <w:ind w:left="720" w:hanging="360"/>
      </w:pPr>
      <w:rPr>
        <w:rFonts w:ascii="Wingdings 3" w:hAnsi="Wingdings 3" w:hint="default"/>
      </w:rPr>
    </w:lvl>
    <w:lvl w:ilvl="1" w:tplc="2F8A4F4A" w:tentative="1">
      <w:start w:val="1"/>
      <w:numFmt w:val="bullet"/>
      <w:lvlText w:val=""/>
      <w:lvlJc w:val="left"/>
      <w:pPr>
        <w:tabs>
          <w:tab w:val="num" w:pos="1440"/>
        </w:tabs>
        <w:ind w:left="1440" w:hanging="360"/>
      </w:pPr>
      <w:rPr>
        <w:rFonts w:ascii="Wingdings 3" w:hAnsi="Wingdings 3" w:hint="default"/>
      </w:rPr>
    </w:lvl>
    <w:lvl w:ilvl="2" w:tplc="4F9EB384" w:tentative="1">
      <w:start w:val="1"/>
      <w:numFmt w:val="bullet"/>
      <w:lvlText w:val=""/>
      <w:lvlJc w:val="left"/>
      <w:pPr>
        <w:tabs>
          <w:tab w:val="num" w:pos="2160"/>
        </w:tabs>
        <w:ind w:left="2160" w:hanging="360"/>
      </w:pPr>
      <w:rPr>
        <w:rFonts w:ascii="Wingdings 3" w:hAnsi="Wingdings 3" w:hint="default"/>
      </w:rPr>
    </w:lvl>
    <w:lvl w:ilvl="3" w:tplc="3FBA4146" w:tentative="1">
      <w:start w:val="1"/>
      <w:numFmt w:val="bullet"/>
      <w:lvlText w:val=""/>
      <w:lvlJc w:val="left"/>
      <w:pPr>
        <w:tabs>
          <w:tab w:val="num" w:pos="2880"/>
        </w:tabs>
        <w:ind w:left="2880" w:hanging="360"/>
      </w:pPr>
      <w:rPr>
        <w:rFonts w:ascii="Wingdings 3" w:hAnsi="Wingdings 3" w:hint="default"/>
      </w:rPr>
    </w:lvl>
    <w:lvl w:ilvl="4" w:tplc="6DAA981A" w:tentative="1">
      <w:start w:val="1"/>
      <w:numFmt w:val="bullet"/>
      <w:lvlText w:val=""/>
      <w:lvlJc w:val="left"/>
      <w:pPr>
        <w:tabs>
          <w:tab w:val="num" w:pos="3600"/>
        </w:tabs>
        <w:ind w:left="3600" w:hanging="360"/>
      </w:pPr>
      <w:rPr>
        <w:rFonts w:ascii="Wingdings 3" w:hAnsi="Wingdings 3" w:hint="default"/>
      </w:rPr>
    </w:lvl>
    <w:lvl w:ilvl="5" w:tplc="9DDC6A78" w:tentative="1">
      <w:start w:val="1"/>
      <w:numFmt w:val="bullet"/>
      <w:lvlText w:val=""/>
      <w:lvlJc w:val="left"/>
      <w:pPr>
        <w:tabs>
          <w:tab w:val="num" w:pos="4320"/>
        </w:tabs>
        <w:ind w:left="4320" w:hanging="360"/>
      </w:pPr>
      <w:rPr>
        <w:rFonts w:ascii="Wingdings 3" w:hAnsi="Wingdings 3" w:hint="default"/>
      </w:rPr>
    </w:lvl>
    <w:lvl w:ilvl="6" w:tplc="F9BC52C2" w:tentative="1">
      <w:start w:val="1"/>
      <w:numFmt w:val="bullet"/>
      <w:lvlText w:val=""/>
      <w:lvlJc w:val="left"/>
      <w:pPr>
        <w:tabs>
          <w:tab w:val="num" w:pos="5040"/>
        </w:tabs>
        <w:ind w:left="5040" w:hanging="360"/>
      </w:pPr>
      <w:rPr>
        <w:rFonts w:ascii="Wingdings 3" w:hAnsi="Wingdings 3" w:hint="default"/>
      </w:rPr>
    </w:lvl>
    <w:lvl w:ilvl="7" w:tplc="6BEE16CA" w:tentative="1">
      <w:start w:val="1"/>
      <w:numFmt w:val="bullet"/>
      <w:lvlText w:val=""/>
      <w:lvlJc w:val="left"/>
      <w:pPr>
        <w:tabs>
          <w:tab w:val="num" w:pos="5760"/>
        </w:tabs>
        <w:ind w:left="5760" w:hanging="360"/>
      </w:pPr>
      <w:rPr>
        <w:rFonts w:ascii="Wingdings 3" w:hAnsi="Wingdings 3" w:hint="default"/>
      </w:rPr>
    </w:lvl>
    <w:lvl w:ilvl="8" w:tplc="C1C2CF00"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597E0048"/>
    <w:multiLevelType w:val="hybridMultilevel"/>
    <w:tmpl w:val="DF542FE6"/>
    <w:lvl w:ilvl="0" w:tplc="E3BEB328">
      <w:start w:val="1"/>
      <w:numFmt w:val="bullet"/>
      <w:lvlText w:val=""/>
      <w:lvlJc w:val="left"/>
      <w:pPr>
        <w:tabs>
          <w:tab w:val="num" w:pos="720"/>
        </w:tabs>
        <w:ind w:left="720" w:hanging="360"/>
      </w:pPr>
      <w:rPr>
        <w:rFonts w:ascii="Wingdings 3" w:hAnsi="Wingdings 3" w:hint="default"/>
      </w:rPr>
    </w:lvl>
    <w:lvl w:ilvl="1" w:tplc="9B2A03DC" w:tentative="1">
      <w:start w:val="1"/>
      <w:numFmt w:val="bullet"/>
      <w:lvlText w:val=""/>
      <w:lvlJc w:val="left"/>
      <w:pPr>
        <w:tabs>
          <w:tab w:val="num" w:pos="1440"/>
        </w:tabs>
        <w:ind w:left="1440" w:hanging="360"/>
      </w:pPr>
      <w:rPr>
        <w:rFonts w:ascii="Wingdings 3" w:hAnsi="Wingdings 3" w:hint="default"/>
      </w:rPr>
    </w:lvl>
    <w:lvl w:ilvl="2" w:tplc="907A0A36" w:tentative="1">
      <w:start w:val="1"/>
      <w:numFmt w:val="bullet"/>
      <w:lvlText w:val=""/>
      <w:lvlJc w:val="left"/>
      <w:pPr>
        <w:tabs>
          <w:tab w:val="num" w:pos="2160"/>
        </w:tabs>
        <w:ind w:left="2160" w:hanging="360"/>
      </w:pPr>
      <w:rPr>
        <w:rFonts w:ascii="Wingdings 3" w:hAnsi="Wingdings 3" w:hint="default"/>
      </w:rPr>
    </w:lvl>
    <w:lvl w:ilvl="3" w:tplc="0AF6D5E4" w:tentative="1">
      <w:start w:val="1"/>
      <w:numFmt w:val="bullet"/>
      <w:lvlText w:val=""/>
      <w:lvlJc w:val="left"/>
      <w:pPr>
        <w:tabs>
          <w:tab w:val="num" w:pos="2880"/>
        </w:tabs>
        <w:ind w:left="2880" w:hanging="360"/>
      </w:pPr>
      <w:rPr>
        <w:rFonts w:ascii="Wingdings 3" w:hAnsi="Wingdings 3" w:hint="default"/>
      </w:rPr>
    </w:lvl>
    <w:lvl w:ilvl="4" w:tplc="32263508" w:tentative="1">
      <w:start w:val="1"/>
      <w:numFmt w:val="bullet"/>
      <w:lvlText w:val=""/>
      <w:lvlJc w:val="left"/>
      <w:pPr>
        <w:tabs>
          <w:tab w:val="num" w:pos="3600"/>
        </w:tabs>
        <w:ind w:left="3600" w:hanging="360"/>
      </w:pPr>
      <w:rPr>
        <w:rFonts w:ascii="Wingdings 3" w:hAnsi="Wingdings 3" w:hint="default"/>
      </w:rPr>
    </w:lvl>
    <w:lvl w:ilvl="5" w:tplc="D06EC272" w:tentative="1">
      <w:start w:val="1"/>
      <w:numFmt w:val="bullet"/>
      <w:lvlText w:val=""/>
      <w:lvlJc w:val="left"/>
      <w:pPr>
        <w:tabs>
          <w:tab w:val="num" w:pos="4320"/>
        </w:tabs>
        <w:ind w:left="4320" w:hanging="360"/>
      </w:pPr>
      <w:rPr>
        <w:rFonts w:ascii="Wingdings 3" w:hAnsi="Wingdings 3" w:hint="default"/>
      </w:rPr>
    </w:lvl>
    <w:lvl w:ilvl="6" w:tplc="0AEEAA78" w:tentative="1">
      <w:start w:val="1"/>
      <w:numFmt w:val="bullet"/>
      <w:lvlText w:val=""/>
      <w:lvlJc w:val="left"/>
      <w:pPr>
        <w:tabs>
          <w:tab w:val="num" w:pos="5040"/>
        </w:tabs>
        <w:ind w:left="5040" w:hanging="360"/>
      </w:pPr>
      <w:rPr>
        <w:rFonts w:ascii="Wingdings 3" w:hAnsi="Wingdings 3" w:hint="default"/>
      </w:rPr>
    </w:lvl>
    <w:lvl w:ilvl="7" w:tplc="701A12E8" w:tentative="1">
      <w:start w:val="1"/>
      <w:numFmt w:val="bullet"/>
      <w:lvlText w:val=""/>
      <w:lvlJc w:val="left"/>
      <w:pPr>
        <w:tabs>
          <w:tab w:val="num" w:pos="5760"/>
        </w:tabs>
        <w:ind w:left="5760" w:hanging="360"/>
      </w:pPr>
      <w:rPr>
        <w:rFonts w:ascii="Wingdings 3" w:hAnsi="Wingdings 3" w:hint="default"/>
      </w:rPr>
    </w:lvl>
    <w:lvl w:ilvl="8" w:tplc="A1C6A8B4"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5C4170FB"/>
    <w:multiLevelType w:val="hybridMultilevel"/>
    <w:tmpl w:val="4A4830D4"/>
    <w:lvl w:ilvl="0" w:tplc="48D0CE7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0266172"/>
    <w:multiLevelType w:val="hybridMultilevel"/>
    <w:tmpl w:val="50CACAA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061249E"/>
    <w:multiLevelType w:val="hybridMultilevel"/>
    <w:tmpl w:val="19EA7670"/>
    <w:lvl w:ilvl="0" w:tplc="020E1640">
      <w:start w:val="1"/>
      <w:numFmt w:val="bullet"/>
      <w:lvlText w:val=""/>
      <w:lvlJc w:val="left"/>
      <w:pPr>
        <w:tabs>
          <w:tab w:val="num" w:pos="720"/>
        </w:tabs>
        <w:ind w:left="720" w:hanging="360"/>
      </w:pPr>
      <w:rPr>
        <w:rFonts w:ascii="Wingdings 3" w:hAnsi="Wingdings 3" w:hint="default"/>
      </w:rPr>
    </w:lvl>
    <w:lvl w:ilvl="1" w:tplc="13F2A36A" w:tentative="1">
      <w:start w:val="1"/>
      <w:numFmt w:val="bullet"/>
      <w:lvlText w:val=""/>
      <w:lvlJc w:val="left"/>
      <w:pPr>
        <w:tabs>
          <w:tab w:val="num" w:pos="1440"/>
        </w:tabs>
        <w:ind w:left="1440" w:hanging="360"/>
      </w:pPr>
      <w:rPr>
        <w:rFonts w:ascii="Wingdings 3" w:hAnsi="Wingdings 3" w:hint="default"/>
      </w:rPr>
    </w:lvl>
    <w:lvl w:ilvl="2" w:tplc="C9A0A42E" w:tentative="1">
      <w:start w:val="1"/>
      <w:numFmt w:val="bullet"/>
      <w:lvlText w:val=""/>
      <w:lvlJc w:val="left"/>
      <w:pPr>
        <w:tabs>
          <w:tab w:val="num" w:pos="2160"/>
        </w:tabs>
        <w:ind w:left="2160" w:hanging="360"/>
      </w:pPr>
      <w:rPr>
        <w:rFonts w:ascii="Wingdings 3" w:hAnsi="Wingdings 3" w:hint="default"/>
      </w:rPr>
    </w:lvl>
    <w:lvl w:ilvl="3" w:tplc="E53A85BC" w:tentative="1">
      <w:start w:val="1"/>
      <w:numFmt w:val="bullet"/>
      <w:lvlText w:val=""/>
      <w:lvlJc w:val="left"/>
      <w:pPr>
        <w:tabs>
          <w:tab w:val="num" w:pos="2880"/>
        </w:tabs>
        <w:ind w:left="2880" w:hanging="360"/>
      </w:pPr>
      <w:rPr>
        <w:rFonts w:ascii="Wingdings 3" w:hAnsi="Wingdings 3" w:hint="default"/>
      </w:rPr>
    </w:lvl>
    <w:lvl w:ilvl="4" w:tplc="1A42A44A" w:tentative="1">
      <w:start w:val="1"/>
      <w:numFmt w:val="bullet"/>
      <w:lvlText w:val=""/>
      <w:lvlJc w:val="left"/>
      <w:pPr>
        <w:tabs>
          <w:tab w:val="num" w:pos="3600"/>
        </w:tabs>
        <w:ind w:left="3600" w:hanging="360"/>
      </w:pPr>
      <w:rPr>
        <w:rFonts w:ascii="Wingdings 3" w:hAnsi="Wingdings 3" w:hint="default"/>
      </w:rPr>
    </w:lvl>
    <w:lvl w:ilvl="5" w:tplc="366E996A" w:tentative="1">
      <w:start w:val="1"/>
      <w:numFmt w:val="bullet"/>
      <w:lvlText w:val=""/>
      <w:lvlJc w:val="left"/>
      <w:pPr>
        <w:tabs>
          <w:tab w:val="num" w:pos="4320"/>
        </w:tabs>
        <w:ind w:left="4320" w:hanging="360"/>
      </w:pPr>
      <w:rPr>
        <w:rFonts w:ascii="Wingdings 3" w:hAnsi="Wingdings 3" w:hint="default"/>
      </w:rPr>
    </w:lvl>
    <w:lvl w:ilvl="6" w:tplc="FA786E3C" w:tentative="1">
      <w:start w:val="1"/>
      <w:numFmt w:val="bullet"/>
      <w:lvlText w:val=""/>
      <w:lvlJc w:val="left"/>
      <w:pPr>
        <w:tabs>
          <w:tab w:val="num" w:pos="5040"/>
        </w:tabs>
        <w:ind w:left="5040" w:hanging="360"/>
      </w:pPr>
      <w:rPr>
        <w:rFonts w:ascii="Wingdings 3" w:hAnsi="Wingdings 3" w:hint="default"/>
      </w:rPr>
    </w:lvl>
    <w:lvl w:ilvl="7" w:tplc="6CF6B5A0" w:tentative="1">
      <w:start w:val="1"/>
      <w:numFmt w:val="bullet"/>
      <w:lvlText w:val=""/>
      <w:lvlJc w:val="left"/>
      <w:pPr>
        <w:tabs>
          <w:tab w:val="num" w:pos="5760"/>
        </w:tabs>
        <w:ind w:left="5760" w:hanging="360"/>
      </w:pPr>
      <w:rPr>
        <w:rFonts w:ascii="Wingdings 3" w:hAnsi="Wingdings 3" w:hint="default"/>
      </w:rPr>
    </w:lvl>
    <w:lvl w:ilvl="8" w:tplc="340AEFA8" w:tentative="1">
      <w:start w:val="1"/>
      <w:numFmt w:val="bullet"/>
      <w:lvlText w:val=""/>
      <w:lvlJc w:val="left"/>
      <w:pPr>
        <w:tabs>
          <w:tab w:val="num" w:pos="6480"/>
        </w:tabs>
        <w:ind w:left="6480" w:hanging="360"/>
      </w:pPr>
      <w:rPr>
        <w:rFonts w:ascii="Wingdings 3" w:hAnsi="Wingdings 3" w:hint="default"/>
      </w:rPr>
    </w:lvl>
  </w:abstractNum>
  <w:abstractNum w:abstractNumId="23" w15:restartNumberingAfterBreak="0">
    <w:nsid w:val="6F960CB8"/>
    <w:multiLevelType w:val="hybridMultilevel"/>
    <w:tmpl w:val="FE26A48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67072E3"/>
    <w:multiLevelType w:val="hybridMultilevel"/>
    <w:tmpl w:val="8A3A5C54"/>
    <w:lvl w:ilvl="0" w:tplc="70C486F0">
      <w:start w:val="1"/>
      <w:numFmt w:val="bullet"/>
      <w:lvlText w:val=""/>
      <w:lvlJc w:val="left"/>
      <w:pPr>
        <w:tabs>
          <w:tab w:val="num" w:pos="720"/>
        </w:tabs>
        <w:ind w:left="720" w:hanging="360"/>
      </w:pPr>
      <w:rPr>
        <w:rFonts w:ascii="Wingdings 3" w:hAnsi="Wingdings 3" w:hint="default"/>
      </w:rPr>
    </w:lvl>
    <w:lvl w:ilvl="1" w:tplc="2A8A4C16" w:tentative="1">
      <w:start w:val="1"/>
      <w:numFmt w:val="bullet"/>
      <w:lvlText w:val=""/>
      <w:lvlJc w:val="left"/>
      <w:pPr>
        <w:tabs>
          <w:tab w:val="num" w:pos="1440"/>
        </w:tabs>
        <w:ind w:left="1440" w:hanging="360"/>
      </w:pPr>
      <w:rPr>
        <w:rFonts w:ascii="Wingdings 3" w:hAnsi="Wingdings 3" w:hint="default"/>
      </w:rPr>
    </w:lvl>
    <w:lvl w:ilvl="2" w:tplc="4F2EF8DE" w:tentative="1">
      <w:start w:val="1"/>
      <w:numFmt w:val="bullet"/>
      <w:lvlText w:val=""/>
      <w:lvlJc w:val="left"/>
      <w:pPr>
        <w:tabs>
          <w:tab w:val="num" w:pos="2160"/>
        </w:tabs>
        <w:ind w:left="2160" w:hanging="360"/>
      </w:pPr>
      <w:rPr>
        <w:rFonts w:ascii="Wingdings 3" w:hAnsi="Wingdings 3" w:hint="default"/>
      </w:rPr>
    </w:lvl>
    <w:lvl w:ilvl="3" w:tplc="F998EC38" w:tentative="1">
      <w:start w:val="1"/>
      <w:numFmt w:val="bullet"/>
      <w:lvlText w:val=""/>
      <w:lvlJc w:val="left"/>
      <w:pPr>
        <w:tabs>
          <w:tab w:val="num" w:pos="2880"/>
        </w:tabs>
        <w:ind w:left="2880" w:hanging="360"/>
      </w:pPr>
      <w:rPr>
        <w:rFonts w:ascii="Wingdings 3" w:hAnsi="Wingdings 3" w:hint="default"/>
      </w:rPr>
    </w:lvl>
    <w:lvl w:ilvl="4" w:tplc="DC2E4BD6" w:tentative="1">
      <w:start w:val="1"/>
      <w:numFmt w:val="bullet"/>
      <w:lvlText w:val=""/>
      <w:lvlJc w:val="left"/>
      <w:pPr>
        <w:tabs>
          <w:tab w:val="num" w:pos="3600"/>
        </w:tabs>
        <w:ind w:left="3600" w:hanging="360"/>
      </w:pPr>
      <w:rPr>
        <w:rFonts w:ascii="Wingdings 3" w:hAnsi="Wingdings 3" w:hint="default"/>
      </w:rPr>
    </w:lvl>
    <w:lvl w:ilvl="5" w:tplc="D172C002" w:tentative="1">
      <w:start w:val="1"/>
      <w:numFmt w:val="bullet"/>
      <w:lvlText w:val=""/>
      <w:lvlJc w:val="left"/>
      <w:pPr>
        <w:tabs>
          <w:tab w:val="num" w:pos="4320"/>
        </w:tabs>
        <w:ind w:left="4320" w:hanging="360"/>
      </w:pPr>
      <w:rPr>
        <w:rFonts w:ascii="Wingdings 3" w:hAnsi="Wingdings 3" w:hint="default"/>
      </w:rPr>
    </w:lvl>
    <w:lvl w:ilvl="6" w:tplc="B8A06088" w:tentative="1">
      <w:start w:val="1"/>
      <w:numFmt w:val="bullet"/>
      <w:lvlText w:val=""/>
      <w:lvlJc w:val="left"/>
      <w:pPr>
        <w:tabs>
          <w:tab w:val="num" w:pos="5040"/>
        </w:tabs>
        <w:ind w:left="5040" w:hanging="360"/>
      </w:pPr>
      <w:rPr>
        <w:rFonts w:ascii="Wingdings 3" w:hAnsi="Wingdings 3" w:hint="default"/>
      </w:rPr>
    </w:lvl>
    <w:lvl w:ilvl="7" w:tplc="DCB0E4BE" w:tentative="1">
      <w:start w:val="1"/>
      <w:numFmt w:val="bullet"/>
      <w:lvlText w:val=""/>
      <w:lvlJc w:val="left"/>
      <w:pPr>
        <w:tabs>
          <w:tab w:val="num" w:pos="5760"/>
        </w:tabs>
        <w:ind w:left="5760" w:hanging="360"/>
      </w:pPr>
      <w:rPr>
        <w:rFonts w:ascii="Wingdings 3" w:hAnsi="Wingdings 3" w:hint="default"/>
      </w:rPr>
    </w:lvl>
    <w:lvl w:ilvl="8" w:tplc="D1EA9352" w:tentative="1">
      <w:start w:val="1"/>
      <w:numFmt w:val="bullet"/>
      <w:lvlText w:val=""/>
      <w:lvlJc w:val="left"/>
      <w:pPr>
        <w:tabs>
          <w:tab w:val="num" w:pos="6480"/>
        </w:tabs>
        <w:ind w:left="6480" w:hanging="360"/>
      </w:pPr>
      <w:rPr>
        <w:rFonts w:ascii="Wingdings 3" w:hAnsi="Wingdings 3" w:hint="default"/>
      </w:rPr>
    </w:lvl>
  </w:abstractNum>
  <w:abstractNum w:abstractNumId="25" w15:restartNumberingAfterBreak="0">
    <w:nsid w:val="7F3B5DB0"/>
    <w:multiLevelType w:val="hybridMultilevel"/>
    <w:tmpl w:val="EC1442FA"/>
    <w:lvl w:ilvl="0" w:tplc="FB3A6A2A">
      <w:start w:val="1"/>
      <w:numFmt w:val="bullet"/>
      <w:lvlText w:val=""/>
      <w:lvlJc w:val="left"/>
      <w:pPr>
        <w:tabs>
          <w:tab w:val="num" w:pos="720"/>
        </w:tabs>
        <w:ind w:left="720" w:hanging="360"/>
      </w:pPr>
      <w:rPr>
        <w:rFonts w:ascii="Wingdings 3" w:hAnsi="Wingdings 3" w:hint="default"/>
      </w:rPr>
    </w:lvl>
    <w:lvl w:ilvl="1" w:tplc="2A541CE6" w:tentative="1">
      <w:start w:val="1"/>
      <w:numFmt w:val="bullet"/>
      <w:lvlText w:val=""/>
      <w:lvlJc w:val="left"/>
      <w:pPr>
        <w:tabs>
          <w:tab w:val="num" w:pos="1440"/>
        </w:tabs>
        <w:ind w:left="1440" w:hanging="360"/>
      </w:pPr>
      <w:rPr>
        <w:rFonts w:ascii="Wingdings 3" w:hAnsi="Wingdings 3" w:hint="default"/>
      </w:rPr>
    </w:lvl>
    <w:lvl w:ilvl="2" w:tplc="021425C4" w:tentative="1">
      <w:start w:val="1"/>
      <w:numFmt w:val="bullet"/>
      <w:lvlText w:val=""/>
      <w:lvlJc w:val="left"/>
      <w:pPr>
        <w:tabs>
          <w:tab w:val="num" w:pos="2160"/>
        </w:tabs>
        <w:ind w:left="2160" w:hanging="360"/>
      </w:pPr>
      <w:rPr>
        <w:rFonts w:ascii="Wingdings 3" w:hAnsi="Wingdings 3" w:hint="default"/>
      </w:rPr>
    </w:lvl>
    <w:lvl w:ilvl="3" w:tplc="2056F678" w:tentative="1">
      <w:start w:val="1"/>
      <w:numFmt w:val="bullet"/>
      <w:lvlText w:val=""/>
      <w:lvlJc w:val="left"/>
      <w:pPr>
        <w:tabs>
          <w:tab w:val="num" w:pos="2880"/>
        </w:tabs>
        <w:ind w:left="2880" w:hanging="360"/>
      </w:pPr>
      <w:rPr>
        <w:rFonts w:ascii="Wingdings 3" w:hAnsi="Wingdings 3" w:hint="default"/>
      </w:rPr>
    </w:lvl>
    <w:lvl w:ilvl="4" w:tplc="F0D6D230" w:tentative="1">
      <w:start w:val="1"/>
      <w:numFmt w:val="bullet"/>
      <w:lvlText w:val=""/>
      <w:lvlJc w:val="left"/>
      <w:pPr>
        <w:tabs>
          <w:tab w:val="num" w:pos="3600"/>
        </w:tabs>
        <w:ind w:left="3600" w:hanging="360"/>
      </w:pPr>
      <w:rPr>
        <w:rFonts w:ascii="Wingdings 3" w:hAnsi="Wingdings 3" w:hint="default"/>
      </w:rPr>
    </w:lvl>
    <w:lvl w:ilvl="5" w:tplc="1A767148" w:tentative="1">
      <w:start w:val="1"/>
      <w:numFmt w:val="bullet"/>
      <w:lvlText w:val=""/>
      <w:lvlJc w:val="left"/>
      <w:pPr>
        <w:tabs>
          <w:tab w:val="num" w:pos="4320"/>
        </w:tabs>
        <w:ind w:left="4320" w:hanging="360"/>
      </w:pPr>
      <w:rPr>
        <w:rFonts w:ascii="Wingdings 3" w:hAnsi="Wingdings 3" w:hint="default"/>
      </w:rPr>
    </w:lvl>
    <w:lvl w:ilvl="6" w:tplc="5298EFA8" w:tentative="1">
      <w:start w:val="1"/>
      <w:numFmt w:val="bullet"/>
      <w:lvlText w:val=""/>
      <w:lvlJc w:val="left"/>
      <w:pPr>
        <w:tabs>
          <w:tab w:val="num" w:pos="5040"/>
        </w:tabs>
        <w:ind w:left="5040" w:hanging="360"/>
      </w:pPr>
      <w:rPr>
        <w:rFonts w:ascii="Wingdings 3" w:hAnsi="Wingdings 3" w:hint="default"/>
      </w:rPr>
    </w:lvl>
    <w:lvl w:ilvl="7" w:tplc="95CA1142" w:tentative="1">
      <w:start w:val="1"/>
      <w:numFmt w:val="bullet"/>
      <w:lvlText w:val=""/>
      <w:lvlJc w:val="left"/>
      <w:pPr>
        <w:tabs>
          <w:tab w:val="num" w:pos="5760"/>
        </w:tabs>
        <w:ind w:left="5760" w:hanging="360"/>
      </w:pPr>
      <w:rPr>
        <w:rFonts w:ascii="Wingdings 3" w:hAnsi="Wingdings 3" w:hint="default"/>
      </w:rPr>
    </w:lvl>
    <w:lvl w:ilvl="8" w:tplc="65BC378C" w:tentative="1">
      <w:start w:val="1"/>
      <w:numFmt w:val="bullet"/>
      <w:lvlText w:val=""/>
      <w:lvlJc w:val="left"/>
      <w:pPr>
        <w:tabs>
          <w:tab w:val="num" w:pos="6480"/>
        </w:tabs>
        <w:ind w:left="6480" w:hanging="360"/>
      </w:pPr>
      <w:rPr>
        <w:rFonts w:ascii="Wingdings 3" w:hAnsi="Wingdings 3"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1"/>
  </w:num>
  <w:num w:numId="5">
    <w:abstractNumId w:val="21"/>
  </w:num>
  <w:num w:numId="6">
    <w:abstractNumId w:val="4"/>
  </w:num>
  <w:num w:numId="7">
    <w:abstractNumId w:val="23"/>
  </w:num>
  <w:num w:numId="8">
    <w:abstractNumId w:val="3"/>
  </w:num>
  <w:num w:numId="9">
    <w:abstractNumId w:val="11"/>
  </w:num>
  <w:num w:numId="10">
    <w:abstractNumId w:val="8"/>
  </w:num>
  <w:num w:numId="11">
    <w:abstractNumId w:val="25"/>
  </w:num>
  <w:num w:numId="12">
    <w:abstractNumId w:val="16"/>
  </w:num>
  <w:num w:numId="13">
    <w:abstractNumId w:val="7"/>
  </w:num>
  <w:num w:numId="14">
    <w:abstractNumId w:val="18"/>
  </w:num>
  <w:num w:numId="15">
    <w:abstractNumId w:val="10"/>
  </w:num>
  <w:num w:numId="16">
    <w:abstractNumId w:val="9"/>
  </w:num>
  <w:num w:numId="17">
    <w:abstractNumId w:val="22"/>
  </w:num>
  <w:num w:numId="18">
    <w:abstractNumId w:val="19"/>
  </w:num>
  <w:num w:numId="19">
    <w:abstractNumId w:val="5"/>
  </w:num>
  <w:num w:numId="20">
    <w:abstractNumId w:val="12"/>
  </w:num>
  <w:num w:numId="21">
    <w:abstractNumId w:val="24"/>
  </w:num>
  <w:num w:numId="22">
    <w:abstractNumId w:val="13"/>
  </w:num>
  <w:num w:numId="23">
    <w:abstractNumId w:val="0"/>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631"/>
    <w:rsid w:val="00053011"/>
    <w:rsid w:val="000B79C1"/>
    <w:rsid w:val="000D35A3"/>
    <w:rsid w:val="000F1BA2"/>
    <w:rsid w:val="001B12D9"/>
    <w:rsid w:val="00200157"/>
    <w:rsid w:val="002B084E"/>
    <w:rsid w:val="003947B7"/>
    <w:rsid w:val="003D1FF5"/>
    <w:rsid w:val="00444BA4"/>
    <w:rsid w:val="0049173C"/>
    <w:rsid w:val="004C123A"/>
    <w:rsid w:val="00585708"/>
    <w:rsid w:val="00634631"/>
    <w:rsid w:val="0065707E"/>
    <w:rsid w:val="008E2853"/>
    <w:rsid w:val="00920CCF"/>
    <w:rsid w:val="00A27505"/>
    <w:rsid w:val="00A940E5"/>
    <w:rsid w:val="00AA31CF"/>
    <w:rsid w:val="00AB58F1"/>
    <w:rsid w:val="00B10095"/>
    <w:rsid w:val="00B23646"/>
    <w:rsid w:val="00B316F8"/>
    <w:rsid w:val="00B323C3"/>
    <w:rsid w:val="00B642C5"/>
    <w:rsid w:val="00B82D6F"/>
    <w:rsid w:val="00B86553"/>
    <w:rsid w:val="00BC58FC"/>
    <w:rsid w:val="00C81CD5"/>
    <w:rsid w:val="00C8386D"/>
    <w:rsid w:val="00CD4F4D"/>
    <w:rsid w:val="00D61498"/>
    <w:rsid w:val="00E2280B"/>
    <w:rsid w:val="00E372BD"/>
    <w:rsid w:val="00E532AB"/>
    <w:rsid w:val="00E92A5B"/>
    <w:rsid w:val="00EA524A"/>
    <w:rsid w:val="00F40902"/>
    <w:rsid w:val="00F429BC"/>
    <w:rsid w:val="00FC62D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AF020"/>
  <w15:chartTrackingRefBased/>
  <w15:docId w15:val="{946C9A16-A808-41A5-B9E2-1E853812E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631"/>
    <w:pPr>
      <w:ind w:left="720"/>
      <w:contextualSpacing/>
    </w:pPr>
  </w:style>
  <w:style w:type="paragraph" w:styleId="Header">
    <w:name w:val="header"/>
    <w:basedOn w:val="Normal"/>
    <w:link w:val="HeaderChar"/>
    <w:uiPriority w:val="99"/>
    <w:unhideWhenUsed/>
    <w:rsid w:val="00A940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0E5"/>
  </w:style>
  <w:style w:type="paragraph" w:styleId="Footer">
    <w:name w:val="footer"/>
    <w:basedOn w:val="Normal"/>
    <w:link w:val="FooterChar"/>
    <w:uiPriority w:val="99"/>
    <w:unhideWhenUsed/>
    <w:rsid w:val="00A940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2132">
      <w:bodyDiv w:val="1"/>
      <w:marLeft w:val="0"/>
      <w:marRight w:val="0"/>
      <w:marTop w:val="0"/>
      <w:marBottom w:val="0"/>
      <w:divBdr>
        <w:top w:val="none" w:sz="0" w:space="0" w:color="auto"/>
        <w:left w:val="none" w:sz="0" w:space="0" w:color="auto"/>
        <w:bottom w:val="none" w:sz="0" w:space="0" w:color="auto"/>
        <w:right w:val="none" w:sz="0" w:space="0" w:color="auto"/>
      </w:divBdr>
    </w:div>
    <w:div w:id="78871865">
      <w:bodyDiv w:val="1"/>
      <w:marLeft w:val="0"/>
      <w:marRight w:val="0"/>
      <w:marTop w:val="0"/>
      <w:marBottom w:val="0"/>
      <w:divBdr>
        <w:top w:val="none" w:sz="0" w:space="0" w:color="auto"/>
        <w:left w:val="none" w:sz="0" w:space="0" w:color="auto"/>
        <w:bottom w:val="none" w:sz="0" w:space="0" w:color="auto"/>
        <w:right w:val="none" w:sz="0" w:space="0" w:color="auto"/>
      </w:divBdr>
    </w:div>
    <w:div w:id="119617895">
      <w:bodyDiv w:val="1"/>
      <w:marLeft w:val="0"/>
      <w:marRight w:val="0"/>
      <w:marTop w:val="0"/>
      <w:marBottom w:val="0"/>
      <w:divBdr>
        <w:top w:val="none" w:sz="0" w:space="0" w:color="auto"/>
        <w:left w:val="none" w:sz="0" w:space="0" w:color="auto"/>
        <w:bottom w:val="none" w:sz="0" w:space="0" w:color="auto"/>
        <w:right w:val="none" w:sz="0" w:space="0" w:color="auto"/>
      </w:divBdr>
    </w:div>
    <w:div w:id="156116927">
      <w:bodyDiv w:val="1"/>
      <w:marLeft w:val="0"/>
      <w:marRight w:val="0"/>
      <w:marTop w:val="0"/>
      <w:marBottom w:val="0"/>
      <w:divBdr>
        <w:top w:val="none" w:sz="0" w:space="0" w:color="auto"/>
        <w:left w:val="none" w:sz="0" w:space="0" w:color="auto"/>
        <w:bottom w:val="none" w:sz="0" w:space="0" w:color="auto"/>
        <w:right w:val="none" w:sz="0" w:space="0" w:color="auto"/>
      </w:divBdr>
    </w:div>
    <w:div w:id="210920572">
      <w:bodyDiv w:val="1"/>
      <w:marLeft w:val="0"/>
      <w:marRight w:val="0"/>
      <w:marTop w:val="0"/>
      <w:marBottom w:val="0"/>
      <w:divBdr>
        <w:top w:val="none" w:sz="0" w:space="0" w:color="auto"/>
        <w:left w:val="none" w:sz="0" w:space="0" w:color="auto"/>
        <w:bottom w:val="none" w:sz="0" w:space="0" w:color="auto"/>
        <w:right w:val="none" w:sz="0" w:space="0" w:color="auto"/>
      </w:divBdr>
    </w:div>
    <w:div w:id="230239538">
      <w:bodyDiv w:val="1"/>
      <w:marLeft w:val="0"/>
      <w:marRight w:val="0"/>
      <w:marTop w:val="0"/>
      <w:marBottom w:val="0"/>
      <w:divBdr>
        <w:top w:val="none" w:sz="0" w:space="0" w:color="auto"/>
        <w:left w:val="none" w:sz="0" w:space="0" w:color="auto"/>
        <w:bottom w:val="none" w:sz="0" w:space="0" w:color="auto"/>
        <w:right w:val="none" w:sz="0" w:space="0" w:color="auto"/>
      </w:divBdr>
    </w:div>
    <w:div w:id="299959886">
      <w:bodyDiv w:val="1"/>
      <w:marLeft w:val="0"/>
      <w:marRight w:val="0"/>
      <w:marTop w:val="0"/>
      <w:marBottom w:val="0"/>
      <w:divBdr>
        <w:top w:val="none" w:sz="0" w:space="0" w:color="auto"/>
        <w:left w:val="none" w:sz="0" w:space="0" w:color="auto"/>
        <w:bottom w:val="none" w:sz="0" w:space="0" w:color="auto"/>
        <w:right w:val="none" w:sz="0" w:space="0" w:color="auto"/>
      </w:divBdr>
      <w:divsChild>
        <w:div w:id="949551478">
          <w:marLeft w:val="547"/>
          <w:marRight w:val="0"/>
          <w:marTop w:val="200"/>
          <w:marBottom w:val="0"/>
          <w:divBdr>
            <w:top w:val="none" w:sz="0" w:space="0" w:color="auto"/>
            <w:left w:val="none" w:sz="0" w:space="0" w:color="auto"/>
            <w:bottom w:val="none" w:sz="0" w:space="0" w:color="auto"/>
            <w:right w:val="none" w:sz="0" w:space="0" w:color="auto"/>
          </w:divBdr>
        </w:div>
      </w:divsChild>
    </w:div>
    <w:div w:id="315184602">
      <w:bodyDiv w:val="1"/>
      <w:marLeft w:val="0"/>
      <w:marRight w:val="0"/>
      <w:marTop w:val="0"/>
      <w:marBottom w:val="0"/>
      <w:divBdr>
        <w:top w:val="none" w:sz="0" w:space="0" w:color="auto"/>
        <w:left w:val="none" w:sz="0" w:space="0" w:color="auto"/>
        <w:bottom w:val="none" w:sz="0" w:space="0" w:color="auto"/>
        <w:right w:val="none" w:sz="0" w:space="0" w:color="auto"/>
      </w:divBdr>
      <w:divsChild>
        <w:div w:id="1625041160">
          <w:marLeft w:val="547"/>
          <w:marRight w:val="0"/>
          <w:marTop w:val="200"/>
          <w:marBottom w:val="0"/>
          <w:divBdr>
            <w:top w:val="none" w:sz="0" w:space="0" w:color="auto"/>
            <w:left w:val="none" w:sz="0" w:space="0" w:color="auto"/>
            <w:bottom w:val="none" w:sz="0" w:space="0" w:color="auto"/>
            <w:right w:val="none" w:sz="0" w:space="0" w:color="auto"/>
          </w:divBdr>
        </w:div>
        <w:div w:id="1245259718">
          <w:marLeft w:val="547"/>
          <w:marRight w:val="0"/>
          <w:marTop w:val="200"/>
          <w:marBottom w:val="0"/>
          <w:divBdr>
            <w:top w:val="none" w:sz="0" w:space="0" w:color="auto"/>
            <w:left w:val="none" w:sz="0" w:space="0" w:color="auto"/>
            <w:bottom w:val="none" w:sz="0" w:space="0" w:color="auto"/>
            <w:right w:val="none" w:sz="0" w:space="0" w:color="auto"/>
          </w:divBdr>
        </w:div>
        <w:div w:id="1053389746">
          <w:marLeft w:val="547"/>
          <w:marRight w:val="0"/>
          <w:marTop w:val="200"/>
          <w:marBottom w:val="0"/>
          <w:divBdr>
            <w:top w:val="none" w:sz="0" w:space="0" w:color="auto"/>
            <w:left w:val="none" w:sz="0" w:space="0" w:color="auto"/>
            <w:bottom w:val="none" w:sz="0" w:space="0" w:color="auto"/>
            <w:right w:val="none" w:sz="0" w:space="0" w:color="auto"/>
          </w:divBdr>
        </w:div>
        <w:div w:id="1998605972">
          <w:marLeft w:val="547"/>
          <w:marRight w:val="0"/>
          <w:marTop w:val="200"/>
          <w:marBottom w:val="0"/>
          <w:divBdr>
            <w:top w:val="none" w:sz="0" w:space="0" w:color="auto"/>
            <w:left w:val="none" w:sz="0" w:space="0" w:color="auto"/>
            <w:bottom w:val="none" w:sz="0" w:space="0" w:color="auto"/>
            <w:right w:val="none" w:sz="0" w:space="0" w:color="auto"/>
          </w:divBdr>
        </w:div>
      </w:divsChild>
    </w:div>
    <w:div w:id="483937836">
      <w:bodyDiv w:val="1"/>
      <w:marLeft w:val="0"/>
      <w:marRight w:val="0"/>
      <w:marTop w:val="0"/>
      <w:marBottom w:val="0"/>
      <w:divBdr>
        <w:top w:val="none" w:sz="0" w:space="0" w:color="auto"/>
        <w:left w:val="none" w:sz="0" w:space="0" w:color="auto"/>
        <w:bottom w:val="none" w:sz="0" w:space="0" w:color="auto"/>
        <w:right w:val="none" w:sz="0" w:space="0" w:color="auto"/>
      </w:divBdr>
      <w:divsChild>
        <w:div w:id="1036471706">
          <w:marLeft w:val="547"/>
          <w:marRight w:val="0"/>
          <w:marTop w:val="200"/>
          <w:marBottom w:val="0"/>
          <w:divBdr>
            <w:top w:val="none" w:sz="0" w:space="0" w:color="auto"/>
            <w:left w:val="none" w:sz="0" w:space="0" w:color="auto"/>
            <w:bottom w:val="none" w:sz="0" w:space="0" w:color="auto"/>
            <w:right w:val="none" w:sz="0" w:space="0" w:color="auto"/>
          </w:divBdr>
        </w:div>
      </w:divsChild>
    </w:div>
    <w:div w:id="486438655">
      <w:bodyDiv w:val="1"/>
      <w:marLeft w:val="0"/>
      <w:marRight w:val="0"/>
      <w:marTop w:val="0"/>
      <w:marBottom w:val="0"/>
      <w:divBdr>
        <w:top w:val="none" w:sz="0" w:space="0" w:color="auto"/>
        <w:left w:val="none" w:sz="0" w:space="0" w:color="auto"/>
        <w:bottom w:val="none" w:sz="0" w:space="0" w:color="auto"/>
        <w:right w:val="none" w:sz="0" w:space="0" w:color="auto"/>
      </w:divBdr>
    </w:div>
    <w:div w:id="550650147">
      <w:bodyDiv w:val="1"/>
      <w:marLeft w:val="0"/>
      <w:marRight w:val="0"/>
      <w:marTop w:val="0"/>
      <w:marBottom w:val="0"/>
      <w:divBdr>
        <w:top w:val="none" w:sz="0" w:space="0" w:color="auto"/>
        <w:left w:val="none" w:sz="0" w:space="0" w:color="auto"/>
        <w:bottom w:val="none" w:sz="0" w:space="0" w:color="auto"/>
        <w:right w:val="none" w:sz="0" w:space="0" w:color="auto"/>
      </w:divBdr>
    </w:div>
    <w:div w:id="597105623">
      <w:bodyDiv w:val="1"/>
      <w:marLeft w:val="0"/>
      <w:marRight w:val="0"/>
      <w:marTop w:val="0"/>
      <w:marBottom w:val="0"/>
      <w:divBdr>
        <w:top w:val="none" w:sz="0" w:space="0" w:color="auto"/>
        <w:left w:val="none" w:sz="0" w:space="0" w:color="auto"/>
        <w:bottom w:val="none" w:sz="0" w:space="0" w:color="auto"/>
        <w:right w:val="none" w:sz="0" w:space="0" w:color="auto"/>
      </w:divBdr>
      <w:divsChild>
        <w:div w:id="487283208">
          <w:marLeft w:val="547"/>
          <w:marRight w:val="0"/>
          <w:marTop w:val="200"/>
          <w:marBottom w:val="0"/>
          <w:divBdr>
            <w:top w:val="none" w:sz="0" w:space="0" w:color="auto"/>
            <w:left w:val="none" w:sz="0" w:space="0" w:color="auto"/>
            <w:bottom w:val="none" w:sz="0" w:space="0" w:color="auto"/>
            <w:right w:val="none" w:sz="0" w:space="0" w:color="auto"/>
          </w:divBdr>
        </w:div>
        <w:div w:id="30422197">
          <w:marLeft w:val="547"/>
          <w:marRight w:val="0"/>
          <w:marTop w:val="200"/>
          <w:marBottom w:val="0"/>
          <w:divBdr>
            <w:top w:val="none" w:sz="0" w:space="0" w:color="auto"/>
            <w:left w:val="none" w:sz="0" w:space="0" w:color="auto"/>
            <w:bottom w:val="none" w:sz="0" w:space="0" w:color="auto"/>
            <w:right w:val="none" w:sz="0" w:space="0" w:color="auto"/>
          </w:divBdr>
        </w:div>
      </w:divsChild>
    </w:div>
    <w:div w:id="612830222">
      <w:bodyDiv w:val="1"/>
      <w:marLeft w:val="0"/>
      <w:marRight w:val="0"/>
      <w:marTop w:val="0"/>
      <w:marBottom w:val="0"/>
      <w:divBdr>
        <w:top w:val="none" w:sz="0" w:space="0" w:color="auto"/>
        <w:left w:val="none" w:sz="0" w:space="0" w:color="auto"/>
        <w:bottom w:val="none" w:sz="0" w:space="0" w:color="auto"/>
        <w:right w:val="none" w:sz="0" w:space="0" w:color="auto"/>
      </w:divBdr>
      <w:divsChild>
        <w:div w:id="644430677">
          <w:marLeft w:val="0"/>
          <w:marRight w:val="0"/>
          <w:marTop w:val="0"/>
          <w:marBottom w:val="0"/>
          <w:divBdr>
            <w:top w:val="none" w:sz="0" w:space="0" w:color="auto"/>
            <w:left w:val="none" w:sz="0" w:space="0" w:color="auto"/>
            <w:bottom w:val="none" w:sz="0" w:space="0" w:color="auto"/>
            <w:right w:val="none" w:sz="0" w:space="0" w:color="auto"/>
          </w:divBdr>
        </w:div>
        <w:div w:id="1447000137">
          <w:marLeft w:val="0"/>
          <w:marRight w:val="0"/>
          <w:marTop w:val="0"/>
          <w:marBottom w:val="0"/>
          <w:divBdr>
            <w:top w:val="none" w:sz="0" w:space="0" w:color="auto"/>
            <w:left w:val="none" w:sz="0" w:space="0" w:color="auto"/>
            <w:bottom w:val="none" w:sz="0" w:space="0" w:color="auto"/>
            <w:right w:val="none" w:sz="0" w:space="0" w:color="auto"/>
          </w:divBdr>
        </w:div>
      </w:divsChild>
    </w:div>
    <w:div w:id="617685073">
      <w:bodyDiv w:val="1"/>
      <w:marLeft w:val="0"/>
      <w:marRight w:val="0"/>
      <w:marTop w:val="0"/>
      <w:marBottom w:val="0"/>
      <w:divBdr>
        <w:top w:val="none" w:sz="0" w:space="0" w:color="auto"/>
        <w:left w:val="none" w:sz="0" w:space="0" w:color="auto"/>
        <w:bottom w:val="none" w:sz="0" w:space="0" w:color="auto"/>
        <w:right w:val="none" w:sz="0" w:space="0" w:color="auto"/>
      </w:divBdr>
      <w:divsChild>
        <w:div w:id="992874007">
          <w:marLeft w:val="547"/>
          <w:marRight w:val="0"/>
          <w:marTop w:val="200"/>
          <w:marBottom w:val="0"/>
          <w:divBdr>
            <w:top w:val="none" w:sz="0" w:space="0" w:color="auto"/>
            <w:left w:val="none" w:sz="0" w:space="0" w:color="auto"/>
            <w:bottom w:val="none" w:sz="0" w:space="0" w:color="auto"/>
            <w:right w:val="none" w:sz="0" w:space="0" w:color="auto"/>
          </w:divBdr>
        </w:div>
      </w:divsChild>
    </w:div>
    <w:div w:id="644160458">
      <w:bodyDiv w:val="1"/>
      <w:marLeft w:val="0"/>
      <w:marRight w:val="0"/>
      <w:marTop w:val="0"/>
      <w:marBottom w:val="0"/>
      <w:divBdr>
        <w:top w:val="none" w:sz="0" w:space="0" w:color="auto"/>
        <w:left w:val="none" w:sz="0" w:space="0" w:color="auto"/>
        <w:bottom w:val="none" w:sz="0" w:space="0" w:color="auto"/>
        <w:right w:val="none" w:sz="0" w:space="0" w:color="auto"/>
      </w:divBdr>
      <w:divsChild>
        <w:div w:id="152064643">
          <w:marLeft w:val="547"/>
          <w:marRight w:val="0"/>
          <w:marTop w:val="200"/>
          <w:marBottom w:val="0"/>
          <w:divBdr>
            <w:top w:val="none" w:sz="0" w:space="0" w:color="auto"/>
            <w:left w:val="none" w:sz="0" w:space="0" w:color="auto"/>
            <w:bottom w:val="none" w:sz="0" w:space="0" w:color="auto"/>
            <w:right w:val="none" w:sz="0" w:space="0" w:color="auto"/>
          </w:divBdr>
        </w:div>
        <w:div w:id="977683717">
          <w:marLeft w:val="547"/>
          <w:marRight w:val="0"/>
          <w:marTop w:val="200"/>
          <w:marBottom w:val="0"/>
          <w:divBdr>
            <w:top w:val="none" w:sz="0" w:space="0" w:color="auto"/>
            <w:left w:val="none" w:sz="0" w:space="0" w:color="auto"/>
            <w:bottom w:val="none" w:sz="0" w:space="0" w:color="auto"/>
            <w:right w:val="none" w:sz="0" w:space="0" w:color="auto"/>
          </w:divBdr>
        </w:div>
        <w:div w:id="580331467">
          <w:marLeft w:val="547"/>
          <w:marRight w:val="0"/>
          <w:marTop w:val="200"/>
          <w:marBottom w:val="0"/>
          <w:divBdr>
            <w:top w:val="none" w:sz="0" w:space="0" w:color="auto"/>
            <w:left w:val="none" w:sz="0" w:space="0" w:color="auto"/>
            <w:bottom w:val="none" w:sz="0" w:space="0" w:color="auto"/>
            <w:right w:val="none" w:sz="0" w:space="0" w:color="auto"/>
          </w:divBdr>
        </w:div>
      </w:divsChild>
    </w:div>
    <w:div w:id="686097084">
      <w:bodyDiv w:val="1"/>
      <w:marLeft w:val="0"/>
      <w:marRight w:val="0"/>
      <w:marTop w:val="0"/>
      <w:marBottom w:val="0"/>
      <w:divBdr>
        <w:top w:val="none" w:sz="0" w:space="0" w:color="auto"/>
        <w:left w:val="none" w:sz="0" w:space="0" w:color="auto"/>
        <w:bottom w:val="none" w:sz="0" w:space="0" w:color="auto"/>
        <w:right w:val="none" w:sz="0" w:space="0" w:color="auto"/>
      </w:divBdr>
    </w:div>
    <w:div w:id="732430821">
      <w:bodyDiv w:val="1"/>
      <w:marLeft w:val="0"/>
      <w:marRight w:val="0"/>
      <w:marTop w:val="0"/>
      <w:marBottom w:val="0"/>
      <w:divBdr>
        <w:top w:val="none" w:sz="0" w:space="0" w:color="auto"/>
        <w:left w:val="none" w:sz="0" w:space="0" w:color="auto"/>
        <w:bottom w:val="none" w:sz="0" w:space="0" w:color="auto"/>
        <w:right w:val="none" w:sz="0" w:space="0" w:color="auto"/>
      </w:divBdr>
    </w:div>
    <w:div w:id="878779396">
      <w:bodyDiv w:val="1"/>
      <w:marLeft w:val="0"/>
      <w:marRight w:val="0"/>
      <w:marTop w:val="0"/>
      <w:marBottom w:val="0"/>
      <w:divBdr>
        <w:top w:val="none" w:sz="0" w:space="0" w:color="auto"/>
        <w:left w:val="none" w:sz="0" w:space="0" w:color="auto"/>
        <w:bottom w:val="none" w:sz="0" w:space="0" w:color="auto"/>
        <w:right w:val="none" w:sz="0" w:space="0" w:color="auto"/>
      </w:divBdr>
      <w:divsChild>
        <w:div w:id="1091005298">
          <w:marLeft w:val="547"/>
          <w:marRight w:val="0"/>
          <w:marTop w:val="200"/>
          <w:marBottom w:val="0"/>
          <w:divBdr>
            <w:top w:val="none" w:sz="0" w:space="0" w:color="auto"/>
            <w:left w:val="none" w:sz="0" w:space="0" w:color="auto"/>
            <w:bottom w:val="none" w:sz="0" w:space="0" w:color="auto"/>
            <w:right w:val="none" w:sz="0" w:space="0" w:color="auto"/>
          </w:divBdr>
        </w:div>
        <w:div w:id="1117214052">
          <w:marLeft w:val="547"/>
          <w:marRight w:val="0"/>
          <w:marTop w:val="200"/>
          <w:marBottom w:val="0"/>
          <w:divBdr>
            <w:top w:val="none" w:sz="0" w:space="0" w:color="auto"/>
            <w:left w:val="none" w:sz="0" w:space="0" w:color="auto"/>
            <w:bottom w:val="none" w:sz="0" w:space="0" w:color="auto"/>
            <w:right w:val="none" w:sz="0" w:space="0" w:color="auto"/>
          </w:divBdr>
        </w:div>
        <w:div w:id="233898686">
          <w:marLeft w:val="547"/>
          <w:marRight w:val="0"/>
          <w:marTop w:val="200"/>
          <w:marBottom w:val="0"/>
          <w:divBdr>
            <w:top w:val="none" w:sz="0" w:space="0" w:color="auto"/>
            <w:left w:val="none" w:sz="0" w:space="0" w:color="auto"/>
            <w:bottom w:val="none" w:sz="0" w:space="0" w:color="auto"/>
            <w:right w:val="none" w:sz="0" w:space="0" w:color="auto"/>
          </w:divBdr>
        </w:div>
        <w:div w:id="619267882">
          <w:marLeft w:val="547"/>
          <w:marRight w:val="0"/>
          <w:marTop w:val="200"/>
          <w:marBottom w:val="0"/>
          <w:divBdr>
            <w:top w:val="none" w:sz="0" w:space="0" w:color="auto"/>
            <w:left w:val="none" w:sz="0" w:space="0" w:color="auto"/>
            <w:bottom w:val="none" w:sz="0" w:space="0" w:color="auto"/>
            <w:right w:val="none" w:sz="0" w:space="0" w:color="auto"/>
          </w:divBdr>
        </w:div>
      </w:divsChild>
    </w:div>
    <w:div w:id="1033968281">
      <w:bodyDiv w:val="1"/>
      <w:marLeft w:val="0"/>
      <w:marRight w:val="0"/>
      <w:marTop w:val="0"/>
      <w:marBottom w:val="0"/>
      <w:divBdr>
        <w:top w:val="none" w:sz="0" w:space="0" w:color="auto"/>
        <w:left w:val="none" w:sz="0" w:space="0" w:color="auto"/>
        <w:bottom w:val="none" w:sz="0" w:space="0" w:color="auto"/>
        <w:right w:val="none" w:sz="0" w:space="0" w:color="auto"/>
      </w:divBdr>
      <w:divsChild>
        <w:div w:id="1126200167">
          <w:marLeft w:val="547"/>
          <w:marRight w:val="0"/>
          <w:marTop w:val="200"/>
          <w:marBottom w:val="0"/>
          <w:divBdr>
            <w:top w:val="none" w:sz="0" w:space="0" w:color="auto"/>
            <w:left w:val="none" w:sz="0" w:space="0" w:color="auto"/>
            <w:bottom w:val="none" w:sz="0" w:space="0" w:color="auto"/>
            <w:right w:val="none" w:sz="0" w:space="0" w:color="auto"/>
          </w:divBdr>
        </w:div>
        <w:div w:id="447284499">
          <w:marLeft w:val="547"/>
          <w:marRight w:val="0"/>
          <w:marTop w:val="200"/>
          <w:marBottom w:val="0"/>
          <w:divBdr>
            <w:top w:val="none" w:sz="0" w:space="0" w:color="auto"/>
            <w:left w:val="none" w:sz="0" w:space="0" w:color="auto"/>
            <w:bottom w:val="none" w:sz="0" w:space="0" w:color="auto"/>
            <w:right w:val="none" w:sz="0" w:space="0" w:color="auto"/>
          </w:divBdr>
        </w:div>
      </w:divsChild>
    </w:div>
    <w:div w:id="1212156395">
      <w:bodyDiv w:val="1"/>
      <w:marLeft w:val="0"/>
      <w:marRight w:val="0"/>
      <w:marTop w:val="0"/>
      <w:marBottom w:val="0"/>
      <w:divBdr>
        <w:top w:val="none" w:sz="0" w:space="0" w:color="auto"/>
        <w:left w:val="none" w:sz="0" w:space="0" w:color="auto"/>
        <w:bottom w:val="none" w:sz="0" w:space="0" w:color="auto"/>
        <w:right w:val="none" w:sz="0" w:space="0" w:color="auto"/>
      </w:divBdr>
      <w:divsChild>
        <w:div w:id="1742025788">
          <w:marLeft w:val="547"/>
          <w:marRight w:val="0"/>
          <w:marTop w:val="200"/>
          <w:marBottom w:val="0"/>
          <w:divBdr>
            <w:top w:val="none" w:sz="0" w:space="0" w:color="auto"/>
            <w:left w:val="none" w:sz="0" w:space="0" w:color="auto"/>
            <w:bottom w:val="none" w:sz="0" w:space="0" w:color="auto"/>
            <w:right w:val="none" w:sz="0" w:space="0" w:color="auto"/>
          </w:divBdr>
        </w:div>
        <w:div w:id="795223522">
          <w:marLeft w:val="547"/>
          <w:marRight w:val="0"/>
          <w:marTop w:val="200"/>
          <w:marBottom w:val="0"/>
          <w:divBdr>
            <w:top w:val="none" w:sz="0" w:space="0" w:color="auto"/>
            <w:left w:val="none" w:sz="0" w:space="0" w:color="auto"/>
            <w:bottom w:val="none" w:sz="0" w:space="0" w:color="auto"/>
            <w:right w:val="none" w:sz="0" w:space="0" w:color="auto"/>
          </w:divBdr>
        </w:div>
        <w:div w:id="327250980">
          <w:marLeft w:val="547"/>
          <w:marRight w:val="0"/>
          <w:marTop w:val="200"/>
          <w:marBottom w:val="0"/>
          <w:divBdr>
            <w:top w:val="none" w:sz="0" w:space="0" w:color="auto"/>
            <w:left w:val="none" w:sz="0" w:space="0" w:color="auto"/>
            <w:bottom w:val="none" w:sz="0" w:space="0" w:color="auto"/>
            <w:right w:val="none" w:sz="0" w:space="0" w:color="auto"/>
          </w:divBdr>
        </w:div>
        <w:div w:id="5904731">
          <w:marLeft w:val="547"/>
          <w:marRight w:val="0"/>
          <w:marTop w:val="200"/>
          <w:marBottom w:val="0"/>
          <w:divBdr>
            <w:top w:val="none" w:sz="0" w:space="0" w:color="auto"/>
            <w:left w:val="none" w:sz="0" w:space="0" w:color="auto"/>
            <w:bottom w:val="none" w:sz="0" w:space="0" w:color="auto"/>
            <w:right w:val="none" w:sz="0" w:space="0" w:color="auto"/>
          </w:divBdr>
        </w:div>
      </w:divsChild>
    </w:div>
    <w:div w:id="1262638969">
      <w:bodyDiv w:val="1"/>
      <w:marLeft w:val="0"/>
      <w:marRight w:val="0"/>
      <w:marTop w:val="0"/>
      <w:marBottom w:val="0"/>
      <w:divBdr>
        <w:top w:val="none" w:sz="0" w:space="0" w:color="auto"/>
        <w:left w:val="none" w:sz="0" w:space="0" w:color="auto"/>
        <w:bottom w:val="none" w:sz="0" w:space="0" w:color="auto"/>
        <w:right w:val="none" w:sz="0" w:space="0" w:color="auto"/>
      </w:divBdr>
    </w:div>
    <w:div w:id="1401978748">
      <w:bodyDiv w:val="1"/>
      <w:marLeft w:val="0"/>
      <w:marRight w:val="0"/>
      <w:marTop w:val="0"/>
      <w:marBottom w:val="0"/>
      <w:divBdr>
        <w:top w:val="none" w:sz="0" w:space="0" w:color="auto"/>
        <w:left w:val="none" w:sz="0" w:space="0" w:color="auto"/>
        <w:bottom w:val="none" w:sz="0" w:space="0" w:color="auto"/>
        <w:right w:val="none" w:sz="0" w:space="0" w:color="auto"/>
      </w:divBdr>
    </w:div>
    <w:div w:id="1420712239">
      <w:bodyDiv w:val="1"/>
      <w:marLeft w:val="0"/>
      <w:marRight w:val="0"/>
      <w:marTop w:val="0"/>
      <w:marBottom w:val="0"/>
      <w:divBdr>
        <w:top w:val="none" w:sz="0" w:space="0" w:color="auto"/>
        <w:left w:val="none" w:sz="0" w:space="0" w:color="auto"/>
        <w:bottom w:val="none" w:sz="0" w:space="0" w:color="auto"/>
        <w:right w:val="none" w:sz="0" w:space="0" w:color="auto"/>
      </w:divBdr>
    </w:div>
    <w:div w:id="1480921596">
      <w:bodyDiv w:val="1"/>
      <w:marLeft w:val="0"/>
      <w:marRight w:val="0"/>
      <w:marTop w:val="0"/>
      <w:marBottom w:val="0"/>
      <w:divBdr>
        <w:top w:val="none" w:sz="0" w:space="0" w:color="auto"/>
        <w:left w:val="none" w:sz="0" w:space="0" w:color="auto"/>
        <w:bottom w:val="none" w:sz="0" w:space="0" w:color="auto"/>
        <w:right w:val="none" w:sz="0" w:space="0" w:color="auto"/>
      </w:divBdr>
    </w:div>
    <w:div w:id="1522277368">
      <w:bodyDiv w:val="1"/>
      <w:marLeft w:val="0"/>
      <w:marRight w:val="0"/>
      <w:marTop w:val="0"/>
      <w:marBottom w:val="0"/>
      <w:divBdr>
        <w:top w:val="none" w:sz="0" w:space="0" w:color="auto"/>
        <w:left w:val="none" w:sz="0" w:space="0" w:color="auto"/>
        <w:bottom w:val="none" w:sz="0" w:space="0" w:color="auto"/>
        <w:right w:val="none" w:sz="0" w:space="0" w:color="auto"/>
      </w:divBdr>
    </w:div>
    <w:div w:id="1634677816">
      <w:bodyDiv w:val="1"/>
      <w:marLeft w:val="0"/>
      <w:marRight w:val="0"/>
      <w:marTop w:val="0"/>
      <w:marBottom w:val="0"/>
      <w:divBdr>
        <w:top w:val="none" w:sz="0" w:space="0" w:color="auto"/>
        <w:left w:val="none" w:sz="0" w:space="0" w:color="auto"/>
        <w:bottom w:val="none" w:sz="0" w:space="0" w:color="auto"/>
        <w:right w:val="none" w:sz="0" w:space="0" w:color="auto"/>
      </w:divBdr>
      <w:divsChild>
        <w:div w:id="716707424">
          <w:marLeft w:val="547"/>
          <w:marRight w:val="0"/>
          <w:marTop w:val="200"/>
          <w:marBottom w:val="0"/>
          <w:divBdr>
            <w:top w:val="none" w:sz="0" w:space="0" w:color="auto"/>
            <w:left w:val="none" w:sz="0" w:space="0" w:color="auto"/>
            <w:bottom w:val="none" w:sz="0" w:space="0" w:color="auto"/>
            <w:right w:val="none" w:sz="0" w:space="0" w:color="auto"/>
          </w:divBdr>
        </w:div>
        <w:div w:id="400955445">
          <w:marLeft w:val="547"/>
          <w:marRight w:val="0"/>
          <w:marTop w:val="200"/>
          <w:marBottom w:val="0"/>
          <w:divBdr>
            <w:top w:val="none" w:sz="0" w:space="0" w:color="auto"/>
            <w:left w:val="none" w:sz="0" w:space="0" w:color="auto"/>
            <w:bottom w:val="none" w:sz="0" w:space="0" w:color="auto"/>
            <w:right w:val="none" w:sz="0" w:space="0" w:color="auto"/>
          </w:divBdr>
        </w:div>
        <w:div w:id="724529991">
          <w:marLeft w:val="547"/>
          <w:marRight w:val="0"/>
          <w:marTop w:val="200"/>
          <w:marBottom w:val="0"/>
          <w:divBdr>
            <w:top w:val="none" w:sz="0" w:space="0" w:color="auto"/>
            <w:left w:val="none" w:sz="0" w:space="0" w:color="auto"/>
            <w:bottom w:val="none" w:sz="0" w:space="0" w:color="auto"/>
            <w:right w:val="none" w:sz="0" w:space="0" w:color="auto"/>
          </w:divBdr>
        </w:div>
        <w:div w:id="1097168590">
          <w:marLeft w:val="547"/>
          <w:marRight w:val="0"/>
          <w:marTop w:val="200"/>
          <w:marBottom w:val="0"/>
          <w:divBdr>
            <w:top w:val="none" w:sz="0" w:space="0" w:color="auto"/>
            <w:left w:val="none" w:sz="0" w:space="0" w:color="auto"/>
            <w:bottom w:val="none" w:sz="0" w:space="0" w:color="auto"/>
            <w:right w:val="none" w:sz="0" w:space="0" w:color="auto"/>
          </w:divBdr>
        </w:div>
      </w:divsChild>
    </w:div>
    <w:div w:id="1640644121">
      <w:bodyDiv w:val="1"/>
      <w:marLeft w:val="0"/>
      <w:marRight w:val="0"/>
      <w:marTop w:val="0"/>
      <w:marBottom w:val="0"/>
      <w:divBdr>
        <w:top w:val="none" w:sz="0" w:space="0" w:color="auto"/>
        <w:left w:val="none" w:sz="0" w:space="0" w:color="auto"/>
        <w:bottom w:val="none" w:sz="0" w:space="0" w:color="auto"/>
        <w:right w:val="none" w:sz="0" w:space="0" w:color="auto"/>
      </w:divBdr>
    </w:div>
    <w:div w:id="1694260577">
      <w:bodyDiv w:val="1"/>
      <w:marLeft w:val="0"/>
      <w:marRight w:val="0"/>
      <w:marTop w:val="0"/>
      <w:marBottom w:val="0"/>
      <w:divBdr>
        <w:top w:val="none" w:sz="0" w:space="0" w:color="auto"/>
        <w:left w:val="none" w:sz="0" w:space="0" w:color="auto"/>
        <w:bottom w:val="none" w:sz="0" w:space="0" w:color="auto"/>
        <w:right w:val="none" w:sz="0" w:space="0" w:color="auto"/>
      </w:divBdr>
      <w:divsChild>
        <w:div w:id="31003753">
          <w:marLeft w:val="547"/>
          <w:marRight w:val="0"/>
          <w:marTop w:val="200"/>
          <w:marBottom w:val="0"/>
          <w:divBdr>
            <w:top w:val="none" w:sz="0" w:space="0" w:color="auto"/>
            <w:left w:val="none" w:sz="0" w:space="0" w:color="auto"/>
            <w:bottom w:val="none" w:sz="0" w:space="0" w:color="auto"/>
            <w:right w:val="none" w:sz="0" w:space="0" w:color="auto"/>
          </w:divBdr>
        </w:div>
        <w:div w:id="577324390">
          <w:marLeft w:val="547"/>
          <w:marRight w:val="0"/>
          <w:marTop w:val="200"/>
          <w:marBottom w:val="0"/>
          <w:divBdr>
            <w:top w:val="none" w:sz="0" w:space="0" w:color="auto"/>
            <w:left w:val="none" w:sz="0" w:space="0" w:color="auto"/>
            <w:bottom w:val="none" w:sz="0" w:space="0" w:color="auto"/>
            <w:right w:val="none" w:sz="0" w:space="0" w:color="auto"/>
          </w:divBdr>
        </w:div>
      </w:divsChild>
    </w:div>
    <w:div w:id="1873615551">
      <w:bodyDiv w:val="1"/>
      <w:marLeft w:val="0"/>
      <w:marRight w:val="0"/>
      <w:marTop w:val="0"/>
      <w:marBottom w:val="0"/>
      <w:divBdr>
        <w:top w:val="none" w:sz="0" w:space="0" w:color="auto"/>
        <w:left w:val="none" w:sz="0" w:space="0" w:color="auto"/>
        <w:bottom w:val="none" w:sz="0" w:space="0" w:color="auto"/>
        <w:right w:val="none" w:sz="0" w:space="0" w:color="auto"/>
      </w:divBdr>
    </w:div>
    <w:div w:id="2038776072">
      <w:bodyDiv w:val="1"/>
      <w:marLeft w:val="0"/>
      <w:marRight w:val="0"/>
      <w:marTop w:val="0"/>
      <w:marBottom w:val="0"/>
      <w:divBdr>
        <w:top w:val="none" w:sz="0" w:space="0" w:color="auto"/>
        <w:left w:val="none" w:sz="0" w:space="0" w:color="auto"/>
        <w:bottom w:val="none" w:sz="0" w:space="0" w:color="auto"/>
        <w:right w:val="none" w:sz="0" w:space="0" w:color="auto"/>
      </w:divBdr>
      <w:divsChild>
        <w:div w:id="147401434">
          <w:marLeft w:val="547"/>
          <w:marRight w:val="0"/>
          <w:marTop w:val="200"/>
          <w:marBottom w:val="0"/>
          <w:divBdr>
            <w:top w:val="none" w:sz="0" w:space="0" w:color="auto"/>
            <w:left w:val="none" w:sz="0" w:space="0" w:color="auto"/>
            <w:bottom w:val="none" w:sz="0" w:space="0" w:color="auto"/>
            <w:right w:val="none" w:sz="0" w:space="0" w:color="auto"/>
          </w:divBdr>
        </w:div>
      </w:divsChild>
    </w:div>
    <w:div w:id="2085838709">
      <w:bodyDiv w:val="1"/>
      <w:marLeft w:val="0"/>
      <w:marRight w:val="0"/>
      <w:marTop w:val="0"/>
      <w:marBottom w:val="0"/>
      <w:divBdr>
        <w:top w:val="none" w:sz="0" w:space="0" w:color="auto"/>
        <w:left w:val="none" w:sz="0" w:space="0" w:color="auto"/>
        <w:bottom w:val="none" w:sz="0" w:space="0" w:color="auto"/>
        <w:right w:val="none" w:sz="0" w:space="0" w:color="auto"/>
      </w:divBdr>
    </w:div>
    <w:div w:id="2126729680">
      <w:bodyDiv w:val="1"/>
      <w:marLeft w:val="0"/>
      <w:marRight w:val="0"/>
      <w:marTop w:val="0"/>
      <w:marBottom w:val="0"/>
      <w:divBdr>
        <w:top w:val="none" w:sz="0" w:space="0" w:color="auto"/>
        <w:left w:val="none" w:sz="0" w:space="0" w:color="auto"/>
        <w:bottom w:val="none" w:sz="0" w:space="0" w:color="auto"/>
        <w:right w:val="none" w:sz="0" w:space="0" w:color="auto"/>
      </w:divBdr>
    </w:div>
    <w:div w:id="214692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7675</Words>
  <Characters>43749</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ARCHIT UNIYAL (17JGLS)</dc:creator>
  <cp:keywords/>
  <dc:description/>
  <cp:lastModifiedBy>ARCHIT UNIYAL (17JGLS)</cp:lastModifiedBy>
  <cp:revision>2</cp:revision>
  <dcterms:created xsi:type="dcterms:W3CDTF">2020-04-16T07:24:00Z</dcterms:created>
  <dcterms:modified xsi:type="dcterms:W3CDTF">2020-04-16T07:24:00Z</dcterms:modified>
</cp:coreProperties>
</file>