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2555D" w14:textId="4D889727" w:rsidR="00EB15D0" w:rsidRDefault="00866B33" w:rsidP="00EB15D0">
      <w:pPr>
        <w:jc w:val="both"/>
        <w:rPr>
          <w:rFonts w:asciiTheme="majorHAnsi" w:hAnsi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/>
          <w:b/>
          <w:bCs/>
          <w:sz w:val="44"/>
          <w:szCs w:val="44"/>
          <w:u w:val="single"/>
        </w:rPr>
        <w:t xml:space="preserve">SEBI </w:t>
      </w:r>
      <w:r w:rsidR="00EB15D0" w:rsidRPr="00EB15D0">
        <w:rPr>
          <w:rFonts w:asciiTheme="majorHAnsi" w:hAnsiTheme="majorHAnsi"/>
          <w:b/>
          <w:bCs/>
          <w:sz w:val="44"/>
          <w:szCs w:val="44"/>
          <w:u w:val="single"/>
        </w:rPr>
        <w:t xml:space="preserve">RELAXATION </w:t>
      </w:r>
      <w:proofErr w:type="spellStart"/>
      <w:r>
        <w:rPr>
          <w:rFonts w:asciiTheme="majorHAnsi" w:hAnsiTheme="majorHAnsi"/>
          <w:b/>
          <w:bCs/>
          <w:sz w:val="44"/>
          <w:szCs w:val="44"/>
          <w:u w:val="single"/>
        </w:rPr>
        <w:t>w.r.t.</w:t>
      </w:r>
      <w:proofErr w:type="spellEnd"/>
      <w:r>
        <w:rPr>
          <w:rFonts w:asciiTheme="majorHAnsi" w:hAnsiTheme="majorHAnsi"/>
          <w:b/>
          <w:bCs/>
          <w:sz w:val="44"/>
          <w:szCs w:val="44"/>
          <w:u w:val="single"/>
        </w:rPr>
        <w:t xml:space="preserve"> </w:t>
      </w:r>
      <w:r>
        <w:rPr>
          <w:rFonts w:asciiTheme="majorHAnsi" w:hAnsiTheme="majorHAnsi"/>
          <w:b/>
          <w:bCs/>
          <w:sz w:val="44"/>
          <w:szCs w:val="44"/>
          <w:u w:val="single"/>
        </w:rPr>
        <w:t xml:space="preserve">SAST </w:t>
      </w:r>
      <w:r w:rsidRPr="00866B33">
        <w:rPr>
          <w:rFonts w:asciiTheme="majorHAnsi" w:hAnsiTheme="majorHAnsi"/>
          <w:b/>
          <w:bCs/>
          <w:caps/>
          <w:sz w:val="44"/>
          <w:szCs w:val="44"/>
          <w:u w:val="single"/>
        </w:rPr>
        <w:t>Regulation</w:t>
      </w:r>
      <w:r>
        <w:rPr>
          <w:rFonts w:asciiTheme="majorHAnsi" w:hAnsiTheme="majorHAnsi"/>
          <w:b/>
          <w:bCs/>
          <w:sz w:val="44"/>
          <w:szCs w:val="44"/>
          <w:u w:val="single"/>
        </w:rPr>
        <w:t xml:space="preserve"> </w:t>
      </w:r>
      <w:r>
        <w:rPr>
          <w:rFonts w:asciiTheme="majorHAnsi" w:hAnsiTheme="majorHAnsi"/>
          <w:b/>
          <w:bCs/>
          <w:sz w:val="44"/>
          <w:szCs w:val="44"/>
          <w:u w:val="single"/>
        </w:rPr>
        <w:t xml:space="preserve">2011, </w:t>
      </w:r>
      <w:r w:rsidR="00EB15D0" w:rsidRPr="00EB15D0">
        <w:rPr>
          <w:rFonts w:asciiTheme="majorHAnsi" w:hAnsiTheme="majorHAnsi"/>
          <w:b/>
          <w:bCs/>
          <w:sz w:val="44"/>
          <w:szCs w:val="44"/>
          <w:u w:val="single"/>
        </w:rPr>
        <w:t>DUE TO COVID19</w:t>
      </w:r>
    </w:p>
    <w:p w14:paraId="0C1B7FD3" w14:textId="04DC5A07" w:rsidR="00866B33" w:rsidRPr="00FF22B0" w:rsidRDefault="00866B33" w:rsidP="00866B33">
      <w:pPr>
        <w:jc w:val="both"/>
        <w:rPr>
          <w:rFonts w:asciiTheme="majorHAnsi" w:hAnsiTheme="majorHAnsi"/>
          <w:b/>
          <w:bCs/>
          <w:sz w:val="28"/>
          <w:szCs w:val="28"/>
        </w:rPr>
      </w:pPr>
      <w:r w:rsidRPr="00866B33">
        <w:rPr>
          <w:rFonts w:asciiTheme="majorHAnsi" w:hAnsiTheme="majorHAnsi"/>
          <w:b/>
          <w:bCs/>
          <w:sz w:val="24"/>
          <w:szCs w:val="24"/>
        </w:rPr>
        <w:t xml:space="preserve">Securities and Exchange Board of India (SEBI) vide notification / Circular No. </w:t>
      </w:r>
      <w:r w:rsidRPr="00FF22B0">
        <w:rPr>
          <w:rFonts w:asciiTheme="majorHAnsi" w:hAnsiTheme="majorHAnsi"/>
          <w:sz w:val="24"/>
          <w:szCs w:val="24"/>
        </w:rPr>
        <w:t>SEBI/HO/CFD/DCR1/CIR/P/2020/49</w:t>
      </w:r>
      <w:r w:rsidRPr="00FF22B0">
        <w:rPr>
          <w:rFonts w:asciiTheme="majorHAnsi" w:hAnsiTheme="majorHAnsi"/>
          <w:sz w:val="24"/>
          <w:szCs w:val="24"/>
        </w:rPr>
        <w:t xml:space="preserve"> </w:t>
      </w:r>
      <w:r w:rsidRPr="00FF22B0">
        <w:rPr>
          <w:rFonts w:asciiTheme="majorHAnsi" w:hAnsiTheme="majorHAnsi"/>
          <w:sz w:val="24"/>
          <w:szCs w:val="24"/>
        </w:rPr>
        <w:t>issued and publish dated 2</w:t>
      </w:r>
      <w:r w:rsidRPr="00FF22B0">
        <w:rPr>
          <w:rFonts w:asciiTheme="majorHAnsi" w:hAnsiTheme="majorHAnsi"/>
          <w:sz w:val="24"/>
          <w:szCs w:val="24"/>
        </w:rPr>
        <w:t>7</w:t>
      </w:r>
      <w:r w:rsidRPr="00FF22B0">
        <w:rPr>
          <w:rFonts w:asciiTheme="majorHAnsi" w:hAnsiTheme="majorHAnsi"/>
          <w:sz w:val="24"/>
          <w:szCs w:val="24"/>
        </w:rPr>
        <w:t xml:space="preserve">th March 2020, has published </w:t>
      </w:r>
      <w:r w:rsidRPr="00992C23">
        <w:rPr>
          <w:rFonts w:asciiTheme="majorHAnsi" w:hAnsiTheme="majorHAnsi"/>
          <w:b/>
          <w:bCs/>
          <w:sz w:val="26"/>
          <w:szCs w:val="26"/>
        </w:rPr>
        <w:t>Relaxation from compliance with certain provisions of the SEBI</w:t>
      </w:r>
      <w:r w:rsidRPr="00992C23">
        <w:rPr>
          <w:rFonts w:asciiTheme="majorHAnsi" w:hAnsiTheme="majorHAnsi"/>
          <w:b/>
          <w:bCs/>
          <w:sz w:val="26"/>
          <w:szCs w:val="26"/>
        </w:rPr>
        <w:t xml:space="preserve"> </w:t>
      </w:r>
      <w:r w:rsidRPr="00992C23">
        <w:rPr>
          <w:rFonts w:asciiTheme="majorHAnsi" w:hAnsiTheme="majorHAnsi"/>
          <w:b/>
          <w:bCs/>
          <w:sz w:val="26"/>
          <w:szCs w:val="26"/>
        </w:rPr>
        <w:t>(Substantial Acquisition of Shares and Takeovers) Regulations, 2011 due to the</w:t>
      </w:r>
      <w:r w:rsidRPr="00992C23">
        <w:rPr>
          <w:rFonts w:asciiTheme="majorHAnsi" w:hAnsiTheme="majorHAnsi"/>
          <w:b/>
          <w:bCs/>
          <w:sz w:val="26"/>
          <w:szCs w:val="26"/>
        </w:rPr>
        <w:t xml:space="preserve"> </w:t>
      </w:r>
      <w:r w:rsidRPr="00992C23">
        <w:rPr>
          <w:rFonts w:asciiTheme="majorHAnsi" w:hAnsiTheme="majorHAnsi"/>
          <w:b/>
          <w:bCs/>
          <w:sz w:val="26"/>
          <w:szCs w:val="26"/>
        </w:rPr>
        <w:t>COVID-19 pandemic. ".</w:t>
      </w:r>
    </w:p>
    <w:p w14:paraId="5A75CE48" w14:textId="7EC529B0" w:rsidR="00FF22B0" w:rsidRDefault="00FF22B0" w:rsidP="00866B33">
      <w:pPr>
        <w:jc w:val="both"/>
        <w:rPr>
          <w:rFonts w:asciiTheme="majorHAnsi" w:hAnsiTheme="majorHAnsi"/>
          <w:b/>
          <w:bCs/>
          <w:sz w:val="24"/>
          <w:szCs w:val="24"/>
        </w:rPr>
      </w:pPr>
      <w:proofErr w:type="gramStart"/>
      <w:r>
        <w:rPr>
          <w:rFonts w:asciiTheme="majorHAnsi" w:hAnsiTheme="majorHAnsi"/>
          <w:b/>
          <w:bCs/>
          <w:sz w:val="24"/>
          <w:szCs w:val="24"/>
        </w:rPr>
        <w:t>Applicability :</w:t>
      </w:r>
      <w:proofErr w:type="gram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FF22B0">
        <w:rPr>
          <w:rFonts w:asciiTheme="majorHAnsi" w:hAnsiTheme="majorHAnsi"/>
          <w:sz w:val="24"/>
          <w:szCs w:val="24"/>
        </w:rPr>
        <w:t>with immediate effect.</w:t>
      </w:r>
      <w:r>
        <w:rPr>
          <w:rFonts w:asciiTheme="majorHAnsi" w:hAnsiTheme="majorHAnsi"/>
          <w:b/>
          <w:bCs/>
          <w:sz w:val="24"/>
          <w:szCs w:val="24"/>
        </w:rPr>
        <w:t xml:space="preserve"> </w:t>
      </w:r>
    </w:p>
    <w:p w14:paraId="6CDD4330" w14:textId="7F678B2F" w:rsidR="00FF22B0" w:rsidRDefault="00FF22B0" w:rsidP="00866B33">
      <w:pPr>
        <w:jc w:val="both"/>
        <w:rPr>
          <w:rFonts w:asciiTheme="majorHAnsi" w:hAnsiTheme="majorHAnsi"/>
          <w:b/>
          <w:bCs/>
          <w:sz w:val="24"/>
          <w:szCs w:val="24"/>
        </w:rPr>
      </w:pPr>
    </w:p>
    <w:p w14:paraId="425388EE" w14:textId="5833913B" w:rsidR="00FF22B0" w:rsidRPr="00FF22B0" w:rsidRDefault="00FF22B0" w:rsidP="00866B33">
      <w:pPr>
        <w:jc w:val="both"/>
        <w:rPr>
          <w:rFonts w:asciiTheme="majorHAnsi" w:hAnsiTheme="majorHAnsi"/>
          <w:b/>
          <w:bCs/>
          <w:sz w:val="32"/>
          <w:szCs w:val="32"/>
        </w:rPr>
      </w:pPr>
      <w:r w:rsidRPr="00FF22B0">
        <w:rPr>
          <w:rFonts w:asciiTheme="majorHAnsi" w:hAnsiTheme="majorHAnsi"/>
          <w:b/>
          <w:bCs/>
          <w:sz w:val="32"/>
          <w:szCs w:val="32"/>
        </w:rPr>
        <w:t>Relaxations:</w:t>
      </w:r>
    </w:p>
    <w:p w14:paraId="148AEF7D" w14:textId="56284AEE" w:rsidR="00FF22B0" w:rsidRPr="00992C23" w:rsidRDefault="00FF22B0" w:rsidP="00FF22B0">
      <w:pPr>
        <w:jc w:val="both"/>
        <w:rPr>
          <w:rFonts w:asciiTheme="majorHAnsi" w:hAnsiTheme="majorHAnsi"/>
          <w:b/>
          <w:bCs/>
          <w:sz w:val="24"/>
          <w:szCs w:val="24"/>
        </w:rPr>
      </w:pPr>
      <w:r w:rsidRPr="00FF22B0">
        <w:rPr>
          <w:rFonts w:asciiTheme="majorHAnsi" w:hAnsiTheme="majorHAnsi"/>
          <w:sz w:val="24"/>
          <w:szCs w:val="24"/>
        </w:rPr>
        <w:t xml:space="preserve">1. </w:t>
      </w:r>
      <w:r w:rsidRPr="00FF22B0">
        <w:rPr>
          <w:rFonts w:asciiTheme="majorHAnsi" w:hAnsiTheme="majorHAnsi"/>
          <w:sz w:val="24"/>
          <w:szCs w:val="24"/>
        </w:rPr>
        <w:t>The disclosure filings under Regulations 30(1), 30(2) and 31(4) of the SEBI</w:t>
      </w:r>
      <w:r w:rsidRPr="00FF22B0">
        <w:rPr>
          <w:rFonts w:asciiTheme="majorHAnsi" w:hAnsiTheme="majorHAnsi"/>
          <w:sz w:val="24"/>
          <w:szCs w:val="24"/>
        </w:rPr>
        <w:t xml:space="preserve"> </w:t>
      </w:r>
      <w:r w:rsidRPr="00FF22B0">
        <w:rPr>
          <w:rFonts w:asciiTheme="majorHAnsi" w:hAnsiTheme="majorHAnsi"/>
          <w:sz w:val="24"/>
          <w:szCs w:val="24"/>
        </w:rPr>
        <w:t>(Substantial Acquisition of Shares and Takeovers) Regulations, 2011 (SAST</w:t>
      </w:r>
      <w:r w:rsidRPr="00FF22B0">
        <w:rPr>
          <w:rFonts w:asciiTheme="majorHAnsi" w:hAnsiTheme="majorHAnsi"/>
          <w:sz w:val="24"/>
          <w:szCs w:val="24"/>
        </w:rPr>
        <w:t xml:space="preserve"> </w:t>
      </w:r>
      <w:r w:rsidRPr="00FF22B0">
        <w:rPr>
          <w:rFonts w:asciiTheme="majorHAnsi" w:hAnsiTheme="majorHAnsi"/>
          <w:sz w:val="24"/>
          <w:szCs w:val="24"/>
        </w:rPr>
        <w:t>Regulations), require the shareholders to compile, collate, and disseminate</w:t>
      </w:r>
      <w:r w:rsidRPr="00FF22B0">
        <w:rPr>
          <w:rFonts w:asciiTheme="majorHAnsi" w:hAnsiTheme="majorHAnsi"/>
          <w:sz w:val="24"/>
          <w:szCs w:val="24"/>
        </w:rPr>
        <w:t xml:space="preserve"> </w:t>
      </w:r>
      <w:r w:rsidRPr="00FF22B0">
        <w:rPr>
          <w:rFonts w:asciiTheme="majorHAnsi" w:hAnsiTheme="majorHAnsi"/>
          <w:sz w:val="24"/>
          <w:szCs w:val="24"/>
        </w:rPr>
        <w:t>information of their consolidated shareholding as on March 31, 2020, to the</w:t>
      </w:r>
      <w:r w:rsidRPr="00FF22B0">
        <w:rPr>
          <w:rFonts w:asciiTheme="majorHAnsi" w:hAnsiTheme="majorHAnsi"/>
          <w:sz w:val="24"/>
          <w:szCs w:val="24"/>
        </w:rPr>
        <w:t xml:space="preserve"> </w:t>
      </w:r>
      <w:r w:rsidRPr="00FF22B0">
        <w:rPr>
          <w:rFonts w:asciiTheme="majorHAnsi" w:hAnsiTheme="majorHAnsi"/>
          <w:sz w:val="24"/>
          <w:szCs w:val="24"/>
        </w:rPr>
        <w:t>company and the stock exchanges within seven working days from the end of the</w:t>
      </w:r>
      <w:r w:rsidRPr="00FF22B0">
        <w:rPr>
          <w:rFonts w:asciiTheme="majorHAnsi" w:hAnsiTheme="majorHAnsi"/>
          <w:sz w:val="24"/>
          <w:szCs w:val="24"/>
        </w:rPr>
        <w:t xml:space="preserve"> </w:t>
      </w:r>
      <w:r w:rsidRPr="00FF22B0">
        <w:rPr>
          <w:rFonts w:asciiTheme="majorHAnsi" w:hAnsiTheme="majorHAnsi"/>
          <w:sz w:val="24"/>
          <w:szCs w:val="24"/>
        </w:rPr>
        <w:t xml:space="preserve">financial year. </w:t>
      </w:r>
      <w:r w:rsidRPr="00992C23">
        <w:rPr>
          <w:rFonts w:asciiTheme="majorHAnsi" w:hAnsiTheme="majorHAnsi"/>
          <w:b/>
          <w:bCs/>
          <w:sz w:val="24"/>
          <w:szCs w:val="24"/>
        </w:rPr>
        <w:t>These report as per the 2020 calendar are required to be filed by</w:t>
      </w:r>
      <w:r w:rsidRPr="00992C23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992C23">
        <w:rPr>
          <w:rFonts w:asciiTheme="majorHAnsi" w:hAnsiTheme="majorHAnsi"/>
          <w:b/>
          <w:bCs/>
          <w:sz w:val="24"/>
          <w:szCs w:val="24"/>
        </w:rPr>
        <w:t>April 15, 2020.</w:t>
      </w:r>
    </w:p>
    <w:p w14:paraId="795B6C88" w14:textId="1768B464" w:rsidR="00FF22B0" w:rsidRPr="00FF22B0" w:rsidRDefault="00FF22B0" w:rsidP="00FF22B0">
      <w:pPr>
        <w:jc w:val="both"/>
        <w:rPr>
          <w:rFonts w:asciiTheme="majorHAnsi" w:hAnsiTheme="majorHAnsi"/>
          <w:sz w:val="24"/>
          <w:szCs w:val="24"/>
        </w:rPr>
      </w:pPr>
      <w:r w:rsidRPr="00FF22B0">
        <w:rPr>
          <w:rFonts w:asciiTheme="majorHAnsi" w:hAnsiTheme="majorHAnsi"/>
          <w:sz w:val="24"/>
          <w:szCs w:val="24"/>
        </w:rPr>
        <w:t xml:space="preserve">2. </w:t>
      </w:r>
      <w:r w:rsidR="00992C23">
        <w:rPr>
          <w:rFonts w:asciiTheme="majorHAnsi" w:hAnsiTheme="majorHAnsi"/>
          <w:sz w:val="24"/>
          <w:szCs w:val="24"/>
        </w:rPr>
        <w:t>T</w:t>
      </w:r>
      <w:r w:rsidRPr="00FF22B0">
        <w:rPr>
          <w:rFonts w:asciiTheme="majorHAnsi" w:hAnsiTheme="majorHAnsi"/>
          <w:sz w:val="24"/>
          <w:szCs w:val="24"/>
        </w:rPr>
        <w:t>emporary relaxations in compliance with certain deadlines in SAST</w:t>
      </w:r>
      <w:r w:rsidRPr="00FF22B0">
        <w:rPr>
          <w:rFonts w:asciiTheme="majorHAnsi" w:hAnsiTheme="majorHAnsi"/>
          <w:sz w:val="24"/>
          <w:szCs w:val="24"/>
        </w:rPr>
        <w:t xml:space="preserve"> </w:t>
      </w:r>
      <w:r w:rsidRPr="00FF22B0">
        <w:rPr>
          <w:rFonts w:asciiTheme="majorHAnsi" w:hAnsiTheme="majorHAnsi"/>
          <w:sz w:val="24"/>
          <w:szCs w:val="24"/>
        </w:rPr>
        <w:t>Regulations is warranted due to the prevailing travel restrictions and various other</w:t>
      </w:r>
      <w:r w:rsidRPr="00FF22B0">
        <w:rPr>
          <w:rFonts w:asciiTheme="majorHAnsi" w:hAnsiTheme="majorHAnsi"/>
          <w:sz w:val="24"/>
          <w:szCs w:val="24"/>
        </w:rPr>
        <w:t xml:space="preserve"> </w:t>
      </w:r>
      <w:r w:rsidRPr="00FF22B0">
        <w:rPr>
          <w:rFonts w:asciiTheme="majorHAnsi" w:hAnsiTheme="majorHAnsi"/>
          <w:sz w:val="24"/>
          <w:szCs w:val="24"/>
        </w:rPr>
        <w:t>logistical challenges</w:t>
      </w:r>
      <w:r w:rsidRPr="00FF22B0">
        <w:rPr>
          <w:rFonts w:asciiTheme="majorHAnsi" w:hAnsiTheme="majorHAnsi"/>
          <w:sz w:val="24"/>
          <w:szCs w:val="24"/>
        </w:rPr>
        <w:t>.</w:t>
      </w:r>
    </w:p>
    <w:p w14:paraId="7415A852" w14:textId="08664316" w:rsidR="00FF22B0" w:rsidRPr="00246827" w:rsidRDefault="00FF22B0" w:rsidP="00FF22B0">
      <w:pPr>
        <w:jc w:val="both"/>
        <w:rPr>
          <w:rFonts w:asciiTheme="majorHAnsi" w:hAnsiTheme="majorHAnsi"/>
          <w:b/>
          <w:bCs/>
          <w:sz w:val="24"/>
          <w:szCs w:val="24"/>
        </w:rPr>
      </w:pPr>
      <w:r w:rsidRPr="00FF22B0">
        <w:rPr>
          <w:rFonts w:asciiTheme="majorHAnsi" w:hAnsiTheme="majorHAnsi"/>
          <w:sz w:val="24"/>
          <w:szCs w:val="24"/>
        </w:rPr>
        <w:t xml:space="preserve">3. It has </w:t>
      </w:r>
      <w:r w:rsidRPr="00FF22B0">
        <w:rPr>
          <w:rFonts w:asciiTheme="majorHAnsi" w:hAnsiTheme="majorHAnsi"/>
          <w:sz w:val="24"/>
          <w:szCs w:val="24"/>
        </w:rPr>
        <w:t>been decided to extend the due date of filing disclosures, in terms</w:t>
      </w:r>
      <w:r w:rsidRPr="00FF22B0">
        <w:rPr>
          <w:rFonts w:asciiTheme="majorHAnsi" w:hAnsiTheme="majorHAnsi"/>
          <w:sz w:val="24"/>
          <w:szCs w:val="24"/>
        </w:rPr>
        <w:t xml:space="preserve"> </w:t>
      </w:r>
      <w:r w:rsidRPr="00FF22B0">
        <w:rPr>
          <w:rFonts w:asciiTheme="majorHAnsi" w:hAnsiTheme="majorHAnsi"/>
          <w:sz w:val="24"/>
          <w:szCs w:val="24"/>
        </w:rPr>
        <w:t xml:space="preserve">of Regulations </w:t>
      </w:r>
      <w:r w:rsidRPr="00246827">
        <w:rPr>
          <w:rFonts w:asciiTheme="majorHAnsi" w:hAnsiTheme="majorHAnsi"/>
          <w:b/>
          <w:bCs/>
          <w:sz w:val="24"/>
          <w:szCs w:val="24"/>
        </w:rPr>
        <w:t>30(1), 30(2) and 31(4) of the SAST Regulations for the financial</w:t>
      </w:r>
      <w:r w:rsidRPr="00246827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246827">
        <w:rPr>
          <w:rFonts w:asciiTheme="majorHAnsi" w:hAnsiTheme="majorHAnsi"/>
          <w:b/>
          <w:bCs/>
          <w:sz w:val="24"/>
          <w:szCs w:val="24"/>
        </w:rPr>
        <w:t>year ending March 31, 2020 to June 01, 2020.</w:t>
      </w:r>
    </w:p>
    <w:p w14:paraId="004B9FD8" w14:textId="77777777" w:rsidR="00FF22B0" w:rsidRDefault="00FF22B0" w:rsidP="00EB15D0">
      <w:pPr>
        <w:jc w:val="both"/>
        <w:rPr>
          <w:rFonts w:asciiTheme="majorHAnsi" w:hAnsiTheme="majorHAnsi"/>
          <w:b/>
          <w:bCs/>
          <w:sz w:val="28"/>
          <w:szCs w:val="28"/>
        </w:rPr>
      </w:pPr>
    </w:p>
    <w:p w14:paraId="65ABE94B" w14:textId="71846CB7" w:rsidR="00EB15D0" w:rsidRPr="00EB15D0" w:rsidRDefault="00EB15D0" w:rsidP="00EB15D0">
      <w:pPr>
        <w:jc w:val="both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 xml:space="preserve">Detailed </w:t>
      </w:r>
      <w:r w:rsidRPr="00EB15D0">
        <w:rPr>
          <w:rFonts w:asciiTheme="majorHAnsi" w:hAnsiTheme="majorHAnsi"/>
          <w:b/>
          <w:bCs/>
          <w:sz w:val="28"/>
          <w:szCs w:val="28"/>
        </w:rPr>
        <w:t xml:space="preserve">Press Release is available at: </w:t>
      </w:r>
    </w:p>
    <w:p w14:paraId="584B5F6A" w14:textId="5836CE85" w:rsidR="00EB15D0" w:rsidRPr="00866B33" w:rsidRDefault="00866B33" w:rsidP="00EB15D0">
      <w:pPr>
        <w:jc w:val="both"/>
        <w:rPr>
          <w:rFonts w:asciiTheme="majorHAnsi" w:hAnsiTheme="majorHAnsi"/>
          <w:b/>
          <w:bCs/>
          <w:sz w:val="32"/>
          <w:szCs w:val="32"/>
        </w:rPr>
      </w:pPr>
      <w:hyperlink r:id="rId7" w:history="1">
        <w:r w:rsidRPr="00866B33">
          <w:rPr>
            <w:rStyle w:val="Hyperlink"/>
            <w:sz w:val="24"/>
            <w:szCs w:val="24"/>
          </w:rPr>
          <w:t>https://www.sebi.gov.in/legal/circulars/mar-2020/relaxation-from-compliance-with-certain-provisions-of-the-sast-regulations-2011-due-to-the-covid-19-pandemic_46442.html</w:t>
        </w:r>
      </w:hyperlink>
      <w:r w:rsidRPr="00866B33">
        <w:rPr>
          <w:sz w:val="24"/>
          <w:szCs w:val="24"/>
        </w:rPr>
        <w:t xml:space="preserve">  </w:t>
      </w:r>
    </w:p>
    <w:p w14:paraId="42302F04" w14:textId="77777777" w:rsidR="00866B33" w:rsidRDefault="00866B33" w:rsidP="00EB15D0">
      <w:pPr>
        <w:jc w:val="both"/>
        <w:rPr>
          <w:rFonts w:asciiTheme="majorHAnsi" w:hAnsiTheme="majorHAnsi"/>
          <w:b/>
          <w:bCs/>
          <w:sz w:val="28"/>
          <w:szCs w:val="28"/>
        </w:rPr>
      </w:pPr>
    </w:p>
    <w:p w14:paraId="368AFBFC" w14:textId="499DB4DC" w:rsidR="009F144B" w:rsidRPr="002C0C11" w:rsidRDefault="009F144B" w:rsidP="00EB15D0">
      <w:pPr>
        <w:jc w:val="both"/>
        <w:rPr>
          <w:rFonts w:asciiTheme="majorHAnsi" w:hAnsiTheme="majorHAnsi"/>
          <w:b/>
          <w:bCs/>
          <w:sz w:val="28"/>
          <w:szCs w:val="28"/>
        </w:rPr>
      </w:pPr>
      <w:r w:rsidRPr="002C0C11">
        <w:rPr>
          <w:rFonts w:asciiTheme="majorHAnsi" w:hAnsiTheme="majorHAnsi"/>
          <w:b/>
          <w:bCs/>
          <w:sz w:val="28"/>
          <w:szCs w:val="28"/>
        </w:rPr>
        <w:t>Disclaimer:</w:t>
      </w:r>
    </w:p>
    <w:p w14:paraId="454C6CC8" w14:textId="52BF39BC" w:rsidR="002C531A" w:rsidRPr="00DD5173" w:rsidRDefault="009F144B" w:rsidP="00554995">
      <w:pPr>
        <w:jc w:val="both"/>
        <w:rPr>
          <w:rFonts w:asciiTheme="majorHAnsi" w:hAnsiTheme="majorHAnsi" w:cs="Times New Roman"/>
          <w:b/>
          <w:bCs/>
          <w:color w:val="002060"/>
        </w:rPr>
      </w:pPr>
      <w:r w:rsidRPr="002C0C11">
        <w:rPr>
          <w:rFonts w:asciiTheme="majorHAnsi" w:hAnsiTheme="majorHAnsi"/>
          <w:sz w:val="24"/>
          <w:szCs w:val="24"/>
        </w:rPr>
        <w:t>IN NO EVENT THE AUTHOR SHALL BE LIABLE FOR ANY DIRECT, INDIRECT, SPECIAL OR INCIDENTAL DAMAGE RESULTING FROM OR ARISING OUT OF OR IN CONNECTION WITH THE USE OF THIS INFORMATION.</w:t>
      </w:r>
      <w:bookmarkStart w:id="0" w:name="_GoBack"/>
      <w:bookmarkEnd w:id="0"/>
    </w:p>
    <w:sectPr w:rsidR="002C531A" w:rsidRPr="00DD5173" w:rsidSect="008B3C1D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D05505" w14:textId="77777777" w:rsidR="00867B23" w:rsidRDefault="00867B23" w:rsidP="00880398">
      <w:pPr>
        <w:spacing w:after="0" w:line="240" w:lineRule="auto"/>
      </w:pPr>
      <w:r>
        <w:separator/>
      </w:r>
    </w:p>
  </w:endnote>
  <w:endnote w:type="continuationSeparator" w:id="0">
    <w:p w14:paraId="029F790F" w14:textId="77777777" w:rsidR="00867B23" w:rsidRDefault="00867B23" w:rsidP="00880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2D50E" w14:textId="77777777" w:rsidR="00867B23" w:rsidRDefault="00867B23" w:rsidP="00880398">
      <w:pPr>
        <w:spacing w:after="0" w:line="240" w:lineRule="auto"/>
      </w:pPr>
      <w:r>
        <w:separator/>
      </w:r>
    </w:p>
  </w:footnote>
  <w:footnote w:type="continuationSeparator" w:id="0">
    <w:p w14:paraId="3437F3FA" w14:textId="77777777" w:rsidR="00867B23" w:rsidRDefault="00867B23" w:rsidP="00880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F4CE8"/>
    <w:multiLevelType w:val="hybridMultilevel"/>
    <w:tmpl w:val="B4AE0456"/>
    <w:lvl w:ilvl="0" w:tplc="99FE3258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07FE0"/>
    <w:multiLevelType w:val="hybridMultilevel"/>
    <w:tmpl w:val="C116084A"/>
    <w:lvl w:ilvl="0" w:tplc="66A8B6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D4B6D"/>
    <w:multiLevelType w:val="hybridMultilevel"/>
    <w:tmpl w:val="C4D602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F6085"/>
    <w:multiLevelType w:val="hybridMultilevel"/>
    <w:tmpl w:val="1870D55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A554FE"/>
    <w:multiLevelType w:val="hybridMultilevel"/>
    <w:tmpl w:val="549AF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21BA7"/>
    <w:multiLevelType w:val="hybridMultilevel"/>
    <w:tmpl w:val="0988E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A62F7"/>
    <w:multiLevelType w:val="hybridMultilevel"/>
    <w:tmpl w:val="70CA5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A2BF4"/>
    <w:multiLevelType w:val="hybridMultilevel"/>
    <w:tmpl w:val="BA48DF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B4C2E"/>
    <w:multiLevelType w:val="hybridMultilevel"/>
    <w:tmpl w:val="CBFE72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61B5B"/>
    <w:multiLevelType w:val="hybridMultilevel"/>
    <w:tmpl w:val="5852A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B0A96"/>
    <w:multiLevelType w:val="hybridMultilevel"/>
    <w:tmpl w:val="DF64B560"/>
    <w:lvl w:ilvl="0" w:tplc="93B2952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A58AC"/>
    <w:multiLevelType w:val="hybridMultilevel"/>
    <w:tmpl w:val="117031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540F9"/>
    <w:multiLevelType w:val="hybridMultilevel"/>
    <w:tmpl w:val="B464139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4DD73F0"/>
    <w:multiLevelType w:val="hybridMultilevel"/>
    <w:tmpl w:val="D33AF9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C3257"/>
    <w:multiLevelType w:val="multilevel"/>
    <w:tmpl w:val="F508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6F0094"/>
    <w:multiLevelType w:val="hybridMultilevel"/>
    <w:tmpl w:val="B0E27A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7A358F"/>
    <w:multiLevelType w:val="hybridMultilevel"/>
    <w:tmpl w:val="4274D86A"/>
    <w:lvl w:ilvl="0" w:tplc="E1806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64304"/>
    <w:multiLevelType w:val="hybridMultilevel"/>
    <w:tmpl w:val="67D4A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505682"/>
    <w:multiLevelType w:val="hybridMultilevel"/>
    <w:tmpl w:val="14543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B514B3"/>
    <w:multiLevelType w:val="multilevel"/>
    <w:tmpl w:val="3702A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4"/>
  </w:num>
  <w:num w:numId="3">
    <w:abstractNumId w:val="17"/>
  </w:num>
  <w:num w:numId="4">
    <w:abstractNumId w:val="5"/>
  </w:num>
  <w:num w:numId="5">
    <w:abstractNumId w:val="9"/>
  </w:num>
  <w:num w:numId="6">
    <w:abstractNumId w:val="8"/>
  </w:num>
  <w:num w:numId="7">
    <w:abstractNumId w:val="15"/>
  </w:num>
  <w:num w:numId="8">
    <w:abstractNumId w:val="10"/>
  </w:num>
  <w:num w:numId="9">
    <w:abstractNumId w:val="16"/>
  </w:num>
  <w:num w:numId="10">
    <w:abstractNumId w:val="11"/>
  </w:num>
  <w:num w:numId="11">
    <w:abstractNumId w:val="3"/>
  </w:num>
  <w:num w:numId="12">
    <w:abstractNumId w:val="4"/>
  </w:num>
  <w:num w:numId="13">
    <w:abstractNumId w:val="1"/>
  </w:num>
  <w:num w:numId="14">
    <w:abstractNumId w:val="12"/>
  </w:num>
  <w:num w:numId="15">
    <w:abstractNumId w:val="6"/>
  </w:num>
  <w:num w:numId="16">
    <w:abstractNumId w:val="0"/>
  </w:num>
  <w:num w:numId="17">
    <w:abstractNumId w:val="13"/>
  </w:num>
  <w:num w:numId="18">
    <w:abstractNumId w:val="7"/>
  </w:num>
  <w:num w:numId="19">
    <w:abstractNumId w:val="2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40"/>
    <w:rsid w:val="00001D30"/>
    <w:rsid w:val="00056D6C"/>
    <w:rsid w:val="00060175"/>
    <w:rsid w:val="00072D6E"/>
    <w:rsid w:val="000941DB"/>
    <w:rsid w:val="00110FC1"/>
    <w:rsid w:val="00136718"/>
    <w:rsid w:val="00157739"/>
    <w:rsid w:val="001732F3"/>
    <w:rsid w:val="00177084"/>
    <w:rsid w:val="001D0A66"/>
    <w:rsid w:val="001D3FA2"/>
    <w:rsid w:val="001D4880"/>
    <w:rsid w:val="001D6987"/>
    <w:rsid w:val="001F198E"/>
    <w:rsid w:val="0021506D"/>
    <w:rsid w:val="0022287D"/>
    <w:rsid w:val="00224C3B"/>
    <w:rsid w:val="00246827"/>
    <w:rsid w:val="00253227"/>
    <w:rsid w:val="00255C3E"/>
    <w:rsid w:val="002B612F"/>
    <w:rsid w:val="002C0C11"/>
    <w:rsid w:val="002C531A"/>
    <w:rsid w:val="002E4DB4"/>
    <w:rsid w:val="002F2D87"/>
    <w:rsid w:val="00307264"/>
    <w:rsid w:val="00385B48"/>
    <w:rsid w:val="003A6373"/>
    <w:rsid w:val="003C043A"/>
    <w:rsid w:val="00410962"/>
    <w:rsid w:val="00413D73"/>
    <w:rsid w:val="00434D8E"/>
    <w:rsid w:val="004360CA"/>
    <w:rsid w:val="00474325"/>
    <w:rsid w:val="00474988"/>
    <w:rsid w:val="004773D0"/>
    <w:rsid w:val="00490D0F"/>
    <w:rsid w:val="004A1E0D"/>
    <w:rsid w:val="00504B17"/>
    <w:rsid w:val="00506EBF"/>
    <w:rsid w:val="00554995"/>
    <w:rsid w:val="0058059E"/>
    <w:rsid w:val="00585E89"/>
    <w:rsid w:val="005A7F2C"/>
    <w:rsid w:val="005D60ED"/>
    <w:rsid w:val="006429F8"/>
    <w:rsid w:val="006910D8"/>
    <w:rsid w:val="006D49DF"/>
    <w:rsid w:val="006E3C41"/>
    <w:rsid w:val="006F475F"/>
    <w:rsid w:val="00707352"/>
    <w:rsid w:val="0073614E"/>
    <w:rsid w:val="00763003"/>
    <w:rsid w:val="00772B62"/>
    <w:rsid w:val="0077444A"/>
    <w:rsid w:val="00780665"/>
    <w:rsid w:val="00785C28"/>
    <w:rsid w:val="007B753E"/>
    <w:rsid w:val="007C44B4"/>
    <w:rsid w:val="007C643B"/>
    <w:rsid w:val="007F340B"/>
    <w:rsid w:val="007F5C37"/>
    <w:rsid w:val="00806B95"/>
    <w:rsid w:val="00827F7D"/>
    <w:rsid w:val="00861CFE"/>
    <w:rsid w:val="00866B33"/>
    <w:rsid w:val="00867B23"/>
    <w:rsid w:val="00871F6F"/>
    <w:rsid w:val="00880398"/>
    <w:rsid w:val="008B2F63"/>
    <w:rsid w:val="008B3C1D"/>
    <w:rsid w:val="008E2FDA"/>
    <w:rsid w:val="00902B61"/>
    <w:rsid w:val="009245D7"/>
    <w:rsid w:val="00992C23"/>
    <w:rsid w:val="009A0B32"/>
    <w:rsid w:val="009A4C7C"/>
    <w:rsid w:val="009A5BC5"/>
    <w:rsid w:val="009B7E9F"/>
    <w:rsid w:val="009E3E14"/>
    <w:rsid w:val="009F144B"/>
    <w:rsid w:val="00A166AC"/>
    <w:rsid w:val="00A63412"/>
    <w:rsid w:val="00A90EBE"/>
    <w:rsid w:val="00A92810"/>
    <w:rsid w:val="00AA7AEA"/>
    <w:rsid w:val="00AB53B0"/>
    <w:rsid w:val="00B13FAA"/>
    <w:rsid w:val="00B24ED3"/>
    <w:rsid w:val="00B4408B"/>
    <w:rsid w:val="00B53DCE"/>
    <w:rsid w:val="00B72FFE"/>
    <w:rsid w:val="00B81FDA"/>
    <w:rsid w:val="00B9138A"/>
    <w:rsid w:val="00BA600F"/>
    <w:rsid w:val="00BE2C40"/>
    <w:rsid w:val="00C31F4E"/>
    <w:rsid w:val="00C46ECE"/>
    <w:rsid w:val="00C4722A"/>
    <w:rsid w:val="00C5023B"/>
    <w:rsid w:val="00C8649C"/>
    <w:rsid w:val="00C95E05"/>
    <w:rsid w:val="00CB3EBE"/>
    <w:rsid w:val="00CF50DA"/>
    <w:rsid w:val="00D21AD0"/>
    <w:rsid w:val="00D458DA"/>
    <w:rsid w:val="00D56C23"/>
    <w:rsid w:val="00D61E72"/>
    <w:rsid w:val="00D77676"/>
    <w:rsid w:val="00D93D91"/>
    <w:rsid w:val="00DA0C35"/>
    <w:rsid w:val="00DA49FF"/>
    <w:rsid w:val="00DD5173"/>
    <w:rsid w:val="00DE2842"/>
    <w:rsid w:val="00DF4AA6"/>
    <w:rsid w:val="00E950FE"/>
    <w:rsid w:val="00E97E52"/>
    <w:rsid w:val="00EB15D0"/>
    <w:rsid w:val="00EB4EFF"/>
    <w:rsid w:val="00EC6470"/>
    <w:rsid w:val="00F0153F"/>
    <w:rsid w:val="00F07D62"/>
    <w:rsid w:val="00F14F2B"/>
    <w:rsid w:val="00F26ADC"/>
    <w:rsid w:val="00F42899"/>
    <w:rsid w:val="00F46DAD"/>
    <w:rsid w:val="00F51460"/>
    <w:rsid w:val="00F67E49"/>
    <w:rsid w:val="00FB7F7A"/>
    <w:rsid w:val="00FE2F4C"/>
    <w:rsid w:val="00FF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ACE7A"/>
  <w15:docId w15:val="{3A7E34F1-CB25-456D-9B4C-14FC0034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8DA"/>
  </w:style>
  <w:style w:type="paragraph" w:styleId="Heading1">
    <w:name w:val="heading 1"/>
    <w:basedOn w:val="Normal"/>
    <w:next w:val="Normal"/>
    <w:link w:val="Heading1Char"/>
    <w:uiPriority w:val="9"/>
    <w:qFormat/>
    <w:rsid w:val="009F14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F14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F14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9F14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4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5B48"/>
    <w:rPr>
      <w:b/>
      <w:bCs/>
    </w:rPr>
  </w:style>
  <w:style w:type="paragraph" w:styleId="ListParagraph">
    <w:name w:val="List Paragraph"/>
    <w:basedOn w:val="Normal"/>
    <w:uiPriority w:val="34"/>
    <w:qFormat/>
    <w:rsid w:val="00001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0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398"/>
  </w:style>
  <w:style w:type="paragraph" w:styleId="Footer">
    <w:name w:val="footer"/>
    <w:basedOn w:val="Normal"/>
    <w:link w:val="FooterChar"/>
    <w:uiPriority w:val="99"/>
    <w:unhideWhenUsed/>
    <w:rsid w:val="00880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398"/>
  </w:style>
  <w:style w:type="paragraph" w:styleId="NoSpacing">
    <w:name w:val="No Spacing"/>
    <w:uiPriority w:val="1"/>
    <w:qFormat/>
    <w:rsid w:val="00490D0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408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97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B7F7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F144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F144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9F144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F144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3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8377">
          <w:marLeft w:val="0"/>
          <w:marRight w:val="9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7999">
          <w:marLeft w:val="0"/>
          <w:marRight w:val="9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8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ebi.gov.in/legal/circulars/mar-2020/relaxation-from-compliance-with-certain-provisions-of-the-sast-regulations-2011-due-to-the-covid-19-pandemic_4644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Home</cp:lastModifiedBy>
  <cp:revision>76</cp:revision>
  <dcterms:created xsi:type="dcterms:W3CDTF">2020-01-24T17:23:00Z</dcterms:created>
  <dcterms:modified xsi:type="dcterms:W3CDTF">2020-03-27T09:58:00Z</dcterms:modified>
</cp:coreProperties>
</file>