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668" w:rsidRDefault="00843668" w:rsidP="00883A85">
      <w:pPr>
        <w:rPr>
          <w:b/>
          <w:sz w:val="32"/>
          <w:szCs w:val="32"/>
          <w:u w:val="single"/>
        </w:rPr>
      </w:pPr>
    </w:p>
    <w:p w:rsidR="00883A85" w:rsidRPr="003D6D16" w:rsidRDefault="00883A85" w:rsidP="00883A85">
      <w:pPr>
        <w:jc w:val="center"/>
        <w:rPr>
          <w:b/>
          <w:sz w:val="32"/>
          <w:szCs w:val="32"/>
        </w:rPr>
      </w:pPr>
      <w:r>
        <w:rPr>
          <w:b/>
          <w:sz w:val="32"/>
          <w:szCs w:val="32"/>
        </w:rPr>
        <w:t>(Registered as DiaryNo.66600/SCI/PIL(E)2019 on 18thDec.,2019at11.21Hrs)</w:t>
      </w:r>
    </w:p>
    <w:p w:rsidR="00843668" w:rsidRDefault="00843668" w:rsidP="00883A85">
      <w:pPr>
        <w:rPr>
          <w:b/>
          <w:sz w:val="32"/>
          <w:szCs w:val="32"/>
          <w:u w:val="single"/>
        </w:rPr>
      </w:pPr>
    </w:p>
    <w:p w:rsidR="00843668" w:rsidRPr="004F6E49" w:rsidRDefault="00843668" w:rsidP="00883A85">
      <w:pPr>
        <w:jc w:val="center"/>
        <w:rPr>
          <w:b/>
          <w:sz w:val="32"/>
          <w:szCs w:val="32"/>
          <w:u w:val="single"/>
        </w:rPr>
      </w:pPr>
      <w:r>
        <w:rPr>
          <w:b/>
          <w:sz w:val="32"/>
          <w:szCs w:val="32"/>
          <w:u w:val="single"/>
        </w:rPr>
        <w:t>Part-2</w:t>
      </w:r>
    </w:p>
    <w:p w:rsidR="00843668" w:rsidRDefault="00843668" w:rsidP="00843668">
      <w:pPr>
        <w:rPr>
          <w:sz w:val="24"/>
          <w:szCs w:val="24"/>
        </w:rPr>
      </w:pPr>
    </w:p>
    <w:p w:rsidR="00843668" w:rsidRPr="008E5E25" w:rsidRDefault="00843668" w:rsidP="00843668">
      <w:pPr>
        <w:rPr>
          <w:sz w:val="24"/>
          <w:szCs w:val="24"/>
        </w:rPr>
      </w:pPr>
      <w:r w:rsidRPr="008E5E25">
        <w:rPr>
          <w:sz w:val="24"/>
          <w:szCs w:val="24"/>
        </w:rPr>
        <w:t>Karaikudi,</w:t>
      </w:r>
    </w:p>
    <w:p w:rsidR="00843668" w:rsidRPr="008E5E25" w:rsidRDefault="00843668" w:rsidP="00843668">
      <w:pPr>
        <w:rPr>
          <w:sz w:val="24"/>
          <w:szCs w:val="24"/>
        </w:rPr>
      </w:pPr>
      <w:r>
        <w:rPr>
          <w:sz w:val="24"/>
          <w:szCs w:val="24"/>
        </w:rPr>
        <w:t>16</w:t>
      </w:r>
      <w:r w:rsidRPr="008E5E25">
        <w:rPr>
          <w:sz w:val="24"/>
          <w:szCs w:val="24"/>
        </w:rPr>
        <w:t>.12.2019</w:t>
      </w:r>
    </w:p>
    <w:p w:rsidR="00843668" w:rsidRDefault="00843668" w:rsidP="00843668"/>
    <w:p w:rsidR="00843668" w:rsidRPr="008E5E25" w:rsidRDefault="00843668" w:rsidP="00843668">
      <w:pPr>
        <w:rPr>
          <w:sz w:val="24"/>
          <w:szCs w:val="24"/>
        </w:rPr>
      </w:pPr>
      <w:r w:rsidRPr="008E5E25">
        <w:rPr>
          <w:sz w:val="24"/>
          <w:szCs w:val="24"/>
        </w:rPr>
        <w:t>From</w:t>
      </w:r>
    </w:p>
    <w:p w:rsidR="00843668" w:rsidRPr="008E5E25" w:rsidRDefault="00843668" w:rsidP="00843668">
      <w:pPr>
        <w:rPr>
          <w:sz w:val="24"/>
          <w:szCs w:val="24"/>
        </w:rPr>
      </w:pPr>
      <w:r w:rsidRPr="008E5E25">
        <w:rPr>
          <w:sz w:val="24"/>
          <w:szCs w:val="24"/>
        </w:rPr>
        <w:t>Baskaran Kanakasabai,</w:t>
      </w:r>
    </w:p>
    <w:p w:rsidR="00843668" w:rsidRPr="008E5E25" w:rsidRDefault="00843668" w:rsidP="00843668">
      <w:pPr>
        <w:rPr>
          <w:sz w:val="24"/>
          <w:szCs w:val="24"/>
        </w:rPr>
      </w:pPr>
      <w:r w:rsidRPr="008E5E25">
        <w:rPr>
          <w:sz w:val="24"/>
          <w:szCs w:val="24"/>
        </w:rPr>
        <w:t>Qua responsible &amp; judicious citizen of a democratic nation which has ratified the UN Charter</w:t>
      </w:r>
      <w:r>
        <w:rPr>
          <w:sz w:val="24"/>
          <w:szCs w:val="24"/>
        </w:rPr>
        <w:t xml:space="preserve"> </w:t>
      </w:r>
      <w:r w:rsidRPr="008E5E25">
        <w:rPr>
          <w:sz w:val="24"/>
          <w:szCs w:val="24"/>
        </w:rPr>
        <w:t>&amp;</w:t>
      </w:r>
      <w:r>
        <w:rPr>
          <w:sz w:val="24"/>
          <w:szCs w:val="24"/>
        </w:rPr>
        <w:t xml:space="preserve"> </w:t>
      </w:r>
      <w:r w:rsidRPr="008E5E25">
        <w:rPr>
          <w:sz w:val="24"/>
          <w:szCs w:val="24"/>
        </w:rPr>
        <w:t>UDHR,</w:t>
      </w:r>
    </w:p>
    <w:p w:rsidR="00843668" w:rsidRPr="008E5E25" w:rsidRDefault="00843668" w:rsidP="00843668">
      <w:pPr>
        <w:rPr>
          <w:sz w:val="24"/>
          <w:szCs w:val="24"/>
        </w:rPr>
      </w:pPr>
      <w:r>
        <w:rPr>
          <w:sz w:val="24"/>
          <w:szCs w:val="24"/>
        </w:rPr>
        <w:t>326/11c</w:t>
      </w:r>
      <w:r w:rsidRPr="008E5E25">
        <w:rPr>
          <w:sz w:val="24"/>
          <w:szCs w:val="24"/>
        </w:rPr>
        <w:t>,</w:t>
      </w:r>
      <w:r>
        <w:rPr>
          <w:sz w:val="24"/>
          <w:szCs w:val="24"/>
        </w:rPr>
        <w:t xml:space="preserve"> Plot no.22, Patharakudi-630307</w:t>
      </w:r>
      <w:r w:rsidRPr="008E5E25">
        <w:rPr>
          <w:sz w:val="24"/>
          <w:szCs w:val="24"/>
        </w:rPr>
        <w:t xml:space="preserve"> </w:t>
      </w:r>
    </w:p>
    <w:p w:rsidR="00843668" w:rsidRPr="008E5E25" w:rsidRDefault="00843668" w:rsidP="00843668">
      <w:pPr>
        <w:rPr>
          <w:sz w:val="24"/>
          <w:szCs w:val="24"/>
        </w:rPr>
      </w:pPr>
      <w:r>
        <w:rPr>
          <w:sz w:val="24"/>
          <w:szCs w:val="24"/>
        </w:rPr>
        <w:t>Sivaganga district, Tamil</w:t>
      </w:r>
      <w:r w:rsidRPr="008E5E25">
        <w:rPr>
          <w:sz w:val="24"/>
          <w:szCs w:val="24"/>
        </w:rPr>
        <w:t>nadu,</w:t>
      </w:r>
      <w:r>
        <w:rPr>
          <w:sz w:val="24"/>
          <w:szCs w:val="24"/>
        </w:rPr>
        <w:t xml:space="preserve"> </w:t>
      </w:r>
      <w:r w:rsidRPr="008E5E25">
        <w:rPr>
          <w:sz w:val="24"/>
          <w:szCs w:val="24"/>
        </w:rPr>
        <w:t>India.</w:t>
      </w:r>
    </w:p>
    <w:p w:rsidR="00843668" w:rsidRPr="008E5E25" w:rsidRDefault="00843668" w:rsidP="00843668">
      <w:pPr>
        <w:rPr>
          <w:sz w:val="24"/>
          <w:szCs w:val="24"/>
        </w:rPr>
      </w:pPr>
      <w:r w:rsidRPr="008E5E25">
        <w:rPr>
          <w:sz w:val="24"/>
          <w:szCs w:val="24"/>
        </w:rPr>
        <w:t xml:space="preserve">Email: </w:t>
      </w:r>
      <w:hyperlink r:id="rId7" w:history="1">
        <w:r w:rsidRPr="008E5E25">
          <w:rPr>
            <w:rStyle w:val="Hyperlink"/>
          </w:rPr>
          <w:t>kbmadras2017@gmail.com</w:t>
        </w:r>
      </w:hyperlink>
    </w:p>
    <w:p w:rsidR="00843668" w:rsidRPr="008E5E25" w:rsidRDefault="00843668" w:rsidP="00843668">
      <w:pPr>
        <w:rPr>
          <w:sz w:val="24"/>
          <w:szCs w:val="24"/>
        </w:rPr>
      </w:pPr>
      <w:r w:rsidRPr="008E5E25">
        <w:rPr>
          <w:sz w:val="24"/>
          <w:szCs w:val="24"/>
        </w:rPr>
        <w:t>Mobile: 9444001884</w:t>
      </w:r>
    </w:p>
    <w:p w:rsidR="00843668" w:rsidRPr="008E5E25" w:rsidRDefault="00843668" w:rsidP="00843668">
      <w:pPr>
        <w:rPr>
          <w:sz w:val="24"/>
          <w:szCs w:val="24"/>
        </w:rPr>
      </w:pPr>
      <w:r w:rsidRPr="008E5E25">
        <w:rPr>
          <w:sz w:val="24"/>
          <w:szCs w:val="24"/>
        </w:rPr>
        <w:t xml:space="preserve">To </w:t>
      </w:r>
    </w:p>
    <w:p w:rsidR="00843668" w:rsidRPr="008E5E25" w:rsidRDefault="00843668" w:rsidP="00843668">
      <w:pPr>
        <w:rPr>
          <w:sz w:val="24"/>
          <w:szCs w:val="24"/>
        </w:rPr>
      </w:pPr>
      <w:r w:rsidRPr="008E5E25">
        <w:rPr>
          <w:sz w:val="24"/>
          <w:szCs w:val="24"/>
        </w:rPr>
        <w:t>The Re</w:t>
      </w:r>
      <w:r>
        <w:rPr>
          <w:sz w:val="24"/>
          <w:szCs w:val="24"/>
        </w:rPr>
        <w:t>gistrar, Supreme Court of India,</w:t>
      </w:r>
    </w:p>
    <w:p w:rsidR="00843668" w:rsidRPr="008E5E25" w:rsidRDefault="00843668" w:rsidP="00843668">
      <w:pPr>
        <w:rPr>
          <w:sz w:val="24"/>
          <w:szCs w:val="24"/>
        </w:rPr>
      </w:pPr>
      <w:r w:rsidRPr="008E5E25">
        <w:rPr>
          <w:sz w:val="24"/>
          <w:szCs w:val="24"/>
        </w:rPr>
        <w:t>New Delhi</w:t>
      </w:r>
    </w:p>
    <w:p w:rsidR="00843668" w:rsidRPr="008E5E25" w:rsidRDefault="00843668" w:rsidP="00843668">
      <w:pPr>
        <w:rPr>
          <w:sz w:val="24"/>
          <w:szCs w:val="24"/>
        </w:rPr>
      </w:pPr>
      <w:r w:rsidRPr="008E5E25">
        <w:rPr>
          <w:sz w:val="24"/>
          <w:szCs w:val="24"/>
        </w:rPr>
        <w:t>Fax: 011-23386178</w:t>
      </w:r>
    </w:p>
    <w:p w:rsidR="00843668" w:rsidRDefault="00843668" w:rsidP="00843668">
      <w:pPr>
        <w:rPr>
          <w:sz w:val="24"/>
          <w:szCs w:val="24"/>
        </w:rPr>
      </w:pPr>
      <w:r w:rsidRPr="008E5E25">
        <w:rPr>
          <w:sz w:val="24"/>
          <w:szCs w:val="24"/>
        </w:rPr>
        <w:t xml:space="preserve">CC: </w:t>
      </w:r>
      <w:r>
        <w:rPr>
          <w:sz w:val="24"/>
          <w:szCs w:val="24"/>
        </w:rPr>
        <w:t xml:space="preserve"> The Hon’ble President of India, NHRC,</w:t>
      </w:r>
      <w:r w:rsidRPr="008E5E25">
        <w:rPr>
          <w:sz w:val="24"/>
          <w:szCs w:val="24"/>
        </w:rPr>
        <w:t xml:space="preserve"> NCDRC,</w:t>
      </w:r>
      <w:r>
        <w:rPr>
          <w:sz w:val="24"/>
          <w:szCs w:val="24"/>
        </w:rPr>
        <w:t xml:space="preserve"> &amp; Lawyersclubindia.com</w:t>
      </w:r>
    </w:p>
    <w:p w:rsidR="00843668" w:rsidRDefault="00843668" w:rsidP="00843668">
      <w:pPr>
        <w:rPr>
          <w:b/>
          <w:sz w:val="28"/>
          <w:szCs w:val="28"/>
          <w:u w:val="single"/>
        </w:rPr>
      </w:pPr>
      <w:r w:rsidRPr="004B16CB">
        <w:rPr>
          <w:b/>
          <w:sz w:val="28"/>
          <w:szCs w:val="28"/>
          <w:u w:val="single"/>
        </w:rPr>
        <w:t xml:space="preserve">For </w:t>
      </w:r>
      <w:r>
        <w:rPr>
          <w:b/>
          <w:sz w:val="28"/>
          <w:szCs w:val="28"/>
          <w:u w:val="single"/>
        </w:rPr>
        <w:t xml:space="preserve">the Urgent attention of the Hon’ble </w:t>
      </w:r>
      <w:r w:rsidRPr="004B16CB">
        <w:rPr>
          <w:b/>
          <w:sz w:val="28"/>
          <w:szCs w:val="28"/>
          <w:u w:val="single"/>
        </w:rPr>
        <w:t>Constitution Bench on Land Acquisition</w:t>
      </w:r>
      <w:r>
        <w:rPr>
          <w:b/>
          <w:sz w:val="28"/>
          <w:szCs w:val="28"/>
          <w:u w:val="single"/>
        </w:rPr>
        <w:t xml:space="preserve">. </w:t>
      </w:r>
    </w:p>
    <w:p w:rsidR="00843668" w:rsidRPr="00623FCF" w:rsidRDefault="00843668" w:rsidP="00843668">
      <w:pPr>
        <w:rPr>
          <w:b/>
          <w:sz w:val="32"/>
          <w:szCs w:val="32"/>
          <w:u w:val="single"/>
        </w:rPr>
      </w:pPr>
      <w:r w:rsidRPr="00623FCF">
        <w:rPr>
          <w:b/>
          <w:sz w:val="32"/>
          <w:szCs w:val="32"/>
          <w:u w:val="single"/>
        </w:rPr>
        <w:t xml:space="preserve">Subject:“Land Acquisition beyond  the perimeter of </w:t>
      </w:r>
      <w:r>
        <w:rPr>
          <w:b/>
          <w:sz w:val="32"/>
          <w:szCs w:val="32"/>
          <w:u w:val="single"/>
        </w:rPr>
        <w:t>‘</w:t>
      </w:r>
      <w:r w:rsidRPr="00623FCF">
        <w:rPr>
          <w:b/>
          <w:sz w:val="32"/>
          <w:szCs w:val="32"/>
          <w:u w:val="single"/>
        </w:rPr>
        <w:t>The Rule of Law</w:t>
      </w:r>
      <w:r>
        <w:rPr>
          <w:b/>
          <w:sz w:val="32"/>
          <w:szCs w:val="32"/>
          <w:u w:val="single"/>
        </w:rPr>
        <w:t>’</w:t>
      </w:r>
      <w:r w:rsidRPr="00623FCF">
        <w:rPr>
          <w:b/>
          <w:sz w:val="32"/>
          <w:szCs w:val="32"/>
          <w:u w:val="single"/>
        </w:rPr>
        <w:t>”</w:t>
      </w:r>
    </w:p>
    <w:p w:rsidR="00843668" w:rsidRDefault="00843668" w:rsidP="00843668">
      <w:pPr>
        <w:pBdr>
          <w:bottom w:val="single" w:sz="6" w:space="1" w:color="auto"/>
        </w:pBdr>
        <w:rPr>
          <w:b/>
          <w:u w:val="single"/>
        </w:rPr>
      </w:pPr>
    </w:p>
    <w:p w:rsidR="00843668" w:rsidRDefault="00843668" w:rsidP="00142233">
      <w:pPr>
        <w:pBdr>
          <w:bottom w:val="single" w:sz="6" w:space="1" w:color="auto"/>
        </w:pBdr>
        <w:jc w:val="center"/>
        <w:rPr>
          <w:b/>
          <w:u w:val="single"/>
        </w:rPr>
      </w:pPr>
    </w:p>
    <w:p w:rsidR="00843668" w:rsidRDefault="00843668" w:rsidP="00142233">
      <w:pPr>
        <w:pBdr>
          <w:bottom w:val="single" w:sz="6" w:space="1" w:color="auto"/>
        </w:pBdr>
        <w:jc w:val="center"/>
        <w:rPr>
          <w:b/>
          <w:u w:val="single"/>
        </w:rPr>
      </w:pPr>
    </w:p>
    <w:p w:rsidR="00843668" w:rsidRDefault="00843668" w:rsidP="00142233">
      <w:pPr>
        <w:pBdr>
          <w:bottom w:val="single" w:sz="6" w:space="1" w:color="auto"/>
        </w:pBdr>
        <w:jc w:val="center"/>
        <w:rPr>
          <w:b/>
          <w:u w:val="single"/>
        </w:rPr>
      </w:pPr>
    </w:p>
    <w:p w:rsidR="00843668" w:rsidRDefault="00843668" w:rsidP="00142233">
      <w:pPr>
        <w:pBdr>
          <w:bottom w:val="single" w:sz="6" w:space="1" w:color="auto"/>
        </w:pBdr>
        <w:jc w:val="center"/>
        <w:rPr>
          <w:b/>
          <w:u w:val="single"/>
        </w:rPr>
      </w:pPr>
    </w:p>
    <w:p w:rsidR="00843668" w:rsidRDefault="00843668" w:rsidP="00142233">
      <w:pPr>
        <w:pBdr>
          <w:bottom w:val="single" w:sz="6" w:space="1" w:color="auto"/>
        </w:pBdr>
        <w:jc w:val="center"/>
        <w:rPr>
          <w:b/>
          <w:u w:val="single"/>
        </w:rPr>
      </w:pPr>
    </w:p>
    <w:p w:rsidR="00843668" w:rsidRDefault="00843668" w:rsidP="00142233">
      <w:pPr>
        <w:pBdr>
          <w:bottom w:val="single" w:sz="6" w:space="1" w:color="auto"/>
        </w:pBdr>
        <w:jc w:val="center"/>
        <w:rPr>
          <w:b/>
          <w:u w:val="single"/>
        </w:rPr>
      </w:pPr>
    </w:p>
    <w:p w:rsidR="00933F90" w:rsidRDefault="00142233" w:rsidP="00142233">
      <w:pPr>
        <w:pBdr>
          <w:bottom w:val="single" w:sz="6" w:space="1" w:color="auto"/>
        </w:pBdr>
        <w:jc w:val="center"/>
        <w:rPr>
          <w:b/>
          <w:u w:val="single"/>
        </w:rPr>
      </w:pPr>
      <w:r w:rsidRPr="00142233">
        <w:rPr>
          <w:b/>
          <w:u w:val="single"/>
        </w:rPr>
        <w:t>Annexures</w:t>
      </w:r>
      <w:r w:rsidR="00CD4686">
        <w:rPr>
          <w:b/>
          <w:u w:val="single"/>
        </w:rPr>
        <w:t xml:space="preserve">  to Part 1</w:t>
      </w:r>
      <w:r w:rsidR="009C0D3C">
        <w:rPr>
          <w:b/>
          <w:u w:val="single"/>
        </w:rPr>
        <w:t xml:space="preserve"> of</w:t>
      </w:r>
      <w:r w:rsidR="00CA3F9C">
        <w:rPr>
          <w:b/>
          <w:u w:val="single"/>
        </w:rPr>
        <w:t xml:space="preserve"> “</w:t>
      </w:r>
      <w:r w:rsidR="009C0D3C">
        <w:rPr>
          <w:b/>
          <w:u w:val="single"/>
        </w:rPr>
        <w:t>Land Acquisition beyond the perimeter of the Rule of Law”</w:t>
      </w:r>
    </w:p>
    <w:p w:rsidR="00142233" w:rsidRDefault="00142233" w:rsidP="00142233">
      <w:pPr>
        <w:jc w:val="center"/>
        <w:rPr>
          <w:b/>
          <w:u w:val="single"/>
        </w:rPr>
      </w:pPr>
    </w:p>
    <w:p w:rsidR="00142233" w:rsidRDefault="00142233" w:rsidP="00142233">
      <w:pPr>
        <w:pStyle w:val="ListParagraph"/>
        <w:jc w:val="center"/>
        <w:rPr>
          <w:rFonts w:ascii="Helvetica" w:hAnsi="Helvetica" w:cs="Helvetica"/>
          <w:b/>
          <w:color w:val="101010"/>
          <w:sz w:val="36"/>
          <w:szCs w:val="36"/>
          <w:u w:val="single"/>
          <w:shd w:val="clear" w:color="auto" w:fill="FFFFFF"/>
        </w:rPr>
      </w:pPr>
      <w:r w:rsidRPr="00FC0426">
        <w:rPr>
          <w:rFonts w:ascii="Helvetica" w:hAnsi="Helvetica" w:cs="Helvetica"/>
          <w:b/>
          <w:color w:val="101010"/>
          <w:sz w:val="36"/>
          <w:szCs w:val="36"/>
          <w:u w:val="single"/>
          <w:shd w:val="clear" w:color="auto" w:fill="FFFFFF"/>
        </w:rPr>
        <w:t>Annexure 1</w:t>
      </w:r>
    </w:p>
    <w:p w:rsidR="00142233" w:rsidRPr="00FC0426" w:rsidRDefault="00142233" w:rsidP="00142233">
      <w:pPr>
        <w:pStyle w:val="ListParagraph"/>
        <w:rPr>
          <w:rFonts w:ascii="Helvetica" w:hAnsi="Helvetica" w:cs="Helvetica"/>
          <w:color w:val="101010"/>
          <w:sz w:val="20"/>
          <w:szCs w:val="20"/>
          <w:u w:val="single"/>
          <w:shd w:val="clear" w:color="auto" w:fill="FFFFFF"/>
        </w:rPr>
      </w:pPr>
      <w:r w:rsidRPr="00FC0426">
        <w:rPr>
          <w:rFonts w:ascii="Helvetica" w:hAnsi="Helvetica" w:cs="Helvetica"/>
          <w:color w:val="101010"/>
          <w:sz w:val="20"/>
          <w:szCs w:val="20"/>
          <w:u w:val="single"/>
          <w:shd w:val="clear" w:color="auto" w:fill="FFFFFF"/>
        </w:rPr>
        <w:t>Relevant Tamilnadu Registration Rules, 1949 framed under sec.69 of the Registration Act, 1908</w:t>
      </w:r>
    </w:p>
    <w:p w:rsidR="00142233" w:rsidRDefault="00142233" w:rsidP="00142233">
      <w:pPr>
        <w:pStyle w:val="ListParagraph"/>
        <w:rPr>
          <w:rFonts w:ascii="Helvetica" w:hAnsi="Helvetica" w:cs="Helvetica"/>
          <w:color w:val="101010"/>
          <w:sz w:val="24"/>
          <w:szCs w:val="24"/>
          <w:shd w:val="clear" w:color="auto" w:fill="FFFFFF"/>
        </w:rPr>
      </w:pPr>
    </w:p>
    <w:p w:rsidR="00142233" w:rsidRDefault="00142233" w:rsidP="00142233">
      <w:pPr>
        <w:rPr>
          <w:color w:val="000000"/>
          <w:sz w:val="35"/>
          <w:szCs w:val="35"/>
          <w:shd w:val="clear" w:color="auto" w:fill="FFFFFF"/>
        </w:rPr>
      </w:pPr>
      <w:r>
        <w:rPr>
          <w:color w:val="000000"/>
          <w:sz w:val="35"/>
          <w:szCs w:val="35"/>
          <w:shd w:val="clear" w:color="auto" w:fill="FFFFFF"/>
        </w:rPr>
        <w:t>Following sections 88(2) and 69(gg), IGR, Madras State, made    the following rules in 1949:</w:t>
      </w:r>
    </w:p>
    <w:p w:rsidR="00142233" w:rsidRDefault="00142233" w:rsidP="00142233">
      <w:pPr>
        <w:rPr>
          <w:color w:val="000000"/>
          <w:sz w:val="35"/>
          <w:szCs w:val="35"/>
          <w:shd w:val="clear" w:color="auto" w:fill="FFFFFF"/>
        </w:rPr>
      </w:pPr>
      <w:r w:rsidRPr="002E756D">
        <w:rPr>
          <w:color w:val="000000"/>
          <w:sz w:val="35"/>
          <w:szCs w:val="35"/>
          <w:u w:val="single"/>
          <w:shd w:val="clear" w:color="auto" w:fill="FFFFFF"/>
        </w:rPr>
        <w:t>Rule 11(i):</w:t>
      </w:r>
      <w:r>
        <w:rPr>
          <w:color w:val="000000"/>
          <w:sz w:val="35"/>
          <w:szCs w:val="35"/>
          <w:shd w:val="clear" w:color="auto" w:fill="FFFFFF"/>
        </w:rPr>
        <w:t xml:space="preserve"> A file book shall be maintained in each Registration office corresponding with Book1. In this </w:t>
      </w:r>
      <w:r w:rsidRPr="002E756D">
        <w:rPr>
          <w:b/>
          <w:color w:val="000000"/>
          <w:sz w:val="35"/>
          <w:szCs w:val="35"/>
          <w:u w:val="single"/>
          <w:shd w:val="clear" w:color="auto" w:fill="FFFFFF"/>
        </w:rPr>
        <w:t>shall be filed</w:t>
      </w:r>
      <w:r>
        <w:rPr>
          <w:color w:val="000000"/>
          <w:sz w:val="35"/>
          <w:szCs w:val="35"/>
          <w:shd w:val="clear" w:color="auto" w:fill="FFFFFF"/>
        </w:rPr>
        <w:t xml:space="preserve"> </w:t>
      </w:r>
    </w:p>
    <w:p w:rsidR="00142233" w:rsidRDefault="00142233" w:rsidP="00142233">
      <w:pPr>
        <w:rPr>
          <w:b/>
          <w:color w:val="000000"/>
          <w:sz w:val="35"/>
          <w:szCs w:val="35"/>
          <w:u w:val="single"/>
          <w:shd w:val="clear" w:color="auto" w:fill="FFFFFF"/>
        </w:rPr>
      </w:pPr>
      <w:r>
        <w:rPr>
          <w:color w:val="000000"/>
          <w:sz w:val="35"/>
          <w:szCs w:val="35"/>
          <w:shd w:val="clear" w:color="auto" w:fill="FFFFFF"/>
        </w:rPr>
        <w:t xml:space="preserve">(d) </w:t>
      </w:r>
      <w:r w:rsidRPr="002E756D">
        <w:rPr>
          <w:b/>
          <w:color w:val="000000"/>
          <w:sz w:val="35"/>
          <w:szCs w:val="35"/>
          <w:u w:val="single"/>
          <w:shd w:val="clear" w:color="auto" w:fill="FFFFFF"/>
        </w:rPr>
        <w:t>returns of lands acquired under the Land Acquisition Act</w:t>
      </w:r>
    </w:p>
    <w:p w:rsidR="00142233" w:rsidRDefault="00142233" w:rsidP="00142233">
      <w:pPr>
        <w:rPr>
          <w:color w:val="000000"/>
          <w:sz w:val="35"/>
          <w:szCs w:val="35"/>
          <w:shd w:val="clear" w:color="auto" w:fill="FFFFFF"/>
        </w:rPr>
      </w:pPr>
      <w:r w:rsidRPr="002E756D">
        <w:rPr>
          <w:b/>
          <w:color w:val="000000"/>
          <w:sz w:val="35"/>
          <w:szCs w:val="35"/>
          <w:u w:val="single"/>
          <w:shd w:val="clear" w:color="auto" w:fill="FFFFFF"/>
        </w:rPr>
        <w:t>Rule 21(ii)</w:t>
      </w:r>
      <w:r>
        <w:rPr>
          <w:b/>
          <w:color w:val="000000"/>
          <w:sz w:val="35"/>
          <w:szCs w:val="35"/>
          <w:u w:val="single"/>
          <w:shd w:val="clear" w:color="auto" w:fill="FFFFFF"/>
        </w:rPr>
        <w:t xml:space="preserve"> </w:t>
      </w:r>
      <w:r>
        <w:rPr>
          <w:color w:val="000000"/>
          <w:sz w:val="35"/>
          <w:szCs w:val="35"/>
          <w:shd w:val="clear" w:color="auto" w:fill="FFFFFF"/>
        </w:rPr>
        <w:t xml:space="preserve">:A document referred to in </w:t>
      </w:r>
      <w:r w:rsidRPr="002E756D">
        <w:rPr>
          <w:color w:val="000000"/>
          <w:sz w:val="35"/>
          <w:szCs w:val="35"/>
          <w:u w:val="single"/>
          <w:shd w:val="clear" w:color="auto" w:fill="FFFFFF"/>
        </w:rPr>
        <w:t>sec.88(2)</w:t>
      </w:r>
      <w:r>
        <w:rPr>
          <w:color w:val="000000"/>
          <w:sz w:val="35"/>
          <w:szCs w:val="35"/>
          <w:shd w:val="clear" w:color="auto" w:fill="FFFFFF"/>
        </w:rPr>
        <w:t xml:space="preserve"> may be presented through a messenger with a covering letter signed by the Government Officer or other person concerned referred to in sec.(1) of the Act.</w:t>
      </w:r>
    </w:p>
    <w:p w:rsidR="00142233" w:rsidRDefault="00142233" w:rsidP="00142233">
      <w:pPr>
        <w:rPr>
          <w:color w:val="000000"/>
          <w:sz w:val="35"/>
          <w:szCs w:val="35"/>
          <w:shd w:val="clear" w:color="auto" w:fill="FFFFFF"/>
        </w:rPr>
      </w:pPr>
      <w:r w:rsidRPr="009146EC">
        <w:rPr>
          <w:b/>
          <w:color w:val="000000"/>
          <w:sz w:val="35"/>
          <w:szCs w:val="35"/>
          <w:u w:val="single"/>
          <w:shd w:val="clear" w:color="auto" w:fill="FFFFFF"/>
        </w:rPr>
        <w:t>Rule 21(iii)</w:t>
      </w:r>
      <w:r>
        <w:rPr>
          <w:color w:val="000000"/>
          <w:sz w:val="35"/>
          <w:szCs w:val="35"/>
          <w:shd w:val="clear" w:color="auto" w:fill="FFFFFF"/>
        </w:rPr>
        <w:t xml:space="preserve"> A document shall not be accepted if transmitted by post.</w:t>
      </w:r>
    </w:p>
    <w:p w:rsidR="00142233" w:rsidRDefault="00142233" w:rsidP="00142233">
      <w:pPr>
        <w:rPr>
          <w:color w:val="000000"/>
          <w:sz w:val="35"/>
          <w:szCs w:val="35"/>
          <w:shd w:val="clear" w:color="auto" w:fill="FFFFFF"/>
        </w:rPr>
      </w:pPr>
      <w:r w:rsidRPr="009146EC">
        <w:rPr>
          <w:b/>
          <w:color w:val="000000"/>
          <w:sz w:val="35"/>
          <w:szCs w:val="35"/>
          <w:u w:val="single"/>
          <w:shd w:val="clear" w:color="auto" w:fill="FFFFFF"/>
        </w:rPr>
        <w:lastRenderedPageBreak/>
        <w:t>Rule 90(ii):</w:t>
      </w:r>
      <w:r>
        <w:rPr>
          <w:color w:val="000000"/>
          <w:sz w:val="35"/>
          <w:szCs w:val="35"/>
          <w:shd w:val="clear" w:color="auto" w:fill="FFFFFF"/>
        </w:rPr>
        <w:t xml:space="preserve"> The endorsement of presentation made on a document presented under rule 21(ii) shall mention the number and date of the covering letter with which it is presented and the designation of the Government Officer or other person concerned.</w:t>
      </w:r>
    </w:p>
    <w:p w:rsidR="00142233" w:rsidRDefault="00142233" w:rsidP="00142233">
      <w:pPr>
        <w:rPr>
          <w:color w:val="000000"/>
          <w:sz w:val="35"/>
          <w:szCs w:val="35"/>
          <w:shd w:val="clear" w:color="auto" w:fill="FFFFFF"/>
        </w:rPr>
      </w:pPr>
      <w:r w:rsidRPr="009146EC">
        <w:rPr>
          <w:b/>
          <w:color w:val="000000"/>
          <w:sz w:val="35"/>
          <w:szCs w:val="35"/>
          <w:u w:val="single"/>
          <w:shd w:val="clear" w:color="auto" w:fill="FFFFFF"/>
        </w:rPr>
        <w:t>Rule 114(ix):</w:t>
      </w:r>
      <w:r>
        <w:rPr>
          <w:color w:val="000000"/>
          <w:sz w:val="35"/>
          <w:szCs w:val="35"/>
          <w:shd w:val="clear" w:color="auto" w:fill="FFFFFF"/>
        </w:rPr>
        <w:t xml:space="preserve"> When a document is registered under this rule, a note of its registration in the file book shall be entered in the register book in which it would otherwise have been registered. This No. …….. filed in the book….. volume….</w:t>
      </w:r>
    </w:p>
    <w:p w:rsidR="00142233" w:rsidRDefault="00142233" w:rsidP="00142233">
      <w:pPr>
        <w:rPr>
          <w:color w:val="000000"/>
          <w:sz w:val="35"/>
          <w:szCs w:val="35"/>
          <w:shd w:val="clear" w:color="auto" w:fill="FFFFFF"/>
        </w:rPr>
      </w:pPr>
      <w:r w:rsidRPr="009146EC">
        <w:rPr>
          <w:color w:val="000000"/>
          <w:sz w:val="35"/>
          <w:szCs w:val="35"/>
          <w:u w:val="single"/>
          <w:shd w:val="clear" w:color="auto" w:fill="FFFFFF"/>
        </w:rPr>
        <w:t>Rule 116-A</w:t>
      </w:r>
      <w:r>
        <w:rPr>
          <w:color w:val="000000"/>
          <w:sz w:val="35"/>
          <w:szCs w:val="35"/>
          <w:shd w:val="clear" w:color="auto" w:fill="FFFFFF"/>
        </w:rPr>
        <w:t xml:space="preserve">: On the Registration of a document, which revokes, or cancels or rectifies an error in or modifies the terms of a document previously registered in the same class of register book or of a </w:t>
      </w:r>
      <w:r w:rsidRPr="004D1DCE">
        <w:rPr>
          <w:b/>
          <w:color w:val="000000"/>
          <w:sz w:val="35"/>
          <w:szCs w:val="35"/>
          <w:u w:val="single"/>
          <w:shd w:val="clear" w:color="auto" w:fill="FFFFFF"/>
        </w:rPr>
        <w:t>Return of lands acquired under the Land Acquisition</w:t>
      </w:r>
      <w:r>
        <w:rPr>
          <w:color w:val="000000"/>
          <w:sz w:val="35"/>
          <w:szCs w:val="35"/>
          <w:shd w:val="clear" w:color="auto" w:fill="FFFFFF"/>
        </w:rPr>
        <w:t xml:space="preserve"> </w:t>
      </w:r>
      <w:r w:rsidRPr="004D1DCE">
        <w:rPr>
          <w:b/>
          <w:color w:val="000000"/>
          <w:sz w:val="35"/>
          <w:szCs w:val="35"/>
          <w:u w:val="single"/>
          <w:shd w:val="clear" w:color="auto" w:fill="FFFFFF"/>
        </w:rPr>
        <w:t>Act</w:t>
      </w:r>
      <w:r>
        <w:rPr>
          <w:color w:val="000000"/>
          <w:sz w:val="35"/>
          <w:szCs w:val="35"/>
          <w:shd w:val="clear" w:color="auto" w:fill="FFFFFF"/>
        </w:rPr>
        <w:t>……. A note shall be entered at the foot of the entry of the later document or communication under:</w:t>
      </w:r>
    </w:p>
    <w:p w:rsidR="00142233" w:rsidRDefault="00142233" w:rsidP="00142233">
      <w:pPr>
        <w:rPr>
          <w:color w:val="000000"/>
          <w:sz w:val="35"/>
          <w:szCs w:val="35"/>
          <w:shd w:val="clear" w:color="auto" w:fill="FFFFFF"/>
        </w:rPr>
      </w:pPr>
      <w:r>
        <w:rPr>
          <w:color w:val="000000"/>
          <w:sz w:val="35"/>
          <w:szCs w:val="35"/>
          <w:shd w:val="clear" w:color="auto" w:fill="FFFFFF"/>
        </w:rPr>
        <w:t>“This document/ communication revokes(cancels, rectifies or modifies) the  document No…. or 19… copied/filed/the return filed at pages….. volume….. Of book/File Book1” and</w:t>
      </w:r>
    </w:p>
    <w:p w:rsidR="00142233" w:rsidRPr="00F562D8" w:rsidRDefault="00142233" w:rsidP="00142233">
      <w:pPr>
        <w:rPr>
          <w:color w:val="000000"/>
          <w:sz w:val="35"/>
          <w:szCs w:val="35"/>
          <w:u w:val="single"/>
          <w:shd w:val="clear" w:color="auto" w:fill="FFFFFF"/>
        </w:rPr>
      </w:pPr>
      <w:r w:rsidRPr="00F562D8">
        <w:rPr>
          <w:color w:val="000000"/>
          <w:sz w:val="35"/>
          <w:szCs w:val="35"/>
          <w:u w:val="single"/>
          <w:shd w:val="clear" w:color="auto" w:fill="FFFFFF"/>
        </w:rPr>
        <w:t>At the foot of the previous entry of the document previously registered or filed a note shall be entered as shown below:-</w:t>
      </w:r>
    </w:p>
    <w:p w:rsidR="00142233" w:rsidRDefault="00142233" w:rsidP="00142233">
      <w:pPr>
        <w:rPr>
          <w:color w:val="000000"/>
          <w:sz w:val="35"/>
          <w:szCs w:val="35"/>
          <w:u w:val="single"/>
          <w:shd w:val="clear" w:color="auto" w:fill="FFFFFF"/>
        </w:rPr>
      </w:pPr>
      <w:r w:rsidRPr="00F562D8">
        <w:rPr>
          <w:color w:val="000000"/>
          <w:sz w:val="35"/>
          <w:szCs w:val="35"/>
          <w:u w:val="single"/>
          <w:shd w:val="clear" w:color="auto" w:fill="FFFFFF"/>
        </w:rPr>
        <w:t>“This document/return has been revoked(cancelled, rectified or modified) by document No….of 19… copied/document filed/ the return filed at pages volume….of book/File Book/File Book1”</w:t>
      </w:r>
    </w:p>
    <w:p w:rsidR="00142233" w:rsidRDefault="00142233" w:rsidP="00142233">
      <w:pPr>
        <w:rPr>
          <w:color w:val="000000"/>
          <w:sz w:val="35"/>
          <w:szCs w:val="35"/>
          <w:shd w:val="clear" w:color="auto" w:fill="FFFFFF"/>
        </w:rPr>
      </w:pPr>
      <w:r w:rsidRPr="00F562D8">
        <w:rPr>
          <w:color w:val="000000"/>
          <w:sz w:val="35"/>
          <w:szCs w:val="35"/>
          <w:shd w:val="clear" w:color="auto" w:fill="FFFFFF"/>
        </w:rPr>
        <w:lastRenderedPageBreak/>
        <w:t>(b)</w:t>
      </w:r>
      <w:r>
        <w:rPr>
          <w:color w:val="000000"/>
          <w:sz w:val="35"/>
          <w:szCs w:val="35"/>
          <w:shd w:val="clear" w:color="auto" w:fill="FFFFFF"/>
        </w:rPr>
        <w:t xml:space="preserve"> when the revocation, cancellation, rectification or modification is of a document relating to immovable property, a corresponding note shall be entered in Index No.1 and when it relates to the rectification of any particulars entered in Index I,II,III or IV, a note of rectification shall also be entered in the respective index against the particular item rectified.</w:t>
      </w:r>
    </w:p>
    <w:p w:rsidR="00142233" w:rsidRDefault="00142233" w:rsidP="00142233">
      <w:pPr>
        <w:rPr>
          <w:color w:val="000000"/>
          <w:sz w:val="35"/>
          <w:szCs w:val="35"/>
          <w:shd w:val="clear" w:color="auto" w:fill="FFFFFF"/>
        </w:rPr>
      </w:pPr>
      <w:r w:rsidRPr="002B0D33">
        <w:rPr>
          <w:b/>
          <w:color w:val="000000"/>
          <w:sz w:val="96"/>
          <w:szCs w:val="96"/>
          <w:u w:val="single"/>
          <w:shd w:val="clear" w:color="auto" w:fill="FFFFFF"/>
        </w:rPr>
        <w:t>Rule 143</w:t>
      </w:r>
      <w:r w:rsidRPr="007B433B">
        <w:rPr>
          <w:b/>
          <w:color w:val="000000"/>
          <w:sz w:val="35"/>
          <w:szCs w:val="35"/>
          <w:u w:val="single"/>
          <w:shd w:val="clear" w:color="auto" w:fill="FFFFFF"/>
        </w:rPr>
        <w:t>: A certificate of encumbrance shall contain a complete list  of all acts and encumbrances affecting the property in question.</w:t>
      </w:r>
    </w:p>
    <w:p w:rsidR="00142233" w:rsidRDefault="00142233" w:rsidP="00142233">
      <w:pPr>
        <w:rPr>
          <w:color w:val="000000"/>
          <w:sz w:val="35"/>
          <w:szCs w:val="35"/>
          <w:shd w:val="clear" w:color="auto" w:fill="FFFFFF"/>
        </w:rPr>
      </w:pPr>
      <w:r>
        <w:rPr>
          <w:color w:val="000000"/>
          <w:sz w:val="35"/>
          <w:szCs w:val="35"/>
          <w:shd w:val="clear" w:color="auto" w:fill="FFFFFF"/>
        </w:rPr>
        <w:t>TN Registration Department Standing Orders:</w:t>
      </w:r>
    </w:p>
    <w:p w:rsidR="00142233" w:rsidRDefault="00142233" w:rsidP="00142233">
      <w:pPr>
        <w:rPr>
          <w:color w:val="000000"/>
          <w:sz w:val="35"/>
          <w:szCs w:val="35"/>
          <w:shd w:val="clear" w:color="auto" w:fill="FFFFFF"/>
        </w:rPr>
      </w:pPr>
      <w:r w:rsidRPr="009146EC">
        <w:rPr>
          <w:b/>
          <w:color w:val="000000"/>
          <w:sz w:val="35"/>
          <w:szCs w:val="35"/>
          <w:u w:val="single"/>
          <w:shd w:val="clear" w:color="auto" w:fill="FFFFFF"/>
        </w:rPr>
        <w:t>902</w:t>
      </w:r>
      <w:r>
        <w:rPr>
          <w:color w:val="000000"/>
          <w:sz w:val="35"/>
          <w:szCs w:val="35"/>
          <w:shd w:val="clear" w:color="auto" w:fill="FFFFFF"/>
        </w:rPr>
        <w:t>- notes under 116(a) to be signed by the Registering Officer.</w:t>
      </w:r>
    </w:p>
    <w:p w:rsidR="00142233" w:rsidRDefault="00142233" w:rsidP="00142233">
      <w:pPr>
        <w:rPr>
          <w:color w:val="000000"/>
          <w:sz w:val="35"/>
          <w:szCs w:val="35"/>
          <w:u w:val="single"/>
          <w:shd w:val="clear" w:color="auto" w:fill="FFFFFF"/>
        </w:rPr>
      </w:pPr>
      <w:r w:rsidRPr="009146EC">
        <w:rPr>
          <w:b/>
          <w:color w:val="000000"/>
          <w:sz w:val="35"/>
          <w:szCs w:val="35"/>
          <w:u w:val="single"/>
          <w:shd w:val="clear" w:color="auto" w:fill="FFFFFF"/>
        </w:rPr>
        <w:t>917</w:t>
      </w:r>
      <w:r w:rsidRPr="00224748">
        <w:rPr>
          <w:color w:val="000000"/>
          <w:sz w:val="35"/>
          <w:szCs w:val="35"/>
          <w:u w:val="single"/>
          <w:shd w:val="clear" w:color="auto" w:fill="FFFFFF"/>
        </w:rPr>
        <w:t>- to take special care in preparing indexes because they are the only guide for tracing documents and encumbrances affecting title to property.</w:t>
      </w:r>
    </w:p>
    <w:p w:rsidR="00142233" w:rsidRDefault="00142233" w:rsidP="00142233">
      <w:pPr>
        <w:rPr>
          <w:color w:val="000000"/>
          <w:sz w:val="35"/>
          <w:szCs w:val="35"/>
          <w:shd w:val="clear" w:color="auto" w:fill="FFFFFF"/>
        </w:rPr>
      </w:pPr>
      <w:r w:rsidRPr="009146EC">
        <w:rPr>
          <w:b/>
          <w:color w:val="000000"/>
          <w:sz w:val="35"/>
          <w:szCs w:val="35"/>
          <w:u w:val="single"/>
          <w:shd w:val="clear" w:color="auto" w:fill="FFFFFF"/>
        </w:rPr>
        <w:t>918(a)</w:t>
      </w:r>
      <w:r>
        <w:rPr>
          <w:color w:val="000000"/>
          <w:sz w:val="35"/>
          <w:szCs w:val="35"/>
          <w:shd w:val="clear" w:color="auto" w:fill="FFFFFF"/>
        </w:rPr>
        <w:t xml:space="preserve"> document to be indexed as soon as it is filed in a register.</w:t>
      </w:r>
    </w:p>
    <w:p w:rsidR="00142233" w:rsidRDefault="00142233" w:rsidP="00142233">
      <w:pPr>
        <w:rPr>
          <w:color w:val="000000"/>
          <w:sz w:val="35"/>
          <w:szCs w:val="35"/>
          <w:shd w:val="clear" w:color="auto" w:fill="FFFFFF"/>
        </w:rPr>
      </w:pPr>
      <w:r w:rsidRPr="00732657">
        <w:rPr>
          <w:b/>
          <w:color w:val="000000"/>
          <w:sz w:val="35"/>
          <w:szCs w:val="35"/>
          <w:u w:val="single"/>
          <w:shd w:val="clear" w:color="auto" w:fill="FFFFFF"/>
        </w:rPr>
        <w:t>927(ii)</w:t>
      </w:r>
      <w:r>
        <w:rPr>
          <w:color w:val="000000"/>
          <w:sz w:val="35"/>
          <w:szCs w:val="35"/>
          <w:shd w:val="clear" w:color="auto" w:fill="FFFFFF"/>
        </w:rPr>
        <w:t>instructions in Rule 116 framed u/s 69 of the Registration Act should be followed in entering the notes regarding the communication.</w:t>
      </w:r>
    </w:p>
    <w:p w:rsidR="00142233" w:rsidRDefault="00142233" w:rsidP="00142233">
      <w:pPr>
        <w:rPr>
          <w:color w:val="000000"/>
          <w:sz w:val="35"/>
          <w:szCs w:val="35"/>
          <w:shd w:val="clear" w:color="auto" w:fill="FFFFFF"/>
        </w:rPr>
      </w:pPr>
      <w:r w:rsidRPr="00732657">
        <w:rPr>
          <w:b/>
          <w:color w:val="000000"/>
          <w:sz w:val="35"/>
          <w:szCs w:val="35"/>
          <w:u w:val="single"/>
          <w:shd w:val="clear" w:color="auto" w:fill="FFFFFF"/>
        </w:rPr>
        <w:t>927(iii)</w:t>
      </w:r>
      <w:r>
        <w:rPr>
          <w:color w:val="000000"/>
          <w:sz w:val="35"/>
          <w:szCs w:val="35"/>
          <w:shd w:val="clear" w:color="auto" w:fill="FFFFFF"/>
        </w:rPr>
        <w:t xml:space="preserve"> Entries relating to these communications in the indexes should also be included in the Encumbrance Certificates issued.</w:t>
      </w:r>
    </w:p>
    <w:p w:rsidR="00142233" w:rsidRDefault="00142233" w:rsidP="00142233">
      <w:pPr>
        <w:rPr>
          <w:color w:val="000000"/>
          <w:sz w:val="35"/>
          <w:szCs w:val="35"/>
          <w:shd w:val="clear" w:color="auto" w:fill="FFFFFF"/>
        </w:rPr>
      </w:pPr>
      <w:r w:rsidRPr="00732657">
        <w:rPr>
          <w:b/>
          <w:color w:val="000000"/>
          <w:sz w:val="35"/>
          <w:szCs w:val="35"/>
          <w:u w:val="single"/>
          <w:shd w:val="clear" w:color="auto" w:fill="FFFFFF"/>
        </w:rPr>
        <w:lastRenderedPageBreak/>
        <w:t>929(p)(ii)</w:t>
      </w:r>
      <w:r w:rsidRPr="0065101D">
        <w:rPr>
          <w:color w:val="000000"/>
          <w:sz w:val="35"/>
          <w:szCs w:val="35"/>
          <w:u w:val="single"/>
          <w:shd w:val="clear" w:color="auto" w:fill="FFFFFF"/>
        </w:rPr>
        <w:t xml:space="preserve"> In the following cases the names of all the persons whose rights are affected by a document( executed by or in favour of Government) </w:t>
      </w:r>
      <w:r w:rsidRPr="0065101D">
        <w:rPr>
          <w:b/>
          <w:color w:val="000000"/>
          <w:sz w:val="35"/>
          <w:szCs w:val="35"/>
          <w:u w:val="single"/>
          <w:shd w:val="clear" w:color="auto" w:fill="FFFFFF"/>
        </w:rPr>
        <w:t>shall be indexed</w:t>
      </w:r>
      <w:r>
        <w:rPr>
          <w:b/>
          <w:color w:val="000000"/>
          <w:sz w:val="35"/>
          <w:szCs w:val="35"/>
          <w:u w:val="single"/>
          <w:shd w:val="clear" w:color="auto" w:fill="FFFFFF"/>
        </w:rPr>
        <w:t xml:space="preserve"> </w:t>
      </w:r>
      <w:r w:rsidRPr="0065101D">
        <w:rPr>
          <w:color w:val="000000"/>
          <w:sz w:val="35"/>
          <w:szCs w:val="35"/>
          <w:shd w:val="clear" w:color="auto" w:fill="FFFFFF"/>
        </w:rPr>
        <w:t>both as claimants and executants.</w:t>
      </w:r>
    </w:p>
    <w:p w:rsidR="00142233" w:rsidRDefault="00142233" w:rsidP="00142233">
      <w:pPr>
        <w:rPr>
          <w:b/>
          <w:color w:val="000000"/>
          <w:sz w:val="40"/>
          <w:szCs w:val="40"/>
          <w:u w:val="single"/>
          <w:shd w:val="clear" w:color="auto" w:fill="FFFFFF"/>
        </w:rPr>
      </w:pPr>
      <w:r w:rsidRPr="00610226">
        <w:rPr>
          <w:b/>
          <w:color w:val="000000"/>
          <w:sz w:val="40"/>
          <w:szCs w:val="40"/>
          <w:u w:val="single"/>
          <w:shd w:val="clear" w:color="auto" w:fill="FFFFFF"/>
        </w:rPr>
        <w:t>929(p)(i)(2) an award under the Land Acquisition Act</w:t>
      </w:r>
      <w:r>
        <w:rPr>
          <w:b/>
          <w:color w:val="000000"/>
          <w:sz w:val="40"/>
          <w:szCs w:val="40"/>
          <w:u w:val="single"/>
          <w:shd w:val="clear" w:color="auto" w:fill="FFFFFF"/>
        </w:rPr>
        <w:t>;</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929(p)(ii)</w:t>
      </w:r>
      <w:r w:rsidRPr="00230F5D">
        <w:rPr>
          <w:color w:val="000000"/>
          <w:sz w:val="32"/>
          <w:szCs w:val="32"/>
          <w:shd w:val="clear" w:color="auto" w:fill="FFFFFF"/>
        </w:rPr>
        <w:t xml:space="preserve"> the designation of the Court or the collector </w:t>
      </w:r>
      <w:r>
        <w:rPr>
          <w:color w:val="000000"/>
          <w:sz w:val="32"/>
          <w:szCs w:val="32"/>
          <w:shd w:val="clear" w:color="auto" w:fill="FFFFFF"/>
        </w:rPr>
        <w:t>or Revenue or other Officer shall be indexed as executants.</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929(p)(iii)</w:t>
      </w:r>
      <w:r>
        <w:rPr>
          <w:color w:val="000000"/>
          <w:sz w:val="32"/>
          <w:szCs w:val="32"/>
          <w:shd w:val="clear" w:color="auto" w:fill="FFFFFF"/>
        </w:rPr>
        <w:t xml:space="preserve"> in the case of awards under the L A Act, the name of the person or body or the Department of Government ( and not simply “Government(Arasu)” for whose benefit the lands may be acquired </w:t>
      </w:r>
      <w:r w:rsidRPr="00484C56">
        <w:rPr>
          <w:color w:val="000000"/>
          <w:sz w:val="32"/>
          <w:szCs w:val="32"/>
          <w:u w:val="single"/>
          <w:shd w:val="clear" w:color="auto" w:fill="FFFFFF"/>
        </w:rPr>
        <w:t>shall be indexed</w:t>
      </w:r>
      <w:r>
        <w:rPr>
          <w:color w:val="000000"/>
          <w:sz w:val="32"/>
          <w:szCs w:val="32"/>
          <w:shd w:val="clear" w:color="auto" w:fill="FFFFFF"/>
        </w:rPr>
        <w:t xml:space="preserve"> as claimant.</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929(p)(iv)</w:t>
      </w:r>
      <w:r>
        <w:rPr>
          <w:color w:val="000000"/>
          <w:sz w:val="32"/>
          <w:szCs w:val="32"/>
          <w:shd w:val="clear" w:color="auto" w:fill="FFFFFF"/>
        </w:rPr>
        <w:t>The name of the owner of property affected by an award shall be indexed both as executants and claimants.</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940(a)</w:t>
      </w:r>
      <w:r>
        <w:rPr>
          <w:color w:val="000000"/>
          <w:sz w:val="32"/>
          <w:szCs w:val="32"/>
          <w:shd w:val="clear" w:color="auto" w:fill="FFFFFF"/>
        </w:rPr>
        <w:t xml:space="preserve"> the return to be indexed in the indexes of the year of receipt or the return.</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940(b)</w:t>
      </w:r>
      <w:r>
        <w:rPr>
          <w:color w:val="000000"/>
          <w:sz w:val="32"/>
          <w:szCs w:val="32"/>
          <w:shd w:val="clear" w:color="auto" w:fill="FFFFFF"/>
        </w:rPr>
        <w:t xml:space="preserve"> in the column, date of execution shall be entered the date on which the document was signed.</w:t>
      </w:r>
    </w:p>
    <w:p w:rsidR="00142233" w:rsidRDefault="00142233" w:rsidP="00142233">
      <w:pPr>
        <w:rPr>
          <w:color w:val="000000"/>
          <w:sz w:val="32"/>
          <w:szCs w:val="32"/>
          <w:shd w:val="clear" w:color="auto" w:fill="FFFFFF"/>
        </w:rPr>
      </w:pPr>
      <w:r w:rsidRPr="00732657">
        <w:rPr>
          <w:b/>
          <w:color w:val="000000"/>
          <w:sz w:val="32"/>
          <w:szCs w:val="32"/>
          <w:u w:val="single"/>
          <w:shd w:val="clear" w:color="auto" w:fill="FFFFFF"/>
        </w:rPr>
        <w:t>940(c )</w:t>
      </w:r>
      <w:r>
        <w:rPr>
          <w:color w:val="000000"/>
          <w:sz w:val="32"/>
          <w:szCs w:val="32"/>
          <w:shd w:val="clear" w:color="auto" w:fill="FFFFFF"/>
        </w:rPr>
        <w:t xml:space="preserve"> in the column date of presentation, shall be entered the date of receipt of the document.</w:t>
      </w:r>
    </w:p>
    <w:p w:rsidR="00142233" w:rsidRDefault="00142233" w:rsidP="00142233">
      <w:pPr>
        <w:pBdr>
          <w:bottom w:val="single" w:sz="6" w:space="1" w:color="auto"/>
        </w:pBdr>
        <w:rPr>
          <w:color w:val="000000"/>
          <w:sz w:val="32"/>
          <w:szCs w:val="32"/>
          <w:shd w:val="clear" w:color="auto" w:fill="FFFFFF"/>
        </w:rPr>
      </w:pPr>
      <w:r w:rsidRPr="00732657">
        <w:rPr>
          <w:b/>
          <w:color w:val="000000"/>
          <w:sz w:val="32"/>
          <w:szCs w:val="32"/>
          <w:u w:val="single"/>
          <w:shd w:val="clear" w:color="auto" w:fill="FFFFFF"/>
        </w:rPr>
        <w:t>940(d)</w:t>
      </w:r>
      <w:r>
        <w:rPr>
          <w:color w:val="000000"/>
          <w:sz w:val="32"/>
          <w:szCs w:val="32"/>
          <w:shd w:val="clear" w:color="auto" w:fill="FFFFFF"/>
        </w:rPr>
        <w:t xml:space="preserve"> in the case of an application for a certified copy of a return of land acquired under the Land Acquisition Act referred to in Registration Rule 11(1)(d) relating to several items of properties owned by different individuals, a single search and copying fee shall be levied.</w:t>
      </w:r>
    </w:p>
    <w:p w:rsidR="00EF6D2E" w:rsidRDefault="00EF6D2E" w:rsidP="00EF6D2E">
      <w:pPr>
        <w:pStyle w:val="ListParagraph"/>
        <w:jc w:val="center"/>
        <w:rPr>
          <w:rFonts w:ascii="Helvetica" w:hAnsi="Helvetica" w:cs="Helvetica"/>
          <w:b/>
          <w:color w:val="101010"/>
          <w:sz w:val="36"/>
          <w:szCs w:val="36"/>
          <w:u w:val="single"/>
          <w:shd w:val="clear" w:color="auto" w:fill="FFFFFF"/>
        </w:rPr>
      </w:pPr>
      <w:r>
        <w:rPr>
          <w:rFonts w:ascii="Helvetica" w:hAnsi="Helvetica" w:cs="Helvetica"/>
          <w:b/>
          <w:color w:val="101010"/>
          <w:sz w:val="36"/>
          <w:szCs w:val="36"/>
          <w:u w:val="single"/>
          <w:shd w:val="clear" w:color="auto" w:fill="FFFFFF"/>
        </w:rPr>
        <w:t>Annexure 2</w:t>
      </w:r>
    </w:p>
    <w:tbl>
      <w:tblPr>
        <w:tblW w:w="8977" w:type="dxa"/>
        <w:tblInd w:w="93" w:type="dxa"/>
        <w:tblLook w:val="04A0"/>
      </w:tblPr>
      <w:tblGrid>
        <w:gridCol w:w="1370"/>
        <w:gridCol w:w="1060"/>
        <w:gridCol w:w="933"/>
        <w:gridCol w:w="788"/>
        <w:gridCol w:w="788"/>
        <w:gridCol w:w="836"/>
        <w:gridCol w:w="1139"/>
        <w:gridCol w:w="817"/>
        <w:gridCol w:w="881"/>
        <w:gridCol w:w="720"/>
      </w:tblGrid>
      <w:tr w:rsidR="00EF6D2E" w:rsidRPr="00683D05" w:rsidTr="00F94EBA">
        <w:trPr>
          <w:trHeight w:val="285"/>
        </w:trPr>
        <w:tc>
          <w:tcPr>
            <w:tcW w:w="6797" w:type="dxa"/>
            <w:gridSpan w:val="7"/>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lastRenderedPageBreak/>
              <w:t>Registration Rules framed under sec.69 of the Registration Act, 1908.</w:t>
            </w:r>
          </w:p>
        </w:tc>
        <w:tc>
          <w:tcPr>
            <w:tcW w:w="700"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60"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2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 xml:space="preserve">State/U.T           </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Enacted</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Rule1</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2</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3</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4</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5</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Rule6</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7</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Arial" w:eastAsia="Times New Roman" w:hAnsi="Arial" w:cs="Arial"/>
                <w:color w:val="333333"/>
                <w:sz w:val="23"/>
                <w:szCs w:val="23"/>
              </w:rPr>
            </w:pPr>
            <w:r w:rsidRPr="00683D05">
              <w:rPr>
                <w:rFonts w:ascii="Arial" w:eastAsia="Times New Roman" w:hAnsi="Arial" w:cs="Arial"/>
                <w:color w:val="333333"/>
                <w:sz w:val="23"/>
                <w:szCs w:val="23"/>
              </w:rPr>
              <w:t>Rule 8</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Tamilnadu</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1949</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11(1)(d)</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21(ii)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21(iii)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90(ii)</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114(ix)</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116(a)</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116(b)</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143</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Kerala</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1958</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16(d)</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29(ii)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29(iii)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105(iii)</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127 A(i)(ix)</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138(a)</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138(b)</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171</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Orissa</w:t>
            </w:r>
          </w:p>
        </w:tc>
        <w:tc>
          <w:tcPr>
            <w:tcW w:w="1952" w:type="dxa"/>
            <w:gridSpan w:val="2"/>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same as kerala</w:t>
            </w: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13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0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A.P</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1960</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13(1)(d)</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25(ii)</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93(ii)</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115(ix)</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118(a)</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118(b)</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143</w:t>
            </w:r>
          </w:p>
        </w:tc>
      </w:tr>
      <w:tr w:rsidR="00EF6D2E" w:rsidRPr="00683D05" w:rsidTr="00F94EBA">
        <w:trPr>
          <w:trHeight w:val="300"/>
        </w:trPr>
        <w:tc>
          <w:tcPr>
            <w:tcW w:w="1342"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053"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89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63(ii)</w:t>
            </w: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13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0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Maharashtra</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1961</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10(1)</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39(1)</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32,33</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31(1)</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053"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89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39(3)</w:t>
            </w: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13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0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xml:space="preserve">Gujarat </w:t>
            </w:r>
          </w:p>
        </w:tc>
        <w:tc>
          <w:tcPr>
            <w:tcW w:w="1952" w:type="dxa"/>
            <w:gridSpan w:val="2"/>
            <w:tcBorders>
              <w:top w:val="single" w:sz="4" w:space="0" w:color="auto"/>
              <w:left w:val="single" w:sz="4" w:space="0" w:color="auto"/>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same as Maharashtra</w:t>
            </w:r>
          </w:p>
        </w:tc>
        <w:tc>
          <w:tcPr>
            <w:tcW w:w="788" w:type="dxa"/>
            <w:tcBorders>
              <w:top w:val="nil"/>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1139"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60" w:type="dxa"/>
            <w:tcBorders>
              <w:top w:val="single" w:sz="4" w:space="0" w:color="auto"/>
              <w:left w:val="nil"/>
              <w:bottom w:val="single" w:sz="4" w:space="0" w:color="auto"/>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Karnataka</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1965</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17(1)(b)</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40(ii)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40(iii)</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102(ii)</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123(i)</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123(ii)</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151</w:t>
            </w:r>
          </w:p>
        </w:tc>
      </w:tr>
      <w:tr w:rsidR="00EF6D2E" w:rsidRPr="00683D05" w:rsidTr="00F94EBA">
        <w:trPr>
          <w:trHeight w:val="300"/>
        </w:trPr>
        <w:tc>
          <w:tcPr>
            <w:tcW w:w="1342"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053"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89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204</w:t>
            </w:r>
          </w:p>
        </w:tc>
        <w:tc>
          <w:tcPr>
            <w:tcW w:w="113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0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126(xii)</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Pondicherry</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1969</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12(1)(d)</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23(2)</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23(3)</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90(2)</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112(9)</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114(1)</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11492)</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138</w:t>
            </w:r>
          </w:p>
        </w:tc>
      </w:tr>
      <w:tr w:rsidR="00EF6D2E" w:rsidRPr="00683D05" w:rsidTr="00F94EBA">
        <w:trPr>
          <w:trHeight w:val="300"/>
        </w:trPr>
        <w:tc>
          <w:tcPr>
            <w:tcW w:w="1342"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053"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89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60(3)</w:t>
            </w: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88"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1139"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0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60" w:type="dxa"/>
            <w:tcBorders>
              <w:top w:val="nil"/>
              <w:left w:val="nil"/>
              <w:bottom w:val="nil"/>
              <w:right w:val="nil"/>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M.P</w:t>
            </w:r>
          </w:p>
        </w:tc>
        <w:tc>
          <w:tcPr>
            <w:tcW w:w="1053"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1939</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0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r>
      <w:tr w:rsidR="00EF6D2E" w:rsidRPr="00683D05" w:rsidTr="00F94EBA">
        <w:trPr>
          <w:trHeight w:val="42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Bihar</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2008</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U.P</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1942</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West Bengal</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1962</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xml:space="preserve">Punjab </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1929</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w:t>
            </w:r>
          </w:p>
        </w:tc>
      </w:tr>
      <w:tr w:rsidR="00EF6D2E" w:rsidRPr="00683D05" w:rsidTr="00F94EBA">
        <w:trPr>
          <w:trHeight w:val="300"/>
        </w:trPr>
        <w:tc>
          <w:tcPr>
            <w:tcW w:w="1342" w:type="dxa"/>
            <w:tcBorders>
              <w:top w:val="nil"/>
              <w:left w:val="single" w:sz="4" w:space="0" w:color="auto"/>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Rajasthan</w:t>
            </w:r>
          </w:p>
        </w:tc>
        <w:tc>
          <w:tcPr>
            <w:tcW w:w="1053"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jc w:val="right"/>
              <w:rPr>
                <w:rFonts w:ascii="Calibri" w:eastAsia="Times New Roman" w:hAnsi="Calibri" w:cs="Calibri"/>
                <w:color w:val="000000"/>
              </w:rPr>
            </w:pPr>
            <w:r w:rsidRPr="00683D05">
              <w:rPr>
                <w:rFonts w:ascii="Calibri" w:eastAsia="Times New Roman" w:hAnsi="Calibri" w:cs="Calibri"/>
                <w:color w:val="000000"/>
              </w:rPr>
              <w:t>1955</w:t>
            </w:r>
          </w:p>
        </w:tc>
        <w:tc>
          <w:tcPr>
            <w:tcW w:w="89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88"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1139"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6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EF6D2E" w:rsidRPr="00683D05" w:rsidRDefault="00EF6D2E" w:rsidP="00F94EBA">
            <w:pPr>
              <w:spacing w:after="0" w:line="240" w:lineRule="auto"/>
              <w:rPr>
                <w:rFonts w:ascii="Calibri" w:eastAsia="Times New Roman" w:hAnsi="Calibri" w:cs="Calibri"/>
                <w:color w:val="000000"/>
              </w:rPr>
            </w:pPr>
            <w:r w:rsidRPr="00683D05">
              <w:rPr>
                <w:rFonts w:ascii="Calibri" w:eastAsia="Times New Roman" w:hAnsi="Calibri" w:cs="Calibri"/>
                <w:color w:val="000000"/>
              </w:rPr>
              <w:t> </w:t>
            </w:r>
          </w:p>
        </w:tc>
      </w:tr>
    </w:tbl>
    <w:p w:rsidR="00EF6D2E" w:rsidRDefault="00EF6D2E" w:rsidP="00EF6D2E">
      <w:pPr>
        <w:pStyle w:val="ListParagraph"/>
        <w:pBdr>
          <w:bottom w:val="single" w:sz="6" w:space="1" w:color="auto"/>
        </w:pBdr>
        <w:jc w:val="center"/>
        <w:rPr>
          <w:rFonts w:ascii="Helvetica" w:hAnsi="Helvetica" w:cs="Helvetica"/>
          <w:b/>
          <w:color w:val="101010"/>
          <w:sz w:val="36"/>
          <w:szCs w:val="36"/>
          <w:u w:val="single"/>
          <w:shd w:val="clear" w:color="auto" w:fill="FFFFFF"/>
        </w:rPr>
      </w:pPr>
    </w:p>
    <w:p w:rsidR="00EF6D2E" w:rsidRDefault="00EF6D2E" w:rsidP="00EF6D2E">
      <w:pPr>
        <w:pStyle w:val="ListParagraph"/>
        <w:rPr>
          <w:rFonts w:ascii="Helvetica" w:hAnsi="Helvetica" w:cs="Helvetica"/>
          <w:b/>
          <w:color w:val="101010"/>
          <w:sz w:val="36"/>
          <w:szCs w:val="36"/>
          <w:u w:val="single"/>
          <w:shd w:val="clear" w:color="auto" w:fill="FFFFFF"/>
        </w:rPr>
      </w:pPr>
    </w:p>
    <w:p w:rsidR="00EF6D2E" w:rsidRPr="00EF6D2E" w:rsidRDefault="00EF6D2E" w:rsidP="00EF6D2E">
      <w:pPr>
        <w:pStyle w:val="ListParagraph"/>
        <w:jc w:val="center"/>
        <w:rPr>
          <w:rFonts w:ascii="Helvetica" w:hAnsi="Helvetica" w:cs="Helvetica"/>
          <w:b/>
          <w:color w:val="101010"/>
          <w:sz w:val="36"/>
          <w:szCs w:val="36"/>
          <w:u w:val="single"/>
          <w:shd w:val="clear" w:color="auto" w:fill="FFFFFF"/>
        </w:rPr>
      </w:pPr>
      <w:r>
        <w:rPr>
          <w:rFonts w:ascii="Helvetica" w:hAnsi="Helvetica" w:cs="Helvetica"/>
          <w:b/>
          <w:color w:val="101010"/>
          <w:sz w:val="36"/>
          <w:szCs w:val="36"/>
          <w:u w:val="single"/>
          <w:shd w:val="clear" w:color="auto" w:fill="FFFFFF"/>
        </w:rPr>
        <w:t>Annexure 3</w:t>
      </w:r>
    </w:p>
    <w:p w:rsidR="00142233" w:rsidRDefault="00142233" w:rsidP="00BF7D8E">
      <w:pPr>
        <w:rPr>
          <w:b/>
          <w:u w:val="single"/>
        </w:rPr>
      </w:pPr>
    </w:p>
    <w:p w:rsidR="00BF7D8E" w:rsidRPr="00D00E4B" w:rsidRDefault="00BF7D8E" w:rsidP="00BF7D8E">
      <w:pPr>
        <w:spacing w:after="0" w:line="240" w:lineRule="auto"/>
        <w:jc w:val="center"/>
        <w:rPr>
          <w:rFonts w:ascii="Times New Roman" w:eastAsia="Times New Roman" w:hAnsi="Times New Roman" w:cs="Times New Roman"/>
          <w:b/>
          <w:bCs/>
          <w:color w:val="FFFFFF" w:themeColor="background1"/>
          <w:sz w:val="24"/>
          <w:szCs w:val="24"/>
        </w:rPr>
      </w:pPr>
      <w:r w:rsidRPr="00D00E4B">
        <w:rPr>
          <w:rFonts w:ascii="Times New Roman" w:eastAsia="Times New Roman" w:hAnsi="Times New Roman" w:cs="Times New Roman"/>
          <w:b/>
          <w:bCs/>
          <w:color w:val="FFFFFF" w:themeColor="background1"/>
          <w:sz w:val="24"/>
          <w:szCs w:val="24"/>
        </w:rPr>
        <w:t>Annexure 2</w:t>
      </w:r>
    </w:p>
    <w:p w:rsidR="00BF7D8E" w:rsidRPr="00D00E4B" w:rsidRDefault="00BF7D8E" w:rsidP="00BF7D8E">
      <w:pPr>
        <w:spacing w:after="0" w:line="240" w:lineRule="auto"/>
        <w:jc w:val="both"/>
        <w:rPr>
          <w:rFonts w:ascii="Times New Roman" w:eastAsia="Times New Roman" w:hAnsi="Times New Roman" w:cs="Times New Roman"/>
          <w:b/>
          <w:bCs/>
          <w:sz w:val="24"/>
          <w:szCs w:val="24"/>
        </w:rPr>
      </w:pPr>
      <w:r w:rsidRPr="00D00E4B">
        <w:rPr>
          <w:rFonts w:ascii="Times New Roman" w:eastAsia="Times New Roman" w:hAnsi="Times New Roman" w:cs="Times New Roman"/>
          <w:b/>
          <w:bCs/>
          <w:sz w:val="24"/>
          <w:szCs w:val="24"/>
        </w:rPr>
        <w:t>National Consumer Disputes Redressal Commission</w:t>
      </w:r>
    </w:p>
    <w:p w:rsidR="00BF7D8E" w:rsidRPr="00D00E4B" w:rsidRDefault="00BF7D8E" w:rsidP="00BF7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4"/>
          <w:szCs w:val="24"/>
        </w:rPr>
      </w:pPr>
      <w:r w:rsidRPr="00D00E4B">
        <w:rPr>
          <w:rFonts w:ascii="Courier New" w:eastAsia="Times New Roman" w:hAnsi="Courier New" w:cs="Courier New"/>
          <w:color w:val="000000"/>
          <w:sz w:val="24"/>
          <w:szCs w:val="24"/>
        </w:rPr>
        <w:t xml:space="preserve">REVISION PETITION NO.1444 of 2004 </w:t>
      </w:r>
    </w:p>
    <w:p w:rsidR="00BF7D8E" w:rsidRPr="00D00E4B" w:rsidRDefault="00BF7D8E" w:rsidP="00BF7D8E">
      <w:pPr>
        <w:pStyle w:val="HTMLPreformatted"/>
        <w:spacing w:line="360" w:lineRule="atLeast"/>
        <w:jc w:val="both"/>
        <w:rPr>
          <w:color w:val="000000"/>
          <w:sz w:val="24"/>
          <w:szCs w:val="24"/>
        </w:rPr>
      </w:pPr>
      <w:r w:rsidRPr="00D00E4B">
        <w:rPr>
          <w:color w:val="000000"/>
          <w:sz w:val="24"/>
          <w:szCs w:val="24"/>
        </w:rPr>
        <w:t>Before HON’BLE MR.JUSTICE M.B.SHAH,</w:t>
      </w:r>
    </w:p>
    <w:p w:rsidR="00BF7D8E" w:rsidRPr="00D00E4B" w:rsidRDefault="00BF7D8E" w:rsidP="00BF7D8E">
      <w:pPr>
        <w:spacing w:after="0" w:line="240" w:lineRule="auto"/>
        <w:jc w:val="both"/>
        <w:rPr>
          <w:rFonts w:ascii="Times New Roman" w:eastAsia="Times New Roman" w:hAnsi="Times New Roman" w:cs="Times New Roman"/>
          <w:bCs/>
          <w:color w:val="CDBFAC"/>
          <w:sz w:val="24"/>
          <w:szCs w:val="24"/>
        </w:rPr>
      </w:pPr>
    </w:p>
    <w:p w:rsidR="00BF7D8E" w:rsidRPr="0035235C" w:rsidRDefault="00BF7D8E" w:rsidP="00BF7D8E">
      <w:pPr>
        <w:spacing w:after="150" w:line="240" w:lineRule="auto"/>
        <w:jc w:val="both"/>
        <w:rPr>
          <w:rFonts w:ascii="Times New Roman" w:eastAsia="Times New Roman" w:hAnsi="Times New Roman" w:cs="Times New Roman"/>
          <w:b/>
          <w:bCs/>
          <w:color w:val="000000"/>
          <w:sz w:val="26"/>
          <w:szCs w:val="26"/>
        </w:rPr>
      </w:pPr>
      <w:r w:rsidRPr="0035235C">
        <w:rPr>
          <w:rFonts w:ascii="Times New Roman" w:eastAsia="Times New Roman" w:hAnsi="Times New Roman" w:cs="Times New Roman"/>
          <w:b/>
          <w:bCs/>
          <w:color w:val="000000"/>
          <w:sz w:val="26"/>
          <w:szCs w:val="26"/>
        </w:rPr>
        <w:t>The Joint Sub Registrar vs Tmt. Maragatham on 5 March, 2007</w:t>
      </w:r>
    </w:p>
    <w:p w:rsidR="00BF7D8E" w:rsidRDefault="00BF7D8E" w:rsidP="00BF7D8E">
      <w:pPr>
        <w:pStyle w:val="ListParagraph"/>
        <w:rPr>
          <w:color w:val="000000"/>
          <w:sz w:val="39"/>
          <w:szCs w:val="39"/>
          <w:shd w:val="clear" w:color="auto" w:fill="FFFFFF"/>
        </w:rPr>
      </w:pPr>
      <w:r>
        <w:rPr>
          <w:color w:val="000000"/>
          <w:sz w:val="39"/>
          <w:szCs w:val="39"/>
          <w:shd w:val="clear" w:color="auto" w:fill="FFFFFF"/>
        </w:rPr>
        <w:t xml:space="preserve">“The only question involved in this Revision Petition is: Whether the Joint Sub-Registrar of the District Registrars Office can be proceeded under </w:t>
      </w:r>
      <w:r>
        <w:rPr>
          <w:color w:val="000000"/>
          <w:sz w:val="39"/>
          <w:szCs w:val="39"/>
          <w:shd w:val="clear" w:color="auto" w:fill="FFFFFF"/>
        </w:rPr>
        <w:lastRenderedPageBreak/>
        <w:t>the </w:t>
      </w:r>
      <w:hyperlink r:id="rId8" w:history="1">
        <w:r>
          <w:rPr>
            <w:rStyle w:val="Hyperlink"/>
            <w:color w:val="1100CC"/>
            <w:sz w:val="39"/>
            <w:szCs w:val="39"/>
            <w:shd w:val="clear" w:color="auto" w:fill="FFFFFF"/>
          </w:rPr>
          <w:t>Consumer Protection Act</w:t>
        </w:r>
      </w:hyperlink>
      <w:r>
        <w:rPr>
          <w:color w:val="000000"/>
          <w:sz w:val="39"/>
          <w:szCs w:val="39"/>
          <w:shd w:val="clear" w:color="auto" w:fill="FFFFFF"/>
        </w:rPr>
        <w:t xml:space="preserve">, 1986 for issuing </w:t>
      </w:r>
      <w:r w:rsidRPr="00BC7DC5">
        <w:rPr>
          <w:b/>
          <w:color w:val="000000"/>
          <w:sz w:val="39"/>
          <w:szCs w:val="39"/>
          <w:u w:val="single"/>
          <w:shd w:val="clear" w:color="auto" w:fill="FFFFFF"/>
        </w:rPr>
        <w:t>erroneous encumbrance certificate</w:t>
      </w:r>
      <w:r>
        <w:rPr>
          <w:color w:val="000000"/>
          <w:sz w:val="39"/>
          <w:szCs w:val="39"/>
          <w:shd w:val="clear" w:color="auto" w:fill="FFFFFF"/>
        </w:rPr>
        <w:t xml:space="preserve"> under the Rules framed by the State of Tamil Nadu under </w:t>
      </w:r>
      <w:hyperlink r:id="rId9" w:history="1">
        <w:r>
          <w:rPr>
            <w:rStyle w:val="Hyperlink"/>
            <w:color w:val="1100CC"/>
            <w:sz w:val="39"/>
            <w:szCs w:val="39"/>
            <w:shd w:val="clear" w:color="auto" w:fill="FFFFFF"/>
          </w:rPr>
          <w:t>Registration Act</w:t>
        </w:r>
      </w:hyperlink>
      <w:r>
        <w:rPr>
          <w:color w:val="000000"/>
          <w:sz w:val="39"/>
          <w:szCs w:val="39"/>
          <w:shd w:val="clear" w:color="auto" w:fill="FFFFFF"/>
        </w:rPr>
        <w:t>, 1908?”</w:t>
      </w:r>
    </w:p>
    <w:p w:rsidR="00BF7D8E" w:rsidRPr="00BC7DC5" w:rsidRDefault="00BF7D8E" w:rsidP="00BF7D8E">
      <w:pPr>
        <w:pStyle w:val="ListParagraph"/>
        <w:rPr>
          <w:b/>
          <w:color w:val="000000"/>
          <w:sz w:val="39"/>
          <w:szCs w:val="39"/>
          <w:u w:val="single"/>
          <w:shd w:val="clear" w:color="auto" w:fill="FFFFFF"/>
        </w:rPr>
      </w:pPr>
      <w:r w:rsidRPr="00BC7DC5">
        <w:rPr>
          <w:b/>
          <w:color w:val="000000"/>
          <w:sz w:val="39"/>
          <w:szCs w:val="39"/>
          <w:u w:val="single"/>
          <w:shd w:val="clear" w:color="auto" w:fill="FFFFFF"/>
        </w:rPr>
        <w:t>“For the reasons recorded hereinafter we hold that the Joint Sub-Registrar or concerned officer could be proceeded under the </w:t>
      </w:r>
      <w:hyperlink r:id="rId10" w:history="1">
        <w:r w:rsidRPr="00BC7DC5">
          <w:rPr>
            <w:rStyle w:val="Hyperlink"/>
            <w:b/>
            <w:color w:val="1100CC"/>
            <w:sz w:val="39"/>
            <w:szCs w:val="39"/>
            <w:shd w:val="clear" w:color="auto" w:fill="FFFFFF"/>
          </w:rPr>
          <w:t>Consumer Protection Act</w:t>
        </w:r>
      </w:hyperlink>
      <w:r w:rsidRPr="00BC7DC5">
        <w:rPr>
          <w:b/>
          <w:color w:val="000000"/>
          <w:sz w:val="39"/>
          <w:szCs w:val="39"/>
          <w:u w:val="single"/>
          <w:shd w:val="clear" w:color="auto" w:fill="FFFFFF"/>
        </w:rPr>
        <w:t>, 1986 in case of issuance of encumbrance certificate without noting all the relevant transfers, encumbrances or transactions with regard to immovable property.</w:t>
      </w:r>
      <w:r>
        <w:rPr>
          <w:color w:val="000000"/>
          <w:sz w:val="39"/>
          <w:szCs w:val="39"/>
          <w:shd w:val="clear" w:color="auto" w:fill="FFFFFF"/>
        </w:rPr>
        <w:t xml:space="preserve"> </w:t>
      </w:r>
      <w:r w:rsidRPr="00BC7DC5">
        <w:rPr>
          <w:b/>
          <w:color w:val="000000"/>
          <w:sz w:val="39"/>
          <w:szCs w:val="39"/>
          <w:u w:val="single"/>
          <w:shd w:val="clear" w:color="auto" w:fill="FFFFFF"/>
        </w:rPr>
        <w:t>The reason is erroneous encumbrance certificate seriously prejudice the rights of the parties and increases litigations and disputes with regard to immovable property.”</w:t>
      </w:r>
    </w:p>
    <w:p w:rsidR="00BF7D8E" w:rsidRDefault="00BF7D8E" w:rsidP="00BF7D8E">
      <w:pPr>
        <w:pStyle w:val="ListParagraph"/>
        <w:rPr>
          <w:color w:val="000000"/>
          <w:sz w:val="39"/>
          <w:szCs w:val="39"/>
          <w:shd w:val="clear" w:color="auto" w:fill="FFFFFF"/>
        </w:rPr>
      </w:pPr>
      <w:r w:rsidRPr="00C94B84">
        <w:rPr>
          <w:b/>
          <w:color w:val="000000"/>
          <w:sz w:val="39"/>
          <w:szCs w:val="39"/>
          <w:u w:val="single"/>
          <w:shd w:val="clear" w:color="auto" w:fill="FFFFFF"/>
        </w:rPr>
        <w:t>Lucknow Development Authority Vs. M.K.Gupta (1994) 1 SCC 243.</w:t>
      </w:r>
      <w:r>
        <w:rPr>
          <w:b/>
          <w:color w:val="000000"/>
          <w:sz w:val="39"/>
          <w:szCs w:val="39"/>
          <w:u w:val="single"/>
          <w:shd w:val="clear" w:color="auto" w:fill="FFFFFF"/>
        </w:rPr>
        <w:t xml:space="preserve"> </w:t>
      </w:r>
      <w:r>
        <w:rPr>
          <w:color w:val="000000"/>
          <w:sz w:val="39"/>
          <w:szCs w:val="39"/>
          <w:shd w:val="clear" w:color="auto" w:fill="FFFFFF"/>
        </w:rPr>
        <w:t>:</w:t>
      </w:r>
    </w:p>
    <w:p w:rsidR="00BF7D8E" w:rsidRDefault="00BF7D8E" w:rsidP="00BF7D8E">
      <w:pPr>
        <w:pStyle w:val="ListParagraph"/>
        <w:rPr>
          <w:color w:val="000000"/>
          <w:sz w:val="39"/>
          <w:szCs w:val="39"/>
          <w:shd w:val="clear" w:color="auto" w:fill="FFFFFF"/>
        </w:rPr>
      </w:pPr>
      <w:r>
        <w:rPr>
          <w:color w:val="000000"/>
          <w:sz w:val="39"/>
          <w:szCs w:val="39"/>
          <w:shd w:val="clear" w:color="auto" w:fill="FFFFFF"/>
        </w:rPr>
        <w:t>In the case of Lucknow Development Authority the Court held that even if a person is discharging statutory functions, that would not be a ground for holding that the </w:t>
      </w:r>
      <w:hyperlink r:id="rId11" w:history="1">
        <w:r>
          <w:rPr>
            <w:rStyle w:val="Hyperlink"/>
            <w:color w:val="1100CC"/>
            <w:sz w:val="39"/>
            <w:szCs w:val="39"/>
            <w:shd w:val="clear" w:color="auto" w:fill="FFFFFF"/>
          </w:rPr>
          <w:t>Consumer Protection Act</w:t>
        </w:r>
      </w:hyperlink>
      <w:r>
        <w:rPr>
          <w:color w:val="000000"/>
          <w:sz w:val="39"/>
          <w:szCs w:val="39"/>
          <w:shd w:val="clear" w:color="auto" w:fill="FFFFFF"/>
        </w:rPr>
        <w:t xml:space="preserve">, 1986 is not applicable. The Court has observed : The legislative intention is thus clear to protect a consumer against services rendered even by statutory bodies.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6808D3">
        <w:rPr>
          <w:rFonts w:ascii="Times New Roman" w:eastAsia="Times New Roman" w:hAnsi="Times New Roman" w:cs="Times New Roman"/>
          <w:color w:val="000000"/>
          <w:sz w:val="39"/>
          <w:szCs w:val="39"/>
        </w:rPr>
        <w:lastRenderedPageBreak/>
        <w:t>Hence, the question, in the present case, is to be decided on the basis of the nature of the duty and function, and also whether the performance of such duty or function is a service or facility for consideration.</w:t>
      </w:r>
    </w:p>
    <w:p w:rsidR="00BF7D8E" w:rsidRPr="006808D3" w:rsidRDefault="00BF7D8E" w:rsidP="00BF7D8E">
      <w:pPr>
        <w:spacing w:after="0" w:line="240" w:lineRule="auto"/>
        <w:rPr>
          <w:rFonts w:ascii="Times New Roman" w:eastAsia="Times New Roman" w:hAnsi="Times New Roman" w:cs="Times New Roman"/>
          <w:sz w:val="24"/>
          <w:szCs w:val="24"/>
        </w:rPr>
      </w:pPr>
      <w:r w:rsidRPr="006808D3">
        <w:rPr>
          <w:rFonts w:ascii="Times New Roman" w:eastAsia="Times New Roman" w:hAnsi="Times New Roman" w:cs="Times New Roman"/>
          <w:color w:val="000000"/>
          <w:sz w:val="39"/>
          <w:szCs w:val="39"/>
          <w:shd w:val="clear" w:color="auto" w:fill="FFFFFF"/>
        </w:rPr>
        <w:t>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b/>
          <w:color w:val="000000"/>
          <w:sz w:val="39"/>
          <w:szCs w:val="39"/>
          <w:u w:val="single"/>
        </w:rPr>
      </w:pPr>
      <w:r w:rsidRPr="006808D3">
        <w:rPr>
          <w:rFonts w:ascii="Times New Roman" w:eastAsia="Times New Roman" w:hAnsi="Times New Roman" w:cs="Times New Roman"/>
          <w:color w:val="000000"/>
          <w:sz w:val="39"/>
          <w:szCs w:val="39"/>
        </w:rPr>
        <w:t xml:space="preserve">For deciding this question we would refer to the relevant statutory Rules. The Rules which provide for grant of encumbrance certificate are provided in Chapter 19 of the </w:t>
      </w:r>
      <w:r w:rsidRPr="006808D3">
        <w:rPr>
          <w:rFonts w:ascii="Times New Roman" w:eastAsia="Times New Roman" w:hAnsi="Times New Roman" w:cs="Times New Roman"/>
          <w:b/>
          <w:color w:val="000000"/>
          <w:sz w:val="39"/>
          <w:szCs w:val="39"/>
          <w:u w:val="single"/>
        </w:rPr>
        <w:t>Registration Rules framed by the State of Tamil Nadu.</w:t>
      </w:r>
    </w:p>
    <w:p w:rsidR="00BF7D8E" w:rsidRPr="006808D3" w:rsidRDefault="00BF7D8E" w:rsidP="00BF7D8E">
      <w:pPr>
        <w:spacing w:after="0" w:line="240" w:lineRule="auto"/>
        <w:rPr>
          <w:rFonts w:ascii="Times New Roman" w:eastAsia="Times New Roman" w:hAnsi="Times New Roman" w:cs="Times New Roman"/>
          <w:sz w:val="24"/>
          <w:szCs w:val="24"/>
        </w:rPr>
      </w:pPr>
      <w:r w:rsidRPr="006808D3">
        <w:rPr>
          <w:rFonts w:ascii="Times New Roman" w:eastAsia="Times New Roman" w:hAnsi="Times New Roman" w:cs="Times New Roman"/>
          <w:color w:val="000000"/>
          <w:sz w:val="39"/>
          <w:szCs w:val="39"/>
          <w:shd w:val="clear" w:color="auto" w:fill="FFFFFF"/>
        </w:rPr>
        <w:t>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6808D3">
        <w:rPr>
          <w:rFonts w:ascii="Times New Roman" w:eastAsia="Times New Roman" w:hAnsi="Times New Roman" w:cs="Times New Roman"/>
          <w:b/>
          <w:color w:val="000000"/>
          <w:sz w:val="96"/>
          <w:szCs w:val="96"/>
          <w:u w:val="single"/>
        </w:rPr>
        <w:t>Rule 143</w:t>
      </w:r>
      <w:r w:rsidRPr="006808D3">
        <w:rPr>
          <w:rFonts w:ascii="Times New Roman" w:eastAsia="Times New Roman" w:hAnsi="Times New Roman" w:cs="Times New Roman"/>
          <w:color w:val="000000"/>
          <w:sz w:val="39"/>
          <w:szCs w:val="39"/>
        </w:rPr>
        <w:t xml:space="preserve"> provides that : A certificate of encumbrance shall contain a complete list of all acts and encumbrances affecting the property in question.</w:t>
      </w:r>
    </w:p>
    <w:p w:rsidR="00BF7D8E" w:rsidRPr="006808D3" w:rsidRDefault="00BF7D8E" w:rsidP="00BF7D8E">
      <w:pPr>
        <w:spacing w:after="0" w:line="240" w:lineRule="auto"/>
        <w:rPr>
          <w:rFonts w:ascii="Times New Roman" w:eastAsia="Times New Roman" w:hAnsi="Times New Roman" w:cs="Times New Roman"/>
          <w:sz w:val="24"/>
          <w:szCs w:val="24"/>
        </w:rPr>
      </w:pPr>
      <w:r w:rsidRPr="006808D3">
        <w:rPr>
          <w:rFonts w:ascii="Times New Roman" w:eastAsia="Times New Roman" w:hAnsi="Times New Roman" w:cs="Times New Roman"/>
          <w:color w:val="000000"/>
          <w:sz w:val="39"/>
          <w:szCs w:val="39"/>
          <w:shd w:val="clear" w:color="auto" w:fill="FFFFFF"/>
        </w:rPr>
        <w:t>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6808D3">
        <w:rPr>
          <w:rFonts w:ascii="Times New Roman" w:eastAsia="Times New Roman" w:hAnsi="Times New Roman" w:cs="Times New Roman"/>
          <w:color w:val="000000"/>
          <w:sz w:val="39"/>
          <w:szCs w:val="39"/>
        </w:rPr>
        <w:t xml:space="preserve">This would mean that the encumbrance certificate should contain a complete list of all encumbrances affecting the property in question. If that is not done, the vendor or the purchaser of the property in question would be seriously prejudiced, which, in most of the cases, would result in litigation and disputes. </w:t>
      </w:r>
      <w:r w:rsidRPr="006808D3">
        <w:rPr>
          <w:rFonts w:ascii="Times New Roman" w:eastAsia="Times New Roman" w:hAnsi="Times New Roman" w:cs="Times New Roman"/>
          <w:b/>
          <w:color w:val="000000"/>
          <w:sz w:val="39"/>
          <w:szCs w:val="39"/>
          <w:u w:val="single"/>
        </w:rPr>
        <w:t xml:space="preserve">Therefore, if the encumbrance certificate does not contain the complete list of encumbrances affecting the property, then, it would be </w:t>
      </w:r>
      <w:r w:rsidRPr="006808D3">
        <w:rPr>
          <w:rFonts w:ascii="Times New Roman" w:eastAsia="Times New Roman" w:hAnsi="Times New Roman" w:cs="Times New Roman"/>
          <w:b/>
          <w:color w:val="000000"/>
          <w:sz w:val="39"/>
          <w:szCs w:val="39"/>
          <w:u w:val="single"/>
        </w:rPr>
        <w:lastRenderedPageBreak/>
        <w:t>defective certificate and to that extent it amounts to deficiency in service by the concerned officers</w:t>
      </w:r>
      <w:r w:rsidRPr="006808D3">
        <w:rPr>
          <w:rFonts w:ascii="Times New Roman" w:eastAsia="Times New Roman" w:hAnsi="Times New Roman" w:cs="Times New Roman"/>
          <w:color w:val="000000"/>
          <w:sz w:val="39"/>
          <w:szCs w:val="39"/>
        </w:rPr>
        <w:t>.</w:t>
      </w:r>
    </w:p>
    <w:p w:rsidR="00BF7D8E" w:rsidRPr="006808D3" w:rsidRDefault="00BF7D8E" w:rsidP="00BF7D8E">
      <w:pPr>
        <w:spacing w:after="0" w:line="240" w:lineRule="auto"/>
        <w:rPr>
          <w:rFonts w:ascii="Times New Roman" w:eastAsia="Times New Roman" w:hAnsi="Times New Roman" w:cs="Times New Roman"/>
          <w:sz w:val="24"/>
          <w:szCs w:val="24"/>
        </w:rPr>
      </w:pPr>
      <w:r w:rsidRPr="006808D3">
        <w:rPr>
          <w:rFonts w:ascii="Times New Roman" w:eastAsia="Times New Roman" w:hAnsi="Times New Roman" w:cs="Times New Roman"/>
          <w:color w:val="000000"/>
          <w:sz w:val="39"/>
          <w:szCs w:val="39"/>
          <w:shd w:val="clear" w:color="auto" w:fill="FFFFFF"/>
        </w:rPr>
        <w:t>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6808D3">
        <w:rPr>
          <w:rFonts w:ascii="Times New Roman" w:eastAsia="Times New Roman" w:hAnsi="Times New Roman" w:cs="Times New Roman"/>
          <w:color w:val="000000"/>
          <w:sz w:val="39"/>
          <w:szCs w:val="39"/>
        </w:rPr>
        <w:t>Next, we have to find out whether the issuance of encumbrance certificate is a service rendered by the statutory authority by charging any fee and the other procedure prescribed under the Rules.</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b/>
          <w:color w:val="000000"/>
          <w:sz w:val="39"/>
          <w:szCs w:val="39"/>
          <w:u w:val="single"/>
        </w:rPr>
      </w:pPr>
      <w:r w:rsidRPr="006808D3">
        <w:rPr>
          <w:rFonts w:ascii="Times New Roman" w:eastAsia="Times New Roman" w:hAnsi="Times New Roman" w:cs="Times New Roman"/>
          <w:color w:val="000000"/>
          <w:sz w:val="39"/>
          <w:szCs w:val="39"/>
        </w:rPr>
        <w:t xml:space="preserve">For this, Rule 127 of Chapter 19 provides for filing of application to the Registering officer for an inspection, a search or a copy. It also provides that an emergent application shall be made before 12 noon in writing with double the normal rates of fees to get the certified copy or encumbrance certificate on the next working day. </w:t>
      </w:r>
      <w:r w:rsidRPr="006808D3">
        <w:rPr>
          <w:rFonts w:ascii="Times New Roman" w:eastAsia="Times New Roman" w:hAnsi="Times New Roman" w:cs="Times New Roman"/>
          <w:b/>
          <w:color w:val="000000"/>
          <w:sz w:val="39"/>
          <w:szCs w:val="39"/>
          <w:u w:val="single"/>
        </w:rPr>
        <w:t>This would mean that prescribed fees under the Rules is required to be paid for getting encumbrance certificate.</w:t>
      </w:r>
    </w:p>
    <w:p w:rsidR="00BF7D8E" w:rsidRPr="006808D3" w:rsidRDefault="00BF7D8E" w:rsidP="00BF7D8E">
      <w:pPr>
        <w:spacing w:after="0" w:line="240" w:lineRule="auto"/>
        <w:rPr>
          <w:rFonts w:ascii="Times New Roman" w:eastAsia="Times New Roman" w:hAnsi="Times New Roman" w:cs="Times New Roman"/>
          <w:sz w:val="24"/>
          <w:szCs w:val="24"/>
        </w:rPr>
      </w:pPr>
      <w:r w:rsidRPr="006808D3">
        <w:rPr>
          <w:rFonts w:ascii="Times New Roman" w:eastAsia="Times New Roman" w:hAnsi="Times New Roman" w:cs="Times New Roman"/>
          <w:color w:val="000000"/>
          <w:sz w:val="39"/>
          <w:szCs w:val="39"/>
          <w:shd w:val="clear" w:color="auto" w:fill="FFFFFF"/>
        </w:rPr>
        <w:t> </w:t>
      </w:r>
    </w:p>
    <w:p w:rsidR="00BF7D8E" w:rsidRPr="006808D3"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6808D3">
        <w:rPr>
          <w:rFonts w:ascii="Times New Roman" w:eastAsia="Times New Roman" w:hAnsi="Times New Roman" w:cs="Times New Roman"/>
          <w:color w:val="000000"/>
          <w:sz w:val="39"/>
          <w:szCs w:val="39"/>
        </w:rPr>
        <w:t>Further, the Rule provides that search could be carried out for encumbrances and for that fees are required to be paid in advance</w:t>
      </w:r>
      <w:r>
        <w:rPr>
          <w:rFonts w:ascii="Times New Roman" w:eastAsia="Times New Roman" w:hAnsi="Times New Roman" w:cs="Times New Roman"/>
          <w:color w:val="000000"/>
          <w:sz w:val="39"/>
          <w:szCs w:val="39"/>
        </w:rPr>
        <w:t>.</w:t>
      </w:r>
    </w:p>
    <w:p w:rsidR="00BF7D8E" w:rsidRDefault="00BF7D8E" w:rsidP="00BF7D8E">
      <w:pPr>
        <w:rPr>
          <w:color w:val="000000"/>
          <w:sz w:val="39"/>
          <w:szCs w:val="39"/>
          <w:shd w:val="clear" w:color="auto" w:fill="FFFFFF"/>
        </w:rPr>
      </w:pPr>
      <w:r>
        <w:rPr>
          <w:color w:val="000000"/>
          <w:sz w:val="39"/>
          <w:szCs w:val="39"/>
          <w:shd w:val="clear" w:color="auto" w:fill="FFFFFF"/>
        </w:rPr>
        <w:t xml:space="preserve">In addition, the Registration Rule specifically prescribes what type of precaution should be taken for search and </w:t>
      </w:r>
      <w:r w:rsidRPr="00AF6813">
        <w:rPr>
          <w:b/>
          <w:color w:val="000000"/>
          <w:sz w:val="39"/>
          <w:szCs w:val="39"/>
          <w:u w:val="single"/>
          <w:shd w:val="clear" w:color="auto" w:fill="FFFFFF"/>
        </w:rPr>
        <w:t>it imposes a duty on the concerned officers</w:t>
      </w:r>
      <w:r>
        <w:rPr>
          <w:color w:val="000000"/>
          <w:sz w:val="39"/>
          <w:szCs w:val="39"/>
          <w:shd w:val="clear" w:color="auto" w:fill="FFFFFF"/>
        </w:rPr>
        <w:t xml:space="preserve">. Further search is required to be carried out in the presence of the Registering Officer and the copy of entry cannot be made </w:t>
      </w:r>
      <w:r>
        <w:rPr>
          <w:color w:val="000000"/>
          <w:sz w:val="39"/>
          <w:szCs w:val="39"/>
          <w:shd w:val="clear" w:color="auto" w:fill="FFFFFF"/>
        </w:rPr>
        <w:lastRenderedPageBreak/>
        <w:t>from any book until registering officer has scrutinized the entry.</w:t>
      </w:r>
    </w:p>
    <w:p w:rsidR="00BF7D8E" w:rsidRPr="00AF6813" w:rsidRDefault="00BF7D8E" w:rsidP="00BF7D8E">
      <w:pPr>
        <w:rPr>
          <w:b/>
          <w:color w:val="000000"/>
          <w:sz w:val="39"/>
          <w:szCs w:val="39"/>
          <w:u w:val="single"/>
          <w:shd w:val="clear" w:color="auto" w:fill="FFFFFF"/>
        </w:rPr>
      </w:pPr>
      <w:r w:rsidRPr="00AF6813">
        <w:rPr>
          <w:b/>
          <w:color w:val="000000"/>
          <w:sz w:val="39"/>
          <w:szCs w:val="39"/>
          <w:u w:val="single"/>
          <w:shd w:val="clear" w:color="auto" w:fill="FFFFFF"/>
        </w:rPr>
        <w:t xml:space="preserve">The aforesaid Rules, therefore, require strict vigil by the Registration Officer before issuing Encumbrance Certificate and it specifically provides that Encumbrance Certificate should contain complete list of all encumbrances affecting the property in question. If that is not done, it would certainly amount to deficiency in service or </w:t>
      </w:r>
      <w:r w:rsidRPr="00AF6813">
        <w:rPr>
          <w:b/>
          <w:color w:val="000000"/>
          <w:sz w:val="52"/>
          <w:szCs w:val="52"/>
          <w:u w:val="single"/>
          <w:shd w:val="clear" w:color="auto" w:fill="FFFFFF"/>
        </w:rPr>
        <w:t>patent negligence</w:t>
      </w:r>
      <w:r w:rsidRPr="00AF6813">
        <w:rPr>
          <w:b/>
          <w:color w:val="000000"/>
          <w:sz w:val="39"/>
          <w:szCs w:val="39"/>
          <w:u w:val="single"/>
          <w:shd w:val="clear" w:color="auto" w:fill="FFFFFF"/>
        </w:rPr>
        <w:t xml:space="preserve"> in discharge of duty which is in the nature of rendering service.</w:t>
      </w:r>
    </w:p>
    <w:p w:rsidR="00BF7D8E" w:rsidRPr="002F79A4" w:rsidRDefault="00BF7D8E" w:rsidP="00BF7D8E">
      <w:pPr>
        <w:spacing w:before="100" w:beforeAutospacing="1" w:after="100" w:afterAutospacing="1" w:line="240" w:lineRule="auto"/>
        <w:jc w:val="both"/>
        <w:rPr>
          <w:rFonts w:ascii="Times New Roman" w:eastAsia="Times New Roman" w:hAnsi="Times New Roman" w:cs="Times New Roman"/>
          <w:color w:val="000000"/>
          <w:sz w:val="39"/>
          <w:szCs w:val="39"/>
        </w:rPr>
      </w:pPr>
      <w:r w:rsidRPr="002F79A4">
        <w:rPr>
          <w:rFonts w:ascii="Times New Roman" w:eastAsia="Times New Roman" w:hAnsi="Times New Roman" w:cs="Times New Roman"/>
          <w:color w:val="000000"/>
          <w:sz w:val="39"/>
          <w:szCs w:val="39"/>
        </w:rPr>
        <w:t xml:space="preserve">Further, </w:t>
      </w:r>
      <w:r w:rsidRPr="002F79A4">
        <w:rPr>
          <w:rFonts w:ascii="Times New Roman" w:eastAsia="Times New Roman" w:hAnsi="Times New Roman" w:cs="Times New Roman"/>
          <w:b/>
          <w:color w:val="000000"/>
          <w:sz w:val="39"/>
          <w:szCs w:val="39"/>
          <w:u w:val="single"/>
        </w:rPr>
        <w:t>it held that no constitutional system can, either on State necessity or public policy condone negligent functioning of the State or its officers and negligence is failure to use such care as a reasonable</w:t>
      </w:r>
      <w:r w:rsidRPr="002F79A4">
        <w:rPr>
          <w:rFonts w:ascii="Times New Roman" w:eastAsia="Times New Roman" w:hAnsi="Times New Roman" w:cs="Times New Roman"/>
          <w:color w:val="000000"/>
          <w:sz w:val="39"/>
          <w:szCs w:val="39"/>
        </w:rPr>
        <w:t xml:space="preserve">, prudent and careful person would use, under similar circumstances. [N.Nagendra Rao Vs. State of Andhra Pradesh, reported in AIR 1994 SC 2663 and Common Cause Society Vs. Union of India (1999) 6 SCC 667]. It is the doing of some act which a person of ordinary prudence would not have done under similar circumstances or failure to do what a person of ordinary prudence would have done under similar circumstances. </w:t>
      </w:r>
      <w:r w:rsidRPr="002F79A4">
        <w:rPr>
          <w:rFonts w:ascii="Times New Roman" w:eastAsia="Times New Roman" w:hAnsi="Times New Roman" w:cs="Times New Roman"/>
          <w:b/>
          <w:color w:val="000000"/>
          <w:sz w:val="39"/>
          <w:szCs w:val="39"/>
          <w:u w:val="single"/>
        </w:rPr>
        <w:t xml:space="preserve">Negligence also is an omission to do some thing which a reasonable man, guided by those ordinary considerations which ordinarily regulate human affairs, would do, or the doing of something which a reasonable </w:t>
      </w:r>
      <w:r w:rsidRPr="002F79A4">
        <w:rPr>
          <w:rFonts w:ascii="Times New Roman" w:eastAsia="Times New Roman" w:hAnsi="Times New Roman" w:cs="Times New Roman"/>
          <w:b/>
          <w:color w:val="000000"/>
          <w:sz w:val="39"/>
          <w:szCs w:val="39"/>
          <w:u w:val="single"/>
        </w:rPr>
        <w:lastRenderedPageBreak/>
        <w:t>and prudent</w:t>
      </w:r>
      <w:r>
        <w:rPr>
          <w:rFonts w:ascii="Times New Roman" w:eastAsia="Times New Roman" w:hAnsi="Times New Roman" w:cs="Times New Roman"/>
          <w:b/>
          <w:color w:val="000000"/>
          <w:sz w:val="39"/>
          <w:szCs w:val="39"/>
          <w:u w:val="single"/>
        </w:rPr>
        <w:t xml:space="preserve"> man</w:t>
      </w:r>
      <w:r w:rsidRPr="002F79A4">
        <w:rPr>
          <w:rFonts w:ascii="Times New Roman" w:eastAsia="Times New Roman" w:hAnsi="Times New Roman" w:cs="Times New Roman"/>
          <w:b/>
          <w:color w:val="000000"/>
          <w:sz w:val="39"/>
          <w:szCs w:val="39"/>
          <w:u w:val="single"/>
        </w:rPr>
        <w:t xml:space="preserve"> would not do</w:t>
      </w:r>
      <w:r w:rsidRPr="002F79A4">
        <w:rPr>
          <w:rFonts w:ascii="Times New Roman" w:eastAsia="Times New Roman" w:hAnsi="Times New Roman" w:cs="Times New Roman"/>
          <w:color w:val="000000"/>
          <w:sz w:val="39"/>
          <w:szCs w:val="39"/>
        </w:rPr>
        <w:t>. In that case after considering the deficiency in issuance of encumbrance certificate the Court awarded compensation of Rs.60,000/-.</w:t>
      </w:r>
    </w:p>
    <w:p w:rsidR="00BF7D8E" w:rsidRDefault="00BF7D8E" w:rsidP="00BF7D8E">
      <w:pPr>
        <w:rPr>
          <w:color w:val="000000"/>
          <w:sz w:val="39"/>
          <w:szCs w:val="39"/>
          <w:shd w:val="clear" w:color="auto" w:fill="FFFFFF"/>
        </w:rPr>
      </w:pPr>
      <w:r>
        <w:rPr>
          <w:rFonts w:ascii="Times New Roman" w:eastAsia="Times New Roman" w:hAnsi="Times New Roman" w:cs="Times New Roman"/>
          <w:color w:val="000000"/>
          <w:sz w:val="39"/>
          <w:szCs w:val="39"/>
          <w:shd w:val="clear" w:color="auto" w:fill="FFFFFF"/>
        </w:rPr>
        <w:t>…..</w:t>
      </w:r>
      <w:r>
        <w:rPr>
          <w:color w:val="000000"/>
          <w:sz w:val="39"/>
          <w:szCs w:val="39"/>
          <w:shd w:val="clear" w:color="auto" w:fill="FFFFFF"/>
        </w:rPr>
        <w:t xml:space="preserve">the High Court heavily relied upon the decision of the Apex Court in Lucknow Development Authority Vs. M.K.Gupta (1994) 1 SCC 243 and other Judgments wherein it has been held that for </w:t>
      </w:r>
      <w:r w:rsidRPr="00BC7DC5">
        <w:rPr>
          <w:b/>
          <w:color w:val="000000"/>
          <w:sz w:val="39"/>
          <w:szCs w:val="39"/>
          <w:u w:val="single"/>
          <w:shd w:val="clear" w:color="auto" w:fill="FFFFFF"/>
        </w:rPr>
        <w:t xml:space="preserve">deficiency in service in case of statutory duty also proceedings for the damages under the tort is </w:t>
      </w:r>
      <w:r w:rsidRPr="00BC7DC5">
        <w:rPr>
          <w:b/>
          <w:color w:val="000000"/>
          <w:sz w:val="52"/>
          <w:szCs w:val="52"/>
          <w:u w:val="single"/>
          <w:shd w:val="clear" w:color="auto" w:fill="FFFFFF"/>
        </w:rPr>
        <w:t>maintainable</w:t>
      </w:r>
      <w:r w:rsidRPr="00BC7DC5">
        <w:rPr>
          <w:b/>
          <w:color w:val="000000"/>
          <w:sz w:val="39"/>
          <w:szCs w:val="39"/>
          <w:u w:val="single"/>
          <w:shd w:val="clear" w:color="auto" w:fill="FFFFFF"/>
        </w:rPr>
        <w:t xml:space="preserve"> against the statutory authorities.</w:t>
      </w:r>
    </w:p>
    <w:p w:rsidR="00BF7D8E" w:rsidRDefault="00BF7D8E" w:rsidP="00BF7D8E">
      <w:pPr>
        <w:pStyle w:val="NormalWeb"/>
        <w:jc w:val="both"/>
        <w:rPr>
          <w:color w:val="000000"/>
          <w:sz w:val="39"/>
          <w:szCs w:val="39"/>
        </w:rPr>
      </w:pPr>
      <w:r>
        <w:rPr>
          <w:color w:val="000000"/>
          <w:sz w:val="39"/>
          <w:szCs w:val="39"/>
        </w:rPr>
        <w:t>And, finally, after considering the provisions of </w:t>
      </w:r>
      <w:hyperlink r:id="rId12" w:history="1">
        <w:r>
          <w:rPr>
            <w:rStyle w:val="Hyperlink"/>
            <w:color w:val="1100CC"/>
            <w:sz w:val="39"/>
            <w:szCs w:val="39"/>
            <w:u w:val="none"/>
          </w:rPr>
          <w:t>Section 2(1)(o)</w:t>
        </w:r>
      </w:hyperlink>
      <w:r>
        <w:rPr>
          <w:color w:val="000000"/>
          <w:sz w:val="39"/>
          <w:szCs w:val="39"/>
        </w:rPr>
        <w:t xml:space="preserve"> held that the main clause of the meaning of service is very wide. It applies to any service made available to potential users and </w:t>
      </w:r>
      <w:r w:rsidRPr="00BC7DC5">
        <w:rPr>
          <w:b/>
          <w:color w:val="000000"/>
          <w:sz w:val="39"/>
          <w:szCs w:val="39"/>
          <w:u w:val="single"/>
        </w:rPr>
        <w:t>no distinction can be drawn between the private service provider and the public service provider</w:t>
      </w:r>
      <w:r>
        <w:rPr>
          <w:color w:val="000000"/>
          <w:sz w:val="39"/>
          <w:szCs w:val="39"/>
        </w:rPr>
        <w:t>. The Court observed:</w:t>
      </w:r>
    </w:p>
    <w:p w:rsidR="00BF7D8E" w:rsidRDefault="00BF7D8E" w:rsidP="00BF7D8E">
      <w:pPr>
        <w:rPr>
          <w:color w:val="000000"/>
          <w:sz w:val="39"/>
          <w:szCs w:val="39"/>
        </w:rPr>
      </w:pPr>
      <w:r>
        <w:rPr>
          <w:color w:val="000000"/>
          <w:sz w:val="39"/>
          <w:szCs w:val="39"/>
          <w:shd w:val="clear" w:color="auto" w:fill="FFFFFF"/>
        </w:rPr>
        <w:t> </w:t>
      </w:r>
    </w:p>
    <w:p w:rsidR="00BF7D8E" w:rsidRDefault="00BF7D8E" w:rsidP="00BF7D8E">
      <w:pPr>
        <w:rPr>
          <w:color w:val="000000"/>
          <w:sz w:val="39"/>
          <w:szCs w:val="39"/>
          <w:shd w:val="clear" w:color="auto" w:fill="FFFFFF"/>
        </w:rPr>
      </w:pPr>
      <w:r>
        <w:rPr>
          <w:color w:val="000000"/>
          <w:sz w:val="39"/>
          <w:szCs w:val="39"/>
          <w:shd w:val="clear" w:color="auto" w:fill="FFFFFF"/>
        </w:rPr>
        <w:t>The legislative intention is thus clear to protect a consumer against services rendered even by statutory bodies. The test, therefore, is not if a person against whom complaint is made is a statutory body but whether the nature of the duty and function performed by it is service or even facility.</w:t>
      </w:r>
    </w:p>
    <w:p w:rsidR="00BF7D8E" w:rsidRPr="00F01EF5" w:rsidRDefault="00BF7D8E" w:rsidP="00BF7D8E">
      <w:pPr>
        <w:rPr>
          <w:sz w:val="24"/>
          <w:szCs w:val="24"/>
        </w:rPr>
      </w:pPr>
    </w:p>
    <w:p w:rsidR="00BF7D8E" w:rsidRDefault="00BF7D8E" w:rsidP="00BF7D8E">
      <w:pPr>
        <w:pStyle w:val="NormalWeb"/>
        <w:jc w:val="both"/>
        <w:rPr>
          <w:color w:val="000000"/>
          <w:sz w:val="39"/>
          <w:szCs w:val="39"/>
        </w:rPr>
      </w:pPr>
      <w:r>
        <w:rPr>
          <w:color w:val="000000"/>
          <w:sz w:val="39"/>
          <w:szCs w:val="39"/>
        </w:rPr>
        <w:t>The Court also observed:</w:t>
      </w:r>
    </w:p>
    <w:p w:rsidR="00BF7D8E" w:rsidRDefault="00BF7D8E" w:rsidP="00BF7D8E">
      <w:pPr>
        <w:pStyle w:val="NormalWeb"/>
        <w:jc w:val="both"/>
        <w:rPr>
          <w:b/>
          <w:color w:val="000000"/>
          <w:sz w:val="39"/>
          <w:szCs w:val="39"/>
          <w:u w:val="single"/>
          <w:shd w:val="clear" w:color="auto" w:fill="FFFFFF"/>
        </w:rPr>
      </w:pPr>
      <w:r>
        <w:rPr>
          <w:color w:val="000000"/>
          <w:sz w:val="39"/>
          <w:szCs w:val="39"/>
        </w:rPr>
        <w:t xml:space="preserve">.. </w:t>
      </w:r>
      <w:r w:rsidRPr="005125FB">
        <w:rPr>
          <w:b/>
          <w:color w:val="000000"/>
          <w:sz w:val="39"/>
          <w:szCs w:val="39"/>
          <w:u w:val="single"/>
        </w:rPr>
        <w:t>Compensation or damage as explained earlier may arise even when the officer discharges his duty honestly and bona fide.</w:t>
      </w:r>
      <w:r>
        <w:rPr>
          <w:color w:val="000000"/>
          <w:sz w:val="39"/>
          <w:szCs w:val="39"/>
        </w:rPr>
        <w:t xml:space="preserve"> </w:t>
      </w:r>
      <w:r w:rsidRPr="005125FB">
        <w:rPr>
          <w:b/>
          <w:color w:val="000000"/>
          <w:sz w:val="39"/>
          <w:szCs w:val="39"/>
          <w:u w:val="single"/>
        </w:rPr>
        <w:t xml:space="preserve">But when it </w:t>
      </w:r>
      <w:r w:rsidRPr="005125FB">
        <w:rPr>
          <w:b/>
          <w:color w:val="000000"/>
          <w:sz w:val="52"/>
          <w:szCs w:val="52"/>
          <w:u w:val="single"/>
        </w:rPr>
        <w:t xml:space="preserve">arises due to arbitrary or capricious behavior </w:t>
      </w:r>
      <w:r w:rsidRPr="005125FB">
        <w:rPr>
          <w:b/>
          <w:color w:val="000000"/>
          <w:sz w:val="39"/>
          <w:szCs w:val="39"/>
          <w:u w:val="single"/>
        </w:rPr>
        <w:t>then it loses its individual character and assumes social significance</w:t>
      </w:r>
      <w:r>
        <w:rPr>
          <w:color w:val="000000"/>
          <w:sz w:val="39"/>
          <w:szCs w:val="39"/>
        </w:rPr>
        <w:t xml:space="preserve">. Harassment of a common man by public authorities is socially abhorring and legally impermissible. It may harm him personally but the injury to society is far more grievous. Crime and corruption thrive and prosper in the society due to lack of public resistance. Nothing is more damaging than the feeling of helplessness. An ordinary citizen instead of complaining and fighting succumbs to the pressure of undesirable functioning in offices instead of standing against it. Therefore the award of compensation for harassment by public authorities not only compensates the individual, satisfies him personally but helps in curing social evil. It may result in improving the work culture and help in changing the outlook. Wade in his book Administrative Law has observed that it is to the credit of public authorities that there are simply few reported English decisions on this form of malpractice, namely, misfeasance in public offices which includes malicious use of power, </w:t>
      </w:r>
      <w:r w:rsidRPr="005125FB">
        <w:rPr>
          <w:b/>
          <w:color w:val="000000"/>
          <w:sz w:val="39"/>
          <w:szCs w:val="39"/>
          <w:u w:val="single"/>
        </w:rPr>
        <w:t>deliberate maladministration</w:t>
      </w:r>
      <w:r>
        <w:rPr>
          <w:color w:val="000000"/>
          <w:sz w:val="39"/>
          <w:szCs w:val="39"/>
        </w:rPr>
        <w:t xml:space="preserve"> and perhaps also other unlawful acts causing injury. One of the reasons for this appears to be </w:t>
      </w:r>
      <w:r>
        <w:rPr>
          <w:color w:val="000000"/>
          <w:sz w:val="39"/>
          <w:szCs w:val="39"/>
          <w:shd w:val="clear" w:color="auto" w:fill="FFFFFF"/>
        </w:rPr>
        <w:t xml:space="preserve">development of law which, apart, from </w:t>
      </w:r>
      <w:r>
        <w:rPr>
          <w:color w:val="000000"/>
          <w:sz w:val="39"/>
          <w:szCs w:val="39"/>
          <w:shd w:val="clear" w:color="auto" w:fill="FFFFFF"/>
        </w:rPr>
        <w:lastRenderedPageBreak/>
        <w:t xml:space="preserve">other factors succeeded in keeping a salutary check on the functioning in the government or semi-government offices </w:t>
      </w:r>
      <w:r w:rsidRPr="005125FB">
        <w:rPr>
          <w:b/>
          <w:color w:val="000000"/>
          <w:sz w:val="39"/>
          <w:szCs w:val="39"/>
          <w:u w:val="single"/>
          <w:shd w:val="clear" w:color="auto" w:fill="FFFFFF"/>
        </w:rPr>
        <w:t>by holding the officers personally responsible for their capricious or even ultra vires action resulting in injury or loss to a citizen by awarding damages against them. ..</w:t>
      </w:r>
    </w:p>
    <w:p w:rsidR="00BF7D8E" w:rsidRDefault="00BF7D8E" w:rsidP="00BF7D8E">
      <w:pPr>
        <w:pStyle w:val="NormalWeb"/>
        <w:jc w:val="both"/>
        <w:rPr>
          <w:b/>
          <w:color w:val="000000"/>
          <w:sz w:val="39"/>
          <w:szCs w:val="39"/>
          <w:u w:val="single"/>
          <w:shd w:val="clear" w:color="auto" w:fill="FFFFFF"/>
        </w:rPr>
      </w:pPr>
    </w:p>
    <w:p w:rsidR="00BF7D8E" w:rsidRPr="00B03286" w:rsidRDefault="00BF7D8E" w:rsidP="00BF7D8E">
      <w:pPr>
        <w:pStyle w:val="NormalWeb"/>
        <w:jc w:val="both"/>
        <w:rPr>
          <w:b/>
          <w:color w:val="000000"/>
          <w:sz w:val="39"/>
          <w:szCs w:val="39"/>
        </w:rPr>
      </w:pPr>
    </w:p>
    <w:p w:rsidR="00BF7D8E" w:rsidRDefault="00BF7D8E" w:rsidP="00BF7D8E">
      <w:pPr>
        <w:pStyle w:val="ListParagraph"/>
        <w:rPr>
          <w:rFonts w:ascii="Arial" w:hAnsi="Arial" w:cs="Arial"/>
          <w:b/>
          <w:bCs/>
          <w:color w:val="323232"/>
          <w:sz w:val="20"/>
          <w:szCs w:val="20"/>
        </w:rPr>
      </w:pPr>
    </w:p>
    <w:p w:rsidR="00BF7D8E" w:rsidRDefault="00BF7D8E" w:rsidP="00BF7D8E">
      <w:pPr>
        <w:pStyle w:val="ListParagraph"/>
        <w:rPr>
          <w:rFonts w:ascii="Arial" w:hAnsi="Arial" w:cs="Arial"/>
          <w:b/>
          <w:bCs/>
          <w:color w:val="323232"/>
          <w:sz w:val="20"/>
          <w:szCs w:val="20"/>
        </w:rPr>
      </w:pPr>
    </w:p>
    <w:p w:rsidR="00BF7D8E" w:rsidRDefault="00BF7D8E" w:rsidP="00BF7D8E">
      <w:pPr>
        <w:pStyle w:val="ListParagraph"/>
        <w:rPr>
          <w:rFonts w:ascii="Arial" w:hAnsi="Arial" w:cs="Arial"/>
          <w:b/>
          <w:bCs/>
          <w:color w:val="323232"/>
          <w:sz w:val="20"/>
          <w:szCs w:val="20"/>
        </w:rPr>
      </w:pPr>
      <w:r w:rsidRPr="00DA6F7D">
        <w:rPr>
          <w:b/>
          <w:color w:val="000000"/>
          <w:sz w:val="39"/>
          <w:szCs w:val="39"/>
          <w:u w:val="single"/>
          <w:shd w:val="clear" w:color="auto" w:fill="FFFFFF"/>
        </w:rPr>
        <w:t>(TN Registration Rule)Rule 143</w:t>
      </w:r>
      <w:r>
        <w:rPr>
          <w:color w:val="000000"/>
          <w:sz w:val="39"/>
          <w:szCs w:val="39"/>
          <w:shd w:val="clear" w:color="auto" w:fill="FFFFFF"/>
        </w:rPr>
        <w:t xml:space="preserve"> mandatorily provides that the Certificate of Encumbrance shall contain complete list of all the acts and encumbrances affecting the property in question and search is required to be carried out in the presence of Registering Officer. Even a copy of the entry is not to be made from any book until the Registering Officer has scrutinized the entry generally. Despite this statutory vigil, if the concerned officer acts negligently in omitting to note the encumbrances or transfer of immovable property, it would certainly cause prejudice to valuable rights of consumer/complainant.</w:t>
      </w:r>
    </w:p>
    <w:p w:rsidR="00BF7D8E" w:rsidRPr="00B666A1" w:rsidRDefault="00BF7D8E" w:rsidP="00BF7D8E">
      <w:pPr>
        <w:pStyle w:val="ListParagraph"/>
        <w:rPr>
          <w:b/>
          <w:color w:val="000000"/>
          <w:sz w:val="39"/>
          <w:szCs w:val="39"/>
          <w:u w:val="single"/>
          <w:shd w:val="clear" w:color="auto" w:fill="FFFFFF"/>
        </w:rPr>
      </w:pPr>
      <w:r w:rsidRPr="00B666A1">
        <w:rPr>
          <w:b/>
          <w:color w:val="000000"/>
          <w:sz w:val="39"/>
          <w:szCs w:val="39"/>
          <w:u w:val="single"/>
          <w:shd w:val="clear" w:color="auto" w:fill="FFFFFF"/>
        </w:rPr>
        <w:t>we hold that in case of deficiency in service in issuing erroneous and defective encumbrance certificate, the concerned officer including the Joint Sub-</w:t>
      </w:r>
      <w:r w:rsidRPr="00B666A1">
        <w:rPr>
          <w:b/>
          <w:color w:val="000000"/>
          <w:sz w:val="39"/>
          <w:szCs w:val="39"/>
          <w:u w:val="single"/>
          <w:shd w:val="clear" w:color="auto" w:fill="FFFFFF"/>
        </w:rPr>
        <w:lastRenderedPageBreak/>
        <w:t xml:space="preserve">Registrar would be liable for deficiency in service and could be proceeded under the Consumer Protection, 1986. </w:t>
      </w:r>
    </w:p>
    <w:p w:rsidR="00BF7D8E" w:rsidRDefault="00BF7D8E" w:rsidP="00BF7D8E">
      <w:pPr>
        <w:pStyle w:val="ListParagraph"/>
        <w:rPr>
          <w:color w:val="000000"/>
          <w:sz w:val="39"/>
          <w:szCs w:val="39"/>
          <w:shd w:val="clear" w:color="auto" w:fill="FFFFFF"/>
        </w:rPr>
      </w:pPr>
      <w:r>
        <w:rPr>
          <w:color w:val="000000"/>
          <w:sz w:val="39"/>
          <w:szCs w:val="39"/>
          <w:shd w:val="clear" w:color="auto" w:fill="FFFFFF"/>
        </w:rPr>
        <w:t> </w:t>
      </w:r>
      <w:hyperlink r:id="rId13" w:history="1">
        <w:r>
          <w:rPr>
            <w:rStyle w:val="Hyperlink"/>
            <w:color w:val="1100CC"/>
            <w:sz w:val="39"/>
            <w:szCs w:val="39"/>
            <w:shd w:val="clear" w:color="auto" w:fill="FFFFFF"/>
          </w:rPr>
          <w:t>Section 2(1)(o)</w:t>
        </w:r>
      </w:hyperlink>
      <w:r>
        <w:t>:</w:t>
      </w:r>
      <w:r>
        <w:rPr>
          <w:color w:val="000000"/>
          <w:sz w:val="39"/>
          <w:szCs w:val="39"/>
          <w:shd w:val="clear" w:color="auto" w:fill="FFFFFF"/>
        </w:rPr>
        <w:t>The legislative intention is thus clear to protect a consumer against services rendered even by statutory bodies. The test, therefore, is not if a person against whom complaint is made is a statutory body but whether the nature of the duty and function performed by it is service or even facility.</w:t>
      </w:r>
    </w:p>
    <w:p w:rsidR="00BF7D8E" w:rsidRPr="00175692" w:rsidRDefault="00BF7D8E" w:rsidP="00175692">
      <w:pPr>
        <w:pStyle w:val="ListParagraph"/>
        <w:pBdr>
          <w:bottom w:val="single" w:sz="6" w:space="1" w:color="auto"/>
        </w:pBdr>
        <w:rPr>
          <w:color w:val="000000"/>
          <w:sz w:val="39"/>
          <w:szCs w:val="39"/>
          <w:shd w:val="clear" w:color="auto" w:fill="FFFFFF"/>
        </w:rPr>
      </w:pPr>
      <w:r>
        <w:rPr>
          <w:color w:val="000000"/>
          <w:sz w:val="39"/>
          <w:szCs w:val="39"/>
          <w:shd w:val="clear" w:color="auto" w:fill="FFFFFF"/>
        </w:rPr>
        <w:t>Hence, we confirm the order passed by the State Commission, Tamil Nadu and dismiss the Revision Petition. There shall be no order as to costs.</w:t>
      </w:r>
    </w:p>
    <w:p w:rsidR="000C693F" w:rsidRDefault="000C693F" w:rsidP="000C693F">
      <w:pPr>
        <w:pStyle w:val="ListParagraph"/>
        <w:rPr>
          <w:sz w:val="32"/>
          <w:szCs w:val="32"/>
        </w:rPr>
      </w:pPr>
    </w:p>
    <w:p w:rsidR="002D57FA" w:rsidRPr="002D57FA" w:rsidRDefault="002D57FA" w:rsidP="002D57FA">
      <w:pPr>
        <w:rPr>
          <w:sz w:val="32"/>
          <w:szCs w:val="32"/>
        </w:rPr>
      </w:pPr>
    </w:p>
    <w:sectPr w:rsidR="002D57FA" w:rsidRPr="002D57FA" w:rsidSect="00933F9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F17" w:rsidRDefault="00CA7F17" w:rsidP="00CD4686">
      <w:pPr>
        <w:spacing w:after="0" w:line="240" w:lineRule="auto"/>
      </w:pPr>
      <w:r>
        <w:separator/>
      </w:r>
    </w:p>
  </w:endnote>
  <w:endnote w:type="continuationSeparator" w:id="1">
    <w:p w:rsidR="00CA7F17" w:rsidRDefault="00CA7F17" w:rsidP="00CD4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86" w:rsidRDefault="00CD468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86" w:rsidRDefault="00CD468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86" w:rsidRDefault="00CD46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F17" w:rsidRDefault="00CA7F17" w:rsidP="00CD4686">
      <w:pPr>
        <w:spacing w:after="0" w:line="240" w:lineRule="auto"/>
      </w:pPr>
      <w:r>
        <w:separator/>
      </w:r>
    </w:p>
  </w:footnote>
  <w:footnote w:type="continuationSeparator" w:id="1">
    <w:p w:rsidR="00CA7F17" w:rsidRDefault="00CA7F17" w:rsidP="00CD46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86" w:rsidRDefault="00CD46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43"/>
      <w:docPartObj>
        <w:docPartGallery w:val="Page Numbers (Top of Page)"/>
        <w:docPartUnique/>
      </w:docPartObj>
    </w:sdtPr>
    <w:sdtContent>
      <w:p w:rsidR="00CD4686" w:rsidRDefault="00CD4686">
        <w:pPr>
          <w:pStyle w:val="Header"/>
          <w:jc w:val="center"/>
        </w:pPr>
        <w:r>
          <w:t xml:space="preserve">Page </w:t>
        </w:r>
        <w:r w:rsidR="00FB38DB">
          <w:rPr>
            <w:b/>
            <w:sz w:val="24"/>
            <w:szCs w:val="24"/>
          </w:rPr>
          <w:fldChar w:fldCharType="begin"/>
        </w:r>
        <w:r>
          <w:rPr>
            <w:b/>
          </w:rPr>
          <w:instrText xml:space="preserve"> PAGE </w:instrText>
        </w:r>
        <w:r w:rsidR="00FB38DB">
          <w:rPr>
            <w:b/>
            <w:sz w:val="24"/>
            <w:szCs w:val="24"/>
          </w:rPr>
          <w:fldChar w:fldCharType="separate"/>
        </w:r>
        <w:r w:rsidR="00883A85">
          <w:rPr>
            <w:b/>
            <w:noProof/>
          </w:rPr>
          <w:t>1</w:t>
        </w:r>
        <w:r w:rsidR="00FB38DB">
          <w:rPr>
            <w:b/>
            <w:sz w:val="24"/>
            <w:szCs w:val="24"/>
          </w:rPr>
          <w:fldChar w:fldCharType="end"/>
        </w:r>
        <w:r>
          <w:t xml:space="preserve"> of </w:t>
        </w:r>
        <w:r w:rsidR="00FB38DB">
          <w:rPr>
            <w:b/>
            <w:sz w:val="24"/>
            <w:szCs w:val="24"/>
          </w:rPr>
          <w:fldChar w:fldCharType="begin"/>
        </w:r>
        <w:r>
          <w:rPr>
            <w:b/>
          </w:rPr>
          <w:instrText xml:space="preserve"> NUMPAGES  </w:instrText>
        </w:r>
        <w:r w:rsidR="00FB38DB">
          <w:rPr>
            <w:b/>
            <w:sz w:val="24"/>
            <w:szCs w:val="24"/>
          </w:rPr>
          <w:fldChar w:fldCharType="separate"/>
        </w:r>
        <w:r w:rsidR="00883A85">
          <w:rPr>
            <w:b/>
            <w:noProof/>
          </w:rPr>
          <w:t>14</w:t>
        </w:r>
        <w:r w:rsidR="00FB38DB">
          <w:rPr>
            <w:b/>
            <w:sz w:val="24"/>
            <w:szCs w:val="24"/>
          </w:rPr>
          <w:fldChar w:fldCharType="end"/>
        </w:r>
      </w:p>
    </w:sdtContent>
  </w:sdt>
  <w:p w:rsidR="00CD4686" w:rsidRDefault="00CD468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686" w:rsidRDefault="00CD46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42233"/>
    <w:rsid w:val="000C693F"/>
    <w:rsid w:val="00142233"/>
    <w:rsid w:val="00175692"/>
    <w:rsid w:val="00184D11"/>
    <w:rsid w:val="002D57FA"/>
    <w:rsid w:val="00383E8A"/>
    <w:rsid w:val="00405CE3"/>
    <w:rsid w:val="00480BB6"/>
    <w:rsid w:val="00683D05"/>
    <w:rsid w:val="00843668"/>
    <w:rsid w:val="00883A85"/>
    <w:rsid w:val="008B1F10"/>
    <w:rsid w:val="008C781B"/>
    <w:rsid w:val="00933F90"/>
    <w:rsid w:val="009725C6"/>
    <w:rsid w:val="009C0D3C"/>
    <w:rsid w:val="009E2C1C"/>
    <w:rsid w:val="00A00F83"/>
    <w:rsid w:val="00A503E0"/>
    <w:rsid w:val="00B666A1"/>
    <w:rsid w:val="00BF7D8E"/>
    <w:rsid w:val="00C36B04"/>
    <w:rsid w:val="00CA3F9C"/>
    <w:rsid w:val="00CA7F17"/>
    <w:rsid w:val="00CB7434"/>
    <w:rsid w:val="00CD4686"/>
    <w:rsid w:val="00CE55CC"/>
    <w:rsid w:val="00D32FBF"/>
    <w:rsid w:val="00DA6F7D"/>
    <w:rsid w:val="00DD7EDB"/>
    <w:rsid w:val="00EF6D2E"/>
    <w:rsid w:val="00FB38DB"/>
    <w:rsid w:val="00FD16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F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233"/>
    <w:pPr>
      <w:ind w:left="720"/>
      <w:contextualSpacing/>
    </w:pPr>
  </w:style>
  <w:style w:type="character" w:styleId="Hyperlink">
    <w:name w:val="Hyperlink"/>
    <w:basedOn w:val="DefaultParagraphFont"/>
    <w:uiPriority w:val="99"/>
    <w:unhideWhenUsed/>
    <w:rsid w:val="00BF7D8E"/>
    <w:rPr>
      <w:color w:val="0000FF"/>
      <w:u w:val="single"/>
    </w:rPr>
  </w:style>
  <w:style w:type="paragraph" w:styleId="NormalWeb">
    <w:name w:val="Normal (Web)"/>
    <w:basedOn w:val="Normal"/>
    <w:uiPriority w:val="99"/>
    <w:unhideWhenUsed/>
    <w:rsid w:val="00BF7D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qfqa">
    <w:name w:val="bq_fq_a"/>
    <w:basedOn w:val="Normal"/>
    <w:rsid w:val="00BF7D8E"/>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F7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F7D8E"/>
    <w:rPr>
      <w:rFonts w:ascii="Courier New" w:eastAsia="Times New Roman" w:hAnsi="Courier New" w:cs="Courier New"/>
      <w:sz w:val="20"/>
      <w:szCs w:val="20"/>
    </w:rPr>
  </w:style>
  <w:style w:type="paragraph" w:styleId="Header">
    <w:name w:val="header"/>
    <w:basedOn w:val="Normal"/>
    <w:link w:val="HeaderChar"/>
    <w:uiPriority w:val="99"/>
    <w:unhideWhenUsed/>
    <w:rsid w:val="00CD4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686"/>
  </w:style>
  <w:style w:type="paragraph" w:styleId="Footer">
    <w:name w:val="footer"/>
    <w:basedOn w:val="Normal"/>
    <w:link w:val="FooterChar"/>
    <w:uiPriority w:val="99"/>
    <w:semiHidden/>
    <w:unhideWhenUsed/>
    <w:rsid w:val="00CD46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4686"/>
  </w:style>
</w:styles>
</file>

<file path=word/webSettings.xml><?xml version="1.0" encoding="utf-8"?>
<w:webSettings xmlns:r="http://schemas.openxmlformats.org/officeDocument/2006/relationships" xmlns:w="http://schemas.openxmlformats.org/wordprocessingml/2006/main">
  <w:divs>
    <w:div w:id="79587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1733066/" TargetMode="External"/><Relationship Id="rId13" Type="http://schemas.openxmlformats.org/officeDocument/2006/relationships/hyperlink" Target="https://indiankanoon.org/doc/180974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kbmadras2017@gmail.com" TargetMode="External"/><Relationship Id="rId12" Type="http://schemas.openxmlformats.org/officeDocument/2006/relationships/hyperlink" Target="https://indiankanoon.org/doc/1809742/"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diankanoon.org/doc/173306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indiankanoon.org/doc/1733066/"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indiankanoon.org/doc/148913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78E9-9316-4650-91B1-74E3AA172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2304</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2019-12-09T08:51:00Z</dcterms:created>
  <dcterms:modified xsi:type="dcterms:W3CDTF">2019-12-18T10:54:00Z</dcterms:modified>
</cp:coreProperties>
</file>