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b/>
          <w:bCs/>
          <w:color w:val="333333"/>
          <w:lang w:eastAsia="en-IN"/>
        </w:rPr>
        <w:t>[Judicial Service Examination is held in three successive stages namely Preliminary Examination, Mains and Viva-Voce/Interview. Viva-Voce -this is the final stage of selection. The Board may be comprising of the District Judges or High Court Judges, and Members or Chairperson of the State Public Service Commission. There are generally 3- 5 members at the board with the Chairperson seated at the center. Enter the room by knocking the door and confidently greet the Chairperson, who will probably welcome you, and you have to give pleasant nod at other members and wait till you are asked to sit. Basically the purpose of the Judicial service interview is not to check your knowledge as the same was thoroughly tested in the preliminary and mains exam.</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b/>
          <w:bCs/>
          <w:color w:val="333333"/>
          <w:lang w:eastAsia="en-IN"/>
        </w:rPr>
        <w:t>The best way of preparation is to just sit and do brain storming intensively. Think what type of questions can be asked and how you can give a simple and logical answer. A proper planning after qualifying the Mains exam can help you prepare for the Interview or the personality test. This will not come from reading many books. Write down as many questions as you think can arise i.e. legal, general knowledge, the latest developments in law , adjective laws, the recent landmark judgments by the Supreme Court. If you are a Lawyer then, they ask you what kind of cases you have seen and dealt with and they put forth questions about those cases.</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b/>
          <w:bCs/>
          <w:color w:val="333333"/>
          <w:lang w:eastAsia="en-IN"/>
        </w:rPr>
        <w:t>Show a positive body language. You believe that you are suitable for the job. Convey to them the message that you are the person they are looking for. If an interviewer asks you question and you do not know the answer, instead of making out the answers, just confess it with a smile on your face that "I do not know the answer" .You must be prepared for questions on your achievements/hobbies/extracurricular activities/special achievement that you mentioned in the ‘ATTESTATION FORM’ that you have filled before the interview. Talk humbly about them and do not boast about your achievements. You’re not expected to be superhuman, so stretching the truth can only get you into trouble. No signs of nervousness should be shown during the interview. If the interview is not proceeding on the line of your expectation, do not show any sign of nervousness, instead try to bring situation back in your favour. You must answer questions clearly and confidently and try to remain calm and composed. While answering, use couple of words from the question as this would show you have listened to the question carefully. Try to answer to the point and avoid long explanations. Do not give long introductions and come straight to the point. You must carry a positive body language and a good personal appearance listens patiently and maintain eye contact with the board members.</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b/>
          <w:bCs/>
          <w:color w:val="333333"/>
          <w:lang w:eastAsia="en-IN"/>
        </w:rPr>
        <w:t>Be confident and have faith in yourself. All the best…….]</w:t>
      </w:r>
    </w:p>
    <w:p w:rsidR="00A84E4C" w:rsidRPr="00A84E4C" w:rsidRDefault="00A84E4C" w:rsidP="00A84E4C">
      <w:pPr>
        <w:numPr>
          <w:ilvl w:val="0"/>
          <w:numId w:val="1"/>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i/>
          <w:iCs/>
          <w:color w:val="333333"/>
          <w:lang w:eastAsia="en-IN"/>
        </w:rPr>
        <w:t>Can a court has power to proceed against any person who is not named in FIR OR charge sheet?</w:t>
      </w:r>
    </w:p>
    <w:p w:rsidR="00A84E4C" w:rsidRPr="00A84E4C" w:rsidRDefault="00A84E4C" w:rsidP="00A84E4C">
      <w:pPr>
        <w:shd w:val="clear" w:color="auto" w:fill="FFFFFF"/>
        <w:spacing w:after="100" w:afterAutospacing="1" w:line="240" w:lineRule="auto"/>
        <w:ind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 yes ,  Section 319 of CrPC states that where, in the course of any inquiry into, or trial of, an offence, it appears from the evidence that any person not being the accused has committed any offence for which such person could be tried together with the accused, the Court may proceed against such person for the offence which he appears to have committed.</w:t>
      </w:r>
    </w:p>
    <w:p w:rsidR="00A84E4C" w:rsidRPr="00A84E4C" w:rsidRDefault="00A84E4C" w:rsidP="00A84E4C">
      <w:pPr>
        <w:numPr>
          <w:ilvl w:val="0"/>
          <w:numId w:val="2"/>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hyperlink r:id="rId5" w:anchor="quickset-faqs_10" w:tgtFrame="_blank" w:history="1">
        <w:r w:rsidRPr="00A84E4C">
          <w:rPr>
            <w:rFonts w:ascii="Helvetica Neue" w:eastAsia="Times New Roman" w:hAnsi="Helvetica Neue" w:cs="Times New Roman"/>
            <w:color w:val="666666"/>
            <w:lang w:eastAsia="en-IN"/>
          </w:rPr>
          <w:t>What is a charge sheet? Is there a time frame for a charge sheet to be framed?</w:t>
        </w:r>
      </w:hyperlink>
    </w:p>
    <w:p w:rsidR="00A84E4C" w:rsidRPr="00A84E4C" w:rsidRDefault="00A84E4C" w:rsidP="00A84E4C">
      <w:pPr>
        <w:shd w:val="clear" w:color="auto" w:fill="FFFFFF"/>
        <w:spacing w:after="100" w:afterAutospacing="1" w:line="240" w:lineRule="auto"/>
        <w:ind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 xml:space="preserve">Ans:-When a Police officer gives a Police report under section 173 Cr.P.C. recommending prosecution, it is called a charge sheet. After questioning the accused </w:t>
      </w:r>
      <w:r w:rsidRPr="00A84E4C">
        <w:rPr>
          <w:rFonts w:ascii="Helvetica Neue" w:eastAsia="Times New Roman" w:hAnsi="Helvetica Neue" w:cs="Times New Roman"/>
          <w:color w:val="333333"/>
          <w:lang w:eastAsia="en-IN"/>
        </w:rPr>
        <w:lastRenderedPageBreak/>
        <w:t>and hearing the arguments, the magistrate frames charges on the accused for which he is tried</w:t>
      </w:r>
    </w:p>
    <w:p w:rsidR="00A84E4C" w:rsidRPr="00A84E4C" w:rsidRDefault="00A84E4C" w:rsidP="00A84E4C">
      <w:pPr>
        <w:numPr>
          <w:ilvl w:val="0"/>
          <w:numId w:val="3"/>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What has to be established by the prosecution for conviction under section-307 IPC ?</w:t>
      </w:r>
    </w:p>
    <w:p w:rsidR="00A84E4C" w:rsidRPr="00A84E4C" w:rsidRDefault="00A84E4C" w:rsidP="00A84E4C">
      <w:pPr>
        <w:shd w:val="clear" w:color="auto" w:fill="FFFFFF"/>
        <w:spacing w:after="100" w:afterAutospacing="1" w:line="240" w:lineRule="auto"/>
        <w:ind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Section 307 IPC is about attempt to murder and in the section a lot of weightage has been given to the intention and the knowledge of the accused and the preparation that he takes before committing the crime. </w:t>
      </w:r>
    </w:p>
    <w:p w:rsidR="00A84E4C" w:rsidRPr="00A84E4C" w:rsidRDefault="00A84E4C" w:rsidP="00A84E4C">
      <w:pPr>
        <w:numPr>
          <w:ilvl w:val="0"/>
          <w:numId w:val="4"/>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b/>
          <w:bCs/>
          <w:color w:val="333333"/>
          <w:lang w:eastAsia="en-IN"/>
        </w:rPr>
        <w:t>Differentiate between The attempt to murder under section 307 IPC  with section 324 IPC, which deals with voluntarily causing hurt using dangerous weapons in short ?</w:t>
      </w:r>
    </w:p>
    <w:p w:rsidR="00A84E4C" w:rsidRPr="00A84E4C" w:rsidRDefault="00A84E4C" w:rsidP="00A84E4C">
      <w:pPr>
        <w:shd w:val="clear" w:color="auto" w:fill="FFFFFF"/>
        <w:spacing w:after="100" w:afterAutospacing="1" w:line="240" w:lineRule="auto"/>
        <w:ind w:left="81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The offence of attempt to murder is a very serious offence because it is not very different from the offence of murder itself where death of the victim which is not present under section 307.</w:t>
      </w:r>
    </w:p>
    <w:p w:rsidR="00A84E4C" w:rsidRPr="00A84E4C" w:rsidRDefault="00A84E4C" w:rsidP="00A84E4C">
      <w:pPr>
        <w:shd w:val="clear" w:color="auto" w:fill="FFFFFF"/>
        <w:spacing w:after="100" w:afterAutospacing="1" w:line="240" w:lineRule="auto"/>
        <w:ind w:left="81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For the conviction under this section more importance has been given to mens rea or the intention than the </w:t>
      </w:r>
      <w:r w:rsidRPr="00A84E4C">
        <w:rPr>
          <w:rFonts w:ascii="Helvetica Neue" w:eastAsia="Times New Roman" w:hAnsi="Helvetica Neue" w:cs="Times New Roman"/>
          <w:i/>
          <w:iCs/>
          <w:color w:val="333333"/>
          <w:lang w:eastAsia="en-IN"/>
        </w:rPr>
        <w:t>actus reus</w:t>
      </w:r>
      <w:r w:rsidRPr="00A84E4C">
        <w:rPr>
          <w:rFonts w:ascii="Helvetica Neue" w:eastAsia="Times New Roman" w:hAnsi="Helvetica Neue" w:cs="Times New Roman"/>
          <w:color w:val="333333"/>
          <w:lang w:eastAsia="en-IN"/>
        </w:rPr>
        <w:t> or the actual act itself. The attempt should arise out of a specific intention or desire to murder the victim.” The nature of the weapon used, the manner in which it is used, motive for the crime, severity of the blow, the part of the body where the injury is inflicted is all taken into consideration to determine the intention</w:t>
      </w:r>
      <w:r w:rsidRPr="00A84E4C">
        <w:rPr>
          <w:rFonts w:ascii="Helvetica Neue" w:eastAsia="Times New Roman" w:hAnsi="Helvetica Neue" w:cs="Times New Roman"/>
          <w:i/>
          <w:iCs/>
          <w:color w:val="333333"/>
          <w:lang w:eastAsia="en-IN"/>
        </w:rPr>
        <w:t>”</w:t>
      </w:r>
    </w:p>
    <w:p w:rsidR="00A84E4C" w:rsidRPr="00A84E4C" w:rsidRDefault="00A84E4C" w:rsidP="00A84E4C">
      <w:pPr>
        <w:numPr>
          <w:ilvl w:val="0"/>
          <w:numId w:val="5"/>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b/>
          <w:bCs/>
          <w:color w:val="333333"/>
          <w:lang w:eastAsia="en-IN"/>
        </w:rPr>
        <w:t>The accused tried to hit the victim with a sword but somehow the victim got saved and the blow only caused simple injury what is the offence ?</w:t>
      </w:r>
    </w:p>
    <w:p w:rsidR="00A84E4C" w:rsidRPr="00A84E4C" w:rsidRDefault="00A84E4C" w:rsidP="00A84E4C">
      <w:pPr>
        <w:shd w:val="clear" w:color="auto" w:fill="FFFFFF"/>
        <w:spacing w:after="100" w:afterAutospacing="1" w:line="240" w:lineRule="auto"/>
        <w:ind w:left="81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Ans:-the accused may convicted under section 307 IPC because of the dangerous weapon used, which gave away the intention of the accused, which was to murder the victim. “</w:t>
      </w:r>
      <w:r w:rsidRPr="00A84E4C">
        <w:rPr>
          <w:rFonts w:ascii="Helvetica Neue" w:eastAsia="Times New Roman" w:hAnsi="Helvetica Neue" w:cs="Times New Roman"/>
          <w:i/>
          <w:iCs/>
          <w:color w:val="333333"/>
          <w:lang w:eastAsia="en-IN"/>
        </w:rPr>
        <w:t>So basically if the intention or necessary knowledge to cause death as envisaged by section 300 IPC which defines murder is there, then it is immaterial to whether or not any hurt was caused to the victim by the accused</w:t>
      </w:r>
    </w:p>
    <w:p w:rsidR="00A84E4C" w:rsidRPr="00A84E4C" w:rsidRDefault="00A84E4C" w:rsidP="00A84E4C">
      <w:pPr>
        <w:numPr>
          <w:ilvl w:val="0"/>
          <w:numId w:val="6"/>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Differentiate between Wrongful restraint wrongful confinement ?</w:t>
      </w:r>
    </w:p>
    <w:p w:rsidR="00A84E4C" w:rsidRPr="00A84E4C" w:rsidRDefault="00A84E4C" w:rsidP="00A84E4C">
      <w:pPr>
        <w:shd w:val="clear" w:color="auto" w:fill="FFFFFF"/>
        <w:spacing w:after="100" w:afterAutospacing="1" w:line="240" w:lineRule="auto"/>
        <w:ind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Ans:-Wrongful restraint means obstructing a man from moving from one place to another where he has the right to be and wants to go.</w:t>
      </w:r>
    </w:p>
    <w:p w:rsidR="00A84E4C" w:rsidRPr="00A84E4C" w:rsidRDefault="00A84E4C" w:rsidP="00A84E4C">
      <w:pPr>
        <w:shd w:val="clear" w:color="auto" w:fill="FFFFFF"/>
        <w:spacing w:after="100" w:afterAutospacing="1" w:line="240" w:lineRule="auto"/>
        <w:ind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In wrongful confinement, a person is wrongfully restrained from proceeding beyond certain circumscribing limits.</w:t>
      </w:r>
    </w:p>
    <w:p w:rsidR="00A84E4C" w:rsidRPr="00A84E4C" w:rsidRDefault="00A84E4C" w:rsidP="00A84E4C">
      <w:pPr>
        <w:numPr>
          <w:ilvl w:val="0"/>
          <w:numId w:val="7"/>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Can a man commit theft of his own property?</w:t>
      </w:r>
    </w:p>
    <w:p w:rsidR="00A84E4C" w:rsidRPr="00A84E4C" w:rsidRDefault="00A84E4C" w:rsidP="00A84E4C">
      <w:pPr>
        <w:shd w:val="clear" w:color="auto" w:fill="FFFFFF"/>
        <w:spacing w:after="100" w:afterAutospacing="1" w:line="240" w:lineRule="auto"/>
        <w:ind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Ans:-As per the definition of theft given in section 378, it is not the ownership but the possession of the property that is important. A person may be a legal owner of a property but if that property is in possession, legally valid or invalid, of another, it is possible for the owner to commit theft of his own property.</w:t>
      </w:r>
    </w:p>
    <w:p w:rsidR="00A84E4C" w:rsidRPr="00A84E4C" w:rsidRDefault="00A84E4C" w:rsidP="00A84E4C">
      <w:pPr>
        <w:numPr>
          <w:ilvl w:val="0"/>
          <w:numId w:val="8"/>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Whether it is an offence to lodge a false report to the police?</w:t>
      </w:r>
    </w:p>
    <w:p w:rsidR="00A84E4C" w:rsidRPr="00A84E4C" w:rsidRDefault="00A84E4C" w:rsidP="00A84E4C">
      <w:pPr>
        <w:shd w:val="clear" w:color="auto" w:fill="FFFFFF"/>
        <w:spacing w:after="100" w:afterAutospacing="1" w:line="240" w:lineRule="auto"/>
        <w:ind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 Lodging a false report with the police is made punishable under section 182 and 211 IPC</w:t>
      </w:r>
    </w:p>
    <w:p w:rsidR="00A84E4C" w:rsidRPr="00A84E4C" w:rsidRDefault="00A84E4C" w:rsidP="00A84E4C">
      <w:pPr>
        <w:numPr>
          <w:ilvl w:val="0"/>
          <w:numId w:val="9"/>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lastRenderedPageBreak/>
        <w:t>What do you mean Warrant case ?</w:t>
      </w:r>
    </w:p>
    <w:p w:rsidR="00A84E4C" w:rsidRPr="00A84E4C" w:rsidRDefault="00A84E4C" w:rsidP="00A84E4C">
      <w:pPr>
        <w:shd w:val="clear" w:color="auto" w:fill="FFFFFF"/>
        <w:spacing w:after="100" w:afterAutospacing="1" w:line="240" w:lineRule="auto"/>
        <w:ind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Ans:-Section 2 (x) CrPC) says </w:t>
      </w:r>
      <w:r w:rsidRPr="00A84E4C">
        <w:rPr>
          <w:rFonts w:ascii="Helvetica Neue" w:eastAsia="Times New Roman" w:hAnsi="Helvetica Neue" w:cs="Times New Roman"/>
          <w:i/>
          <w:iCs/>
          <w:color w:val="333333"/>
          <w:lang w:eastAsia="en-IN"/>
        </w:rPr>
        <w:t>“Warrant case” </w:t>
      </w:r>
      <w:r w:rsidRPr="00A84E4C">
        <w:rPr>
          <w:rFonts w:ascii="Helvetica Neue" w:eastAsia="Times New Roman" w:hAnsi="Helvetica Neue" w:cs="Times New Roman"/>
          <w:color w:val="333333"/>
          <w:lang w:eastAsia="en-IN"/>
        </w:rPr>
        <w:t>means a case relating to an offence punishable with death, imprisonment for life or imprisonment for a term exceeding two years;</w:t>
      </w:r>
    </w:p>
    <w:p w:rsidR="00A84E4C" w:rsidRPr="00A84E4C" w:rsidRDefault="00A84E4C" w:rsidP="00A84E4C">
      <w:pPr>
        <w:numPr>
          <w:ilvl w:val="0"/>
          <w:numId w:val="10"/>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What is Cognizable case ?</w:t>
      </w:r>
    </w:p>
    <w:p w:rsidR="00A84E4C" w:rsidRPr="00A84E4C" w:rsidRDefault="00A84E4C" w:rsidP="00A84E4C">
      <w:pPr>
        <w:shd w:val="clear" w:color="auto" w:fill="FFFFFF"/>
        <w:spacing w:after="100" w:afterAutospacing="1" w:line="240" w:lineRule="auto"/>
        <w:ind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 Sec. 2 (C) CrPC says cognizable case means a case in which, a police officer may, in accordance with the First Schedule or under any other law for the time being in force arrest without warrant.</w:t>
      </w:r>
    </w:p>
    <w:p w:rsidR="00A84E4C" w:rsidRPr="00A84E4C" w:rsidRDefault="00A84E4C" w:rsidP="00A84E4C">
      <w:pPr>
        <w:numPr>
          <w:ilvl w:val="0"/>
          <w:numId w:val="11"/>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What do you mean Investigation ?</w:t>
      </w:r>
    </w:p>
    <w:p w:rsidR="00A84E4C" w:rsidRPr="00A84E4C" w:rsidRDefault="00A84E4C" w:rsidP="00A84E4C">
      <w:pPr>
        <w:shd w:val="clear" w:color="auto" w:fill="FFFFFF"/>
        <w:spacing w:after="100" w:afterAutospacing="1" w:line="240" w:lineRule="auto"/>
        <w:ind w:left="45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 Investigation is nothing but the collection of evidence in search of truth.</w:t>
      </w:r>
    </w:p>
    <w:p w:rsidR="00A84E4C" w:rsidRPr="00A84E4C" w:rsidRDefault="00A84E4C" w:rsidP="00A84E4C">
      <w:pPr>
        <w:shd w:val="clear" w:color="auto" w:fill="FFFFFF"/>
        <w:spacing w:after="100" w:afterAutospacing="1" w:line="240" w:lineRule="auto"/>
        <w:ind w:left="45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Investigation” (Section 2(h) CrPC) includes all the proceedings under this code for the collection of evidence conducted by a police officer or by any person (other than a Magistrate) who is authorized by a Magistrate in this behalf; Investigation of crime means collection of evidences in respect of an incident of crime or allegation to establish the truth and fixing responsibilities of the offender.</w:t>
      </w:r>
    </w:p>
    <w:p w:rsidR="00A84E4C" w:rsidRPr="00A84E4C" w:rsidRDefault="00A84E4C" w:rsidP="00A84E4C">
      <w:pPr>
        <w:numPr>
          <w:ilvl w:val="0"/>
          <w:numId w:val="12"/>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Who is conducted Inquiry?</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                 Ans:-Inquiry is conducted by Magistrate or by any other person authorized by law.        </w:t>
      </w:r>
    </w:p>
    <w:p w:rsidR="00A84E4C" w:rsidRPr="00A84E4C" w:rsidRDefault="00A84E4C" w:rsidP="00A84E4C">
      <w:pPr>
        <w:numPr>
          <w:ilvl w:val="0"/>
          <w:numId w:val="13"/>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What is the remedy if police refuse  to Record FIR ?</w:t>
      </w:r>
    </w:p>
    <w:p w:rsidR="00A84E4C" w:rsidRPr="00A84E4C" w:rsidRDefault="00A84E4C" w:rsidP="00A84E4C">
      <w:pPr>
        <w:shd w:val="clear" w:color="auto" w:fill="FFFFFF"/>
        <w:spacing w:after="100" w:afterAutospacing="1" w:line="240" w:lineRule="auto"/>
        <w:ind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 :-Remedy is provided by Section 154 (3) CrPC. The person aggrieved can send to the Superintendent of Police the substance of the information by post. The Superintendent of Police of the district may investigate the case himself or direct any officer subordinate to him for investigation.</w:t>
      </w:r>
    </w:p>
    <w:p w:rsidR="00A84E4C" w:rsidRPr="00A84E4C" w:rsidRDefault="00A84E4C" w:rsidP="00A84E4C">
      <w:pPr>
        <w:shd w:val="clear" w:color="auto" w:fill="FFFFFF"/>
        <w:spacing w:after="100" w:afterAutospacing="1" w:line="240" w:lineRule="auto"/>
        <w:ind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Further the informant can file petition before Ld. Magistrate who will forward the same to the OC of the concerned PS with direction to treat the same as FIR u/s 156(3) CrPC. .</w:t>
      </w:r>
    </w:p>
    <w:p w:rsidR="00A84E4C" w:rsidRPr="00A84E4C" w:rsidRDefault="00A84E4C" w:rsidP="00A84E4C">
      <w:pPr>
        <w:numPr>
          <w:ilvl w:val="0"/>
          <w:numId w:val="14"/>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Can FIR be lodge by the accused ?</w:t>
      </w:r>
    </w:p>
    <w:p w:rsidR="00A84E4C" w:rsidRPr="00A84E4C" w:rsidRDefault="00A84E4C" w:rsidP="00A84E4C">
      <w:pPr>
        <w:shd w:val="clear" w:color="auto" w:fill="FFFFFF"/>
        <w:spacing w:after="100" w:afterAutospacing="1" w:line="240" w:lineRule="auto"/>
        <w:ind w:left="54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 :-If the accused gives information of the offence, the officer-in-charge must record it. Any confession which may form part of such an FIR will be inadmissible under section 25 Evidence Act, but those facts, which do not amount to a confession and merely go to show the motive, preparation or opportunity for the crime or give the information leading to the discovery of a fact, can certainly be provided on behalf of prosecution under sec.7, 8 and 27 of the Evidence Act.</w:t>
      </w:r>
    </w:p>
    <w:p w:rsidR="00A84E4C" w:rsidRPr="00A84E4C" w:rsidRDefault="00A84E4C" w:rsidP="00A84E4C">
      <w:pPr>
        <w:numPr>
          <w:ilvl w:val="0"/>
          <w:numId w:val="15"/>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Can FIR be Quashing?</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Ans:-FIR drawn up on the basis of information which does not disclose any offence or discloses only non-cognizable offence can be quashed by the High Court by invoking power under Art. 226 of the Constitution of India or under Sec. 482 CrPC..</w:t>
      </w:r>
    </w:p>
    <w:p w:rsidR="00A84E4C" w:rsidRPr="00A84E4C" w:rsidRDefault="00A84E4C" w:rsidP="00A84E4C">
      <w:pPr>
        <w:numPr>
          <w:ilvl w:val="0"/>
          <w:numId w:val="16"/>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lastRenderedPageBreak/>
        <w:t>Who is Hostile Witness ?</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The term 'Hostile Witness' does not appear in the Indian Evidence Act. When any witness is permitted by the court to be cross-examined by the party who called him, the witness is popularly called hostile witness.</w:t>
      </w:r>
    </w:p>
    <w:p w:rsidR="00A84E4C" w:rsidRPr="00A84E4C" w:rsidRDefault="00A84E4C" w:rsidP="00A84E4C">
      <w:pPr>
        <w:numPr>
          <w:ilvl w:val="0"/>
          <w:numId w:val="17"/>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b/>
          <w:bCs/>
          <w:color w:val="333333"/>
          <w:lang w:eastAsia="en-IN"/>
        </w:rPr>
        <w:t>Search Warrant – What is it?</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Simply speaking, it is an authority given by a competent public servant to search a place for anything or person.</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 search warrant is a warrant issued by a Court for the search of a place to be executed in the same way as a warrant for arrest of a person (Sec. 99), subject to the special safeguards provided in Section 100 CrPC.</w:t>
      </w:r>
    </w:p>
    <w:p w:rsidR="00A84E4C" w:rsidRPr="00A84E4C" w:rsidRDefault="00A84E4C" w:rsidP="00A84E4C">
      <w:pPr>
        <w:numPr>
          <w:ilvl w:val="0"/>
          <w:numId w:val="18"/>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What are the relevant provisions for arrest without a warrant?</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Ans :-Arrest without a warrant are contained in sections 41, 42, 48, 60, 120, 130, 151 and 171 of the CrPC. Preventive arrest, object and power of police are contained in sections 55, 129(2), 123(6), 432(3),CrPC.</w:t>
      </w:r>
    </w:p>
    <w:p w:rsidR="00A84E4C" w:rsidRPr="00A84E4C" w:rsidRDefault="00A84E4C" w:rsidP="00A84E4C">
      <w:pPr>
        <w:numPr>
          <w:ilvl w:val="0"/>
          <w:numId w:val="19"/>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What do you mean Remand ?</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To remand a person‟ means to send him back to the custody for further investigation or trial. An accused may be remanded to POLICE custody or JUDICIAL Custody on the order of a Court and upon its Satisfaction.</w:t>
      </w:r>
    </w:p>
    <w:p w:rsidR="00A84E4C" w:rsidRPr="00A84E4C" w:rsidRDefault="00A84E4C" w:rsidP="00A84E4C">
      <w:pPr>
        <w:numPr>
          <w:ilvl w:val="0"/>
          <w:numId w:val="20"/>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What is Transit Remand ?</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 When an accused is arrested outside the jurisdiction of the Police Station, where the case was recorded by the officers of that PS, then as per norms he should be produced before the Court within 24 hours. But if the distance is such that the accused cannot be produced before court within 24 hours , then the accused should be produced before the local court within whose jurisdiction he was arrested with prayer for allowing sufficient time for producing the accused before the court of original jurisdiction. Court will allow sufficient time for the same which is called transit remand.</w:t>
      </w:r>
    </w:p>
    <w:p w:rsidR="00A84E4C" w:rsidRPr="00A84E4C" w:rsidRDefault="00A84E4C" w:rsidP="00A84E4C">
      <w:pPr>
        <w:numPr>
          <w:ilvl w:val="0"/>
          <w:numId w:val="21"/>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What is TEST IDENTIFICATION PARADE ?</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Facts which establish the identity of any person or thing whose identity is relevant, are, by virtue of section 9 Indian Evidence Act, relevant. The term used in police investigation is test identification.</w:t>
      </w:r>
    </w:p>
    <w:p w:rsidR="00A84E4C" w:rsidRPr="00A84E4C" w:rsidRDefault="00A84E4C" w:rsidP="00A84E4C">
      <w:pPr>
        <w:numPr>
          <w:ilvl w:val="0"/>
          <w:numId w:val="22"/>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Inquest – what its meaning:</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Strictly speaking, it mean the inquiry held u/s176 by a competent Executive Magistrate into the cause of an unnatural or suspicious death.</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 Loosely, it is also applied to refer to the investigation conducted by a police officer u/s 174 CrPC for the purpose of ascertaining the apparent cause of an unnatural or suspicious death.</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lastRenderedPageBreak/>
        <w:t> Hence, the term, "Inquest" is commonly used to mean either an investigation by the police u/s174 CrPC or an inquiry by the Magistrate u/s176 CrPC undertaken by them under the Law to find out the cause of an unnatural or suspicious death.</w:t>
      </w:r>
    </w:p>
    <w:p w:rsidR="00A84E4C" w:rsidRPr="00A84E4C" w:rsidRDefault="00A84E4C" w:rsidP="00A84E4C">
      <w:pPr>
        <w:numPr>
          <w:ilvl w:val="0"/>
          <w:numId w:val="23"/>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What is CASE DIARIES ?</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A case Diary is the record of investigation prescribed by section 172(1) CrPC.</w:t>
      </w:r>
    </w:p>
    <w:p w:rsidR="00A84E4C" w:rsidRPr="00A84E4C" w:rsidRDefault="00A84E4C" w:rsidP="00A84E4C">
      <w:pPr>
        <w:numPr>
          <w:ilvl w:val="0"/>
          <w:numId w:val="24"/>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What is Charge Sheet?</w:t>
      </w:r>
    </w:p>
    <w:p w:rsidR="00A84E4C" w:rsidRPr="00A84E4C" w:rsidRDefault="00A84E4C" w:rsidP="00A84E4C">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A84E4C">
        <w:rPr>
          <w:rFonts w:ascii="Helvetica Neue" w:eastAsia="Times New Roman" w:hAnsi="Helvetica Neue" w:cs="Times New Roman"/>
          <w:color w:val="333333"/>
          <w:lang w:eastAsia="en-IN"/>
        </w:rPr>
        <w:t>“There is no provision for a charge-sheet in the Criminal Procedure Code: charge-sheet is a form provided under Department Rules of the Government presumably under section 173 (2) (i) of the Cr.P.c.</w:t>
      </w:r>
    </w:p>
    <w:p w:rsidR="00920D4B" w:rsidRDefault="00920D4B"/>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Helvetica Neue">
    <w:charset w:val="00"/>
    <w:family w:val="auto"/>
    <w:pitch w:val="variable"/>
    <w:sig w:usb0="80000067"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22D91"/>
    <w:multiLevelType w:val="multilevel"/>
    <w:tmpl w:val="8BFE3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440905"/>
    <w:multiLevelType w:val="multilevel"/>
    <w:tmpl w:val="7D92E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A94EA5"/>
    <w:multiLevelType w:val="multilevel"/>
    <w:tmpl w:val="B5A4F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E304B5"/>
    <w:multiLevelType w:val="multilevel"/>
    <w:tmpl w:val="8B36F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7247BF"/>
    <w:multiLevelType w:val="multilevel"/>
    <w:tmpl w:val="5CC8D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091F48"/>
    <w:multiLevelType w:val="multilevel"/>
    <w:tmpl w:val="1E32A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C947C6"/>
    <w:multiLevelType w:val="multilevel"/>
    <w:tmpl w:val="5FC44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A017C0"/>
    <w:multiLevelType w:val="multilevel"/>
    <w:tmpl w:val="C17A1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0C004A"/>
    <w:multiLevelType w:val="multilevel"/>
    <w:tmpl w:val="96747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BFF6168"/>
    <w:multiLevelType w:val="multilevel"/>
    <w:tmpl w:val="4F968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51C16D0"/>
    <w:multiLevelType w:val="multilevel"/>
    <w:tmpl w:val="B602E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037196E"/>
    <w:multiLevelType w:val="multilevel"/>
    <w:tmpl w:val="9E722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58F0FB8"/>
    <w:multiLevelType w:val="multilevel"/>
    <w:tmpl w:val="5762A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6426A39"/>
    <w:multiLevelType w:val="multilevel"/>
    <w:tmpl w:val="BA1C7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9DA3955"/>
    <w:multiLevelType w:val="multilevel"/>
    <w:tmpl w:val="3C3A1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BE11BFC"/>
    <w:multiLevelType w:val="multilevel"/>
    <w:tmpl w:val="72FCB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27313A9"/>
    <w:multiLevelType w:val="multilevel"/>
    <w:tmpl w:val="C2C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4735DB4"/>
    <w:multiLevelType w:val="multilevel"/>
    <w:tmpl w:val="F7681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7894AFD"/>
    <w:multiLevelType w:val="multilevel"/>
    <w:tmpl w:val="01463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2242C9A"/>
    <w:multiLevelType w:val="multilevel"/>
    <w:tmpl w:val="93362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3D617EF"/>
    <w:multiLevelType w:val="multilevel"/>
    <w:tmpl w:val="D6D2D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D5444CA"/>
    <w:multiLevelType w:val="multilevel"/>
    <w:tmpl w:val="58A4E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E2C1F62"/>
    <w:multiLevelType w:val="multilevel"/>
    <w:tmpl w:val="39C6D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FE30CA4"/>
    <w:multiLevelType w:val="multilevel"/>
    <w:tmpl w:val="400C5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6"/>
  </w:num>
  <w:num w:numId="4">
    <w:abstractNumId w:val="4"/>
  </w:num>
  <w:num w:numId="5">
    <w:abstractNumId w:val="16"/>
  </w:num>
  <w:num w:numId="6">
    <w:abstractNumId w:val="9"/>
  </w:num>
  <w:num w:numId="7">
    <w:abstractNumId w:val="17"/>
  </w:num>
  <w:num w:numId="8">
    <w:abstractNumId w:val="2"/>
  </w:num>
  <w:num w:numId="9">
    <w:abstractNumId w:val="20"/>
  </w:num>
  <w:num w:numId="10">
    <w:abstractNumId w:val="23"/>
  </w:num>
  <w:num w:numId="11">
    <w:abstractNumId w:val="18"/>
  </w:num>
  <w:num w:numId="12">
    <w:abstractNumId w:val="13"/>
  </w:num>
  <w:num w:numId="13">
    <w:abstractNumId w:val="19"/>
  </w:num>
  <w:num w:numId="14">
    <w:abstractNumId w:val="8"/>
  </w:num>
  <w:num w:numId="15">
    <w:abstractNumId w:val="15"/>
  </w:num>
  <w:num w:numId="16">
    <w:abstractNumId w:val="7"/>
  </w:num>
  <w:num w:numId="17">
    <w:abstractNumId w:val="10"/>
  </w:num>
  <w:num w:numId="18">
    <w:abstractNumId w:val="21"/>
  </w:num>
  <w:num w:numId="19">
    <w:abstractNumId w:val="22"/>
  </w:num>
  <w:num w:numId="20">
    <w:abstractNumId w:val="1"/>
  </w:num>
  <w:num w:numId="21">
    <w:abstractNumId w:val="14"/>
  </w:num>
  <w:num w:numId="22">
    <w:abstractNumId w:val="11"/>
  </w:num>
  <w:num w:numId="23">
    <w:abstractNumId w:val="0"/>
  </w:num>
  <w:num w:numId="2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84E4C"/>
    <w:rsid w:val="00085D0D"/>
    <w:rsid w:val="001E77D9"/>
    <w:rsid w:val="00227C11"/>
    <w:rsid w:val="00246A19"/>
    <w:rsid w:val="004D538A"/>
    <w:rsid w:val="006558B9"/>
    <w:rsid w:val="0069677C"/>
    <w:rsid w:val="007219CF"/>
    <w:rsid w:val="00920D4B"/>
    <w:rsid w:val="00A112D5"/>
    <w:rsid w:val="00A56148"/>
    <w:rsid w:val="00A84E4C"/>
    <w:rsid w:val="00AC3E14"/>
    <w:rsid w:val="00AC65BF"/>
    <w:rsid w:val="00AD1CC7"/>
    <w:rsid w:val="00B20751"/>
    <w:rsid w:val="00C11D8D"/>
    <w:rsid w:val="00DA2A29"/>
    <w:rsid w:val="00DE371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4E4C"/>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A84E4C"/>
    <w:rPr>
      <w:b/>
      <w:bCs/>
    </w:rPr>
  </w:style>
  <w:style w:type="character" w:styleId="Emphasis">
    <w:name w:val="Emphasis"/>
    <w:basedOn w:val="DefaultParagraphFont"/>
    <w:uiPriority w:val="20"/>
    <w:qFormat/>
    <w:rsid w:val="00A84E4C"/>
    <w:rPr>
      <w:i/>
      <w:iCs/>
    </w:rPr>
  </w:style>
  <w:style w:type="character" w:styleId="Hyperlink">
    <w:name w:val="Hyperlink"/>
    <w:basedOn w:val="DefaultParagraphFont"/>
    <w:uiPriority w:val="99"/>
    <w:semiHidden/>
    <w:unhideWhenUsed/>
    <w:rsid w:val="00A84E4C"/>
    <w:rPr>
      <w:color w:val="0000FF"/>
      <w:u w:val="single"/>
    </w:rPr>
  </w:style>
</w:styles>
</file>

<file path=word/webSettings.xml><?xml version="1.0" encoding="utf-8"?>
<w:webSettings xmlns:r="http://schemas.openxmlformats.org/officeDocument/2006/relationships" xmlns:w="http://schemas.openxmlformats.org/wordprocessingml/2006/main">
  <w:divs>
    <w:div w:id="4981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dishapolicecidcb.gov.in/?q=node/14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1708</Words>
  <Characters>9742</Characters>
  <Application>Microsoft Office Word</Application>
  <DocSecurity>0</DocSecurity>
  <Lines>81</Lines>
  <Paragraphs>22</Paragraphs>
  <ScaleCrop>false</ScaleCrop>
  <Company/>
  <LinksUpToDate>false</LinksUpToDate>
  <CharactersWithSpaces>11428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2019-01-18T09:15:00Z</dcterms:created>
  <dcterms:modified xsi:type="dcterms:W3CDTF">2019-01-18T09:15:00Z</dcterms:modified>
</cp:coreProperties>
</file>