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41E" w:rsidRDefault="007F341E">
      <w:pPr>
        <w:pStyle w:val="normal0"/>
        <w:pBdr>
          <w:top w:val="single" w:sz="4" w:space="1" w:color="000000"/>
          <w:left w:val="single" w:sz="4" w:space="4" w:color="000000"/>
          <w:bottom w:val="single" w:sz="4" w:space="1" w:color="000000"/>
          <w:right w:val="single" w:sz="4" w:space="4" w:color="000000"/>
        </w:pBdr>
        <w:jc w:val="center"/>
        <w:rPr>
          <w:rFonts w:ascii="Times New Roman" w:eastAsia="Times New Roman" w:hAnsi="Times New Roman" w:cs="Times New Roman"/>
          <w:b/>
          <w:sz w:val="32"/>
          <w:szCs w:val="32"/>
        </w:rPr>
      </w:pPr>
    </w:p>
    <w:p w:rsidR="007F341E" w:rsidRDefault="007F341E">
      <w:pPr>
        <w:pStyle w:val="normal0"/>
        <w:pBdr>
          <w:top w:val="single" w:sz="4" w:space="1" w:color="000000"/>
          <w:left w:val="single" w:sz="4" w:space="4" w:color="000000"/>
          <w:bottom w:val="single" w:sz="4" w:space="1" w:color="000000"/>
          <w:right w:val="single" w:sz="4" w:space="4" w:color="000000"/>
        </w:pBdr>
        <w:jc w:val="center"/>
        <w:rPr>
          <w:rFonts w:ascii="Times New Roman" w:eastAsia="Times New Roman" w:hAnsi="Times New Roman" w:cs="Times New Roman"/>
          <w:b/>
          <w:sz w:val="32"/>
          <w:szCs w:val="32"/>
        </w:rPr>
      </w:pPr>
    </w:p>
    <w:p w:rsidR="007F341E" w:rsidRDefault="007F341E">
      <w:pPr>
        <w:pStyle w:val="normal0"/>
        <w:pBdr>
          <w:top w:val="single" w:sz="4" w:space="1" w:color="000000"/>
          <w:left w:val="single" w:sz="4" w:space="4" w:color="000000"/>
          <w:bottom w:val="single" w:sz="4" w:space="1" w:color="000000"/>
          <w:right w:val="single" w:sz="4" w:space="4" w:color="000000"/>
        </w:pBdr>
        <w:jc w:val="center"/>
        <w:rPr>
          <w:rFonts w:ascii="Times New Roman" w:eastAsia="Times New Roman" w:hAnsi="Times New Roman" w:cs="Times New Roman"/>
          <w:b/>
          <w:sz w:val="32"/>
          <w:szCs w:val="32"/>
        </w:rPr>
      </w:pPr>
    </w:p>
    <w:p w:rsidR="007F341E" w:rsidRDefault="00DE38E9">
      <w:pPr>
        <w:pStyle w:val="normal0"/>
        <w:pBdr>
          <w:top w:val="single" w:sz="4" w:space="1" w:color="000000"/>
          <w:left w:val="single" w:sz="4" w:space="4" w:color="000000"/>
          <w:bottom w:val="single" w:sz="4" w:space="1" w:color="000000"/>
          <w:right w:val="single" w:sz="4" w:space="4" w:color="000000"/>
        </w:pBd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IN THE HON’BLE SUPREME COURT OF INDIA</w:t>
      </w:r>
    </w:p>
    <w:p w:rsidR="007F341E" w:rsidRDefault="00DE38E9">
      <w:pPr>
        <w:pStyle w:val="normal0"/>
        <w:pBdr>
          <w:top w:val="single" w:sz="4" w:space="1" w:color="000000"/>
          <w:left w:val="single" w:sz="4" w:space="4" w:color="000000"/>
          <w:bottom w:val="single" w:sz="4" w:space="1" w:color="000000"/>
          <w:right w:val="single" w:sz="4" w:space="4" w:color="000000"/>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AT NEW DELHI</w:t>
      </w:r>
    </w:p>
    <w:p w:rsidR="007F341E" w:rsidRDefault="00DE38E9">
      <w:pPr>
        <w:pStyle w:val="normal0"/>
        <w:pBdr>
          <w:top w:val="single" w:sz="4" w:space="1" w:color="000000"/>
          <w:left w:val="single" w:sz="4" w:space="4" w:color="000000"/>
          <w:bottom w:val="single" w:sz="4" w:space="1" w:color="000000"/>
          <w:right w:val="single" w:sz="4" w:space="4" w:color="000000"/>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-CIVIL APPELLATE JURISDICTION -</w:t>
      </w:r>
    </w:p>
    <w:p w:rsidR="007F341E" w:rsidRDefault="00DE38E9">
      <w:pPr>
        <w:pStyle w:val="normal0"/>
        <w:pBdr>
          <w:top w:val="single" w:sz="4" w:space="1" w:color="000000"/>
          <w:left w:val="single" w:sz="4" w:space="4" w:color="000000"/>
          <w:bottom w:val="single" w:sz="4" w:space="1" w:color="000000"/>
          <w:right w:val="single" w:sz="4" w:space="4" w:color="000000"/>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C.S. No. ____/2012</w:t>
      </w:r>
    </w:p>
    <w:p w:rsidR="007F341E" w:rsidRDefault="007F341E">
      <w:pPr>
        <w:pStyle w:val="normal0"/>
        <w:pBdr>
          <w:top w:val="single" w:sz="4" w:space="1" w:color="000000"/>
          <w:left w:val="single" w:sz="4" w:space="4" w:color="000000"/>
          <w:bottom w:val="single" w:sz="4" w:space="1" w:color="000000"/>
          <w:right w:val="single" w:sz="4" w:space="4" w:color="000000"/>
        </w:pBdr>
        <w:jc w:val="center"/>
        <w:rPr>
          <w:rFonts w:ascii="Times New Roman" w:eastAsia="Times New Roman" w:hAnsi="Times New Roman" w:cs="Times New Roman"/>
          <w:b/>
          <w:sz w:val="24"/>
          <w:szCs w:val="24"/>
        </w:rPr>
      </w:pPr>
    </w:p>
    <w:p w:rsidR="007F341E" w:rsidRDefault="007F341E">
      <w:pPr>
        <w:pStyle w:val="normal0"/>
        <w:pBdr>
          <w:top w:val="single" w:sz="4" w:space="1" w:color="000000"/>
          <w:left w:val="single" w:sz="4" w:space="4" w:color="000000"/>
          <w:bottom w:val="single" w:sz="4" w:space="1" w:color="000000"/>
          <w:right w:val="single" w:sz="4" w:space="4" w:color="000000"/>
        </w:pBdr>
        <w:jc w:val="center"/>
        <w:rPr>
          <w:rFonts w:ascii="Times New Roman" w:eastAsia="Times New Roman" w:hAnsi="Times New Roman" w:cs="Times New Roman"/>
          <w:b/>
          <w:sz w:val="24"/>
          <w:szCs w:val="24"/>
        </w:rPr>
      </w:pPr>
    </w:p>
    <w:p w:rsidR="007F341E" w:rsidRDefault="00DE38E9">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THE MATTER OF:</w:t>
      </w:r>
    </w:p>
    <w:p w:rsidR="007F341E" w:rsidRDefault="007F341E">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p>
    <w:p w:rsidR="007F341E" w:rsidRDefault="00DE38E9">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ARNOB MURGWALA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PLAINTIFF</w:t>
      </w:r>
    </w:p>
    <w:p w:rsidR="007F341E" w:rsidRDefault="00DE38E9">
      <w:pPr>
        <w:pStyle w:val="normal0"/>
        <w:pBdr>
          <w:top w:val="single" w:sz="4" w:space="1" w:color="000000"/>
          <w:left w:val="single" w:sz="4" w:space="4" w:color="000000"/>
          <w:bottom w:val="single" w:sz="4" w:space="1" w:color="000000"/>
          <w:right w:val="single" w:sz="4" w:space="4" w:color="000000"/>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w:t>
      </w:r>
    </w:p>
    <w:p w:rsidR="007F341E" w:rsidRDefault="00DE38E9">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ARNAB MURGWALA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 DEFENDANT No.1</w:t>
      </w:r>
    </w:p>
    <w:p w:rsidR="007F341E" w:rsidRDefault="00DE38E9">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ZOOZLE GmBH                                                      ... DEFENDANT No.2</w:t>
      </w:r>
    </w:p>
    <w:p w:rsidR="007F341E" w:rsidRDefault="007F341E">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p>
    <w:p w:rsidR="007F341E" w:rsidRDefault="007F341E">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p>
    <w:p w:rsidR="007F341E" w:rsidRDefault="007F341E">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p>
    <w:p w:rsidR="007F341E" w:rsidRDefault="007F341E">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p>
    <w:p w:rsidR="007F341E" w:rsidRDefault="007F341E">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p>
    <w:p w:rsidR="007F341E" w:rsidRDefault="007F341E">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p>
    <w:p w:rsidR="007F341E" w:rsidRDefault="00DE38E9">
      <w:pPr>
        <w:pStyle w:val="normal0"/>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COUNSEL(s) FOR DEFENDENTS</w:t>
      </w:r>
    </w:p>
    <w:p w:rsidR="007F341E" w:rsidRDefault="007F341E">
      <w:pPr>
        <w:pStyle w:val="normal0"/>
      </w:pPr>
    </w:p>
    <w:p w:rsidR="007F341E" w:rsidRDefault="00DE38E9">
      <w:pPr>
        <w:pStyle w:val="normal0"/>
        <w:pBdr>
          <w:top w:val="single" w:sz="4" w:space="1" w:color="000000"/>
          <w:left w:val="single" w:sz="4" w:space="4" w:color="000000"/>
          <w:bottom w:val="single" w:sz="4" w:space="0" w:color="000000"/>
          <w:right w:val="single" w:sz="4" w:space="4" w:color="000000"/>
        </w:pBdr>
        <w:jc w:val="center"/>
        <w:rPr>
          <w:rFonts w:ascii="Times New Roman" w:eastAsia="Times New Roman" w:hAnsi="Times New Roman" w:cs="Times New Roman"/>
          <w:b/>
          <w:sz w:val="24"/>
          <w:szCs w:val="24"/>
          <w:u w:val="single"/>
        </w:rPr>
      </w:pPr>
      <w:r>
        <w:br w:type="page"/>
      </w:r>
      <w:r>
        <w:rPr>
          <w:rFonts w:ascii="Times New Roman" w:eastAsia="Times New Roman" w:hAnsi="Times New Roman" w:cs="Times New Roman"/>
          <w:b/>
          <w:sz w:val="24"/>
          <w:szCs w:val="24"/>
          <w:u w:val="single"/>
        </w:rPr>
        <w:lastRenderedPageBreak/>
        <w:t>TABLE OF CONTENTS</w:t>
      </w:r>
    </w:p>
    <w:p w:rsidR="007F341E" w:rsidRDefault="007F341E">
      <w:pPr>
        <w:pStyle w:val="normal0"/>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u w:val="single"/>
        </w:rPr>
      </w:pPr>
    </w:p>
    <w:p w:rsidR="007F341E" w:rsidRDefault="00DE38E9">
      <w:pPr>
        <w:pStyle w:val="normal0"/>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INDEX OF AUTHORITIES</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p>
    <w:p w:rsidR="007F341E" w:rsidRDefault="00DE38E9">
      <w:pPr>
        <w:pStyle w:val="normal0"/>
        <w:numPr>
          <w:ilvl w:val="0"/>
          <w:numId w:val="1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BOOKS REFERRED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t>2</w:t>
      </w:r>
    </w:p>
    <w:p w:rsidR="007F341E" w:rsidRDefault="00DE38E9">
      <w:pPr>
        <w:pStyle w:val="normal0"/>
        <w:numPr>
          <w:ilvl w:val="0"/>
          <w:numId w:val="1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DICTIONARIES REFERRED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t>2</w:t>
      </w:r>
    </w:p>
    <w:p w:rsidR="007F341E" w:rsidRDefault="00DE38E9">
      <w:pPr>
        <w:pStyle w:val="normal0"/>
        <w:numPr>
          <w:ilvl w:val="0"/>
          <w:numId w:val="1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STATUES REFERRED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2</w:t>
      </w:r>
    </w:p>
    <w:p w:rsidR="007F341E" w:rsidRDefault="00DE38E9">
      <w:pPr>
        <w:pStyle w:val="normal0"/>
        <w:numPr>
          <w:ilvl w:val="0"/>
          <w:numId w:val="1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JOURNALS REFERRED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t>2</w:t>
      </w:r>
    </w:p>
    <w:p w:rsidR="007F341E" w:rsidRDefault="007F341E">
      <w:pPr>
        <w:pStyle w:val="normal0"/>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p>
    <w:p w:rsidR="007F341E" w:rsidRDefault="00DE38E9">
      <w:pPr>
        <w:pStyle w:val="normal0"/>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LIST OF ABBRIVIATIONS</w:t>
      </w:r>
      <w:r>
        <w:rPr>
          <w:rFonts w:ascii="Times New Roman" w:eastAsia="Times New Roman" w:hAnsi="Times New Roman" w:cs="Times New Roman"/>
          <w:color w:val="000000"/>
          <w:sz w:val="24"/>
          <w:szCs w:val="24"/>
        </w:rPr>
        <w:t>…       3</w:t>
      </w:r>
    </w:p>
    <w:p w:rsidR="007F341E" w:rsidRDefault="007F341E">
      <w:pPr>
        <w:pStyle w:val="normal0"/>
        <w:pBdr>
          <w:top w:val="nil"/>
          <w:left w:val="nil"/>
          <w:bottom w:val="nil"/>
          <w:right w:val="nil"/>
          <w:between w:val="nil"/>
        </w:pBdr>
        <w:ind w:left="720" w:hanging="720"/>
        <w:rPr>
          <w:rFonts w:ascii="Times New Roman" w:eastAsia="Times New Roman" w:hAnsi="Times New Roman" w:cs="Times New Roman"/>
          <w:b/>
          <w:color w:val="000000"/>
          <w:sz w:val="24"/>
          <w:szCs w:val="24"/>
        </w:rPr>
      </w:pPr>
    </w:p>
    <w:p w:rsidR="007F341E" w:rsidRDefault="00DE38E9">
      <w:pPr>
        <w:pStyle w:val="normal0"/>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TABLE OF CASES                                                  </w:t>
      </w:r>
      <w:r>
        <w:rPr>
          <w:rFonts w:ascii="Times New Roman" w:eastAsia="Times New Roman" w:hAnsi="Times New Roman" w:cs="Times New Roman"/>
          <w:color w:val="000000"/>
          <w:sz w:val="24"/>
          <w:szCs w:val="24"/>
        </w:rPr>
        <w:t xml:space="preserve"> ...        4</w:t>
      </w:r>
    </w:p>
    <w:p w:rsidR="007F341E" w:rsidRDefault="007F341E">
      <w:pPr>
        <w:pStyle w:val="normal0"/>
        <w:pBdr>
          <w:top w:val="nil"/>
          <w:left w:val="nil"/>
          <w:bottom w:val="nil"/>
          <w:right w:val="nil"/>
          <w:between w:val="nil"/>
        </w:pBdr>
        <w:spacing w:after="0" w:line="360" w:lineRule="auto"/>
        <w:ind w:left="720"/>
        <w:rPr>
          <w:rFonts w:ascii="Times New Roman" w:eastAsia="Times New Roman" w:hAnsi="Times New Roman" w:cs="Times New Roman"/>
          <w:b/>
          <w:color w:val="000000"/>
          <w:sz w:val="24"/>
          <w:szCs w:val="24"/>
        </w:rPr>
      </w:pPr>
    </w:p>
    <w:p w:rsidR="007F341E" w:rsidRDefault="00DE38E9">
      <w:pPr>
        <w:pStyle w:val="normal0"/>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STATEMENT OF JURISDICTION</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6</w:t>
      </w:r>
    </w:p>
    <w:p w:rsidR="007F341E" w:rsidRDefault="007F341E">
      <w:pPr>
        <w:pStyle w:val="normal0"/>
        <w:pBdr>
          <w:top w:val="nil"/>
          <w:left w:val="nil"/>
          <w:bottom w:val="nil"/>
          <w:right w:val="nil"/>
          <w:between w:val="nil"/>
        </w:pBdr>
        <w:spacing w:after="0" w:line="360" w:lineRule="auto"/>
        <w:ind w:left="360"/>
        <w:rPr>
          <w:rFonts w:ascii="Times New Roman" w:eastAsia="Times New Roman" w:hAnsi="Times New Roman" w:cs="Times New Roman"/>
          <w:b/>
          <w:color w:val="000000"/>
          <w:sz w:val="24"/>
          <w:szCs w:val="24"/>
        </w:rPr>
      </w:pPr>
    </w:p>
    <w:p w:rsidR="007F341E" w:rsidRDefault="00DE38E9">
      <w:pPr>
        <w:pStyle w:val="normal0"/>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STATEMENT OF FACTS</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7</w:t>
      </w:r>
    </w:p>
    <w:p w:rsidR="007F341E" w:rsidRDefault="007F341E">
      <w:pPr>
        <w:pStyle w:val="normal0"/>
        <w:pBdr>
          <w:top w:val="nil"/>
          <w:left w:val="nil"/>
          <w:bottom w:val="nil"/>
          <w:right w:val="nil"/>
          <w:between w:val="nil"/>
        </w:pBdr>
        <w:spacing w:after="0" w:line="360" w:lineRule="auto"/>
        <w:ind w:left="720"/>
        <w:rPr>
          <w:rFonts w:ascii="Times New Roman" w:eastAsia="Times New Roman" w:hAnsi="Times New Roman" w:cs="Times New Roman"/>
          <w:b/>
          <w:color w:val="000000"/>
          <w:sz w:val="24"/>
          <w:szCs w:val="24"/>
        </w:rPr>
      </w:pPr>
    </w:p>
    <w:p w:rsidR="007F341E" w:rsidRDefault="00DE38E9">
      <w:pPr>
        <w:pStyle w:val="normal0"/>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STATEMENT OF ISSUES</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11</w:t>
      </w:r>
    </w:p>
    <w:p w:rsidR="007F341E" w:rsidRDefault="007F341E">
      <w:pPr>
        <w:pStyle w:val="normal0"/>
        <w:pBdr>
          <w:top w:val="nil"/>
          <w:left w:val="nil"/>
          <w:bottom w:val="nil"/>
          <w:right w:val="nil"/>
          <w:between w:val="nil"/>
        </w:pBdr>
        <w:spacing w:after="0" w:line="360" w:lineRule="auto"/>
        <w:ind w:left="720"/>
        <w:rPr>
          <w:rFonts w:ascii="Times New Roman" w:eastAsia="Times New Roman" w:hAnsi="Times New Roman" w:cs="Times New Roman"/>
          <w:b/>
          <w:color w:val="000000"/>
          <w:sz w:val="24"/>
          <w:szCs w:val="24"/>
        </w:rPr>
      </w:pPr>
    </w:p>
    <w:p w:rsidR="007F341E" w:rsidRDefault="00DE38E9">
      <w:pPr>
        <w:pStyle w:val="normal0"/>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SUMMARY OF ARGUMENTS</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14</w:t>
      </w:r>
    </w:p>
    <w:p w:rsidR="007F341E" w:rsidRDefault="007F341E">
      <w:pPr>
        <w:pStyle w:val="normal0"/>
        <w:pBdr>
          <w:top w:val="nil"/>
          <w:left w:val="nil"/>
          <w:bottom w:val="nil"/>
          <w:right w:val="nil"/>
          <w:between w:val="nil"/>
        </w:pBdr>
        <w:spacing w:after="0" w:line="360" w:lineRule="auto"/>
        <w:ind w:left="720"/>
        <w:rPr>
          <w:rFonts w:ascii="Times New Roman" w:eastAsia="Times New Roman" w:hAnsi="Times New Roman" w:cs="Times New Roman"/>
          <w:b/>
          <w:color w:val="000000"/>
          <w:sz w:val="24"/>
          <w:szCs w:val="24"/>
        </w:rPr>
      </w:pPr>
    </w:p>
    <w:p w:rsidR="007F341E" w:rsidRDefault="00DE38E9">
      <w:pPr>
        <w:pStyle w:val="normal0"/>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ARGUMENTS ADVANCED</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16</w:t>
      </w:r>
    </w:p>
    <w:p w:rsidR="007F341E" w:rsidRDefault="007F341E">
      <w:pPr>
        <w:pStyle w:val="normal0"/>
        <w:pBdr>
          <w:top w:val="nil"/>
          <w:left w:val="nil"/>
          <w:bottom w:val="nil"/>
          <w:right w:val="nil"/>
          <w:between w:val="nil"/>
        </w:pBdr>
        <w:ind w:left="720" w:hanging="720"/>
        <w:rPr>
          <w:rFonts w:ascii="Times New Roman" w:eastAsia="Times New Roman" w:hAnsi="Times New Roman" w:cs="Times New Roman"/>
          <w:b/>
          <w:color w:val="000000"/>
          <w:sz w:val="24"/>
          <w:szCs w:val="24"/>
        </w:rPr>
      </w:pPr>
    </w:p>
    <w:p w:rsidR="007F341E" w:rsidRDefault="00DE38E9">
      <w:pPr>
        <w:pStyle w:val="normal0"/>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PRAYER</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31</w:t>
      </w: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DE38E9">
      <w:pPr>
        <w:pStyle w:val="Title"/>
      </w:pPr>
      <w:r>
        <w:lastRenderedPageBreak/>
        <w:t>INDEX OF AUTHORITIES</w:t>
      </w:r>
    </w:p>
    <w:p w:rsidR="007F341E" w:rsidRDefault="007F341E">
      <w:pPr>
        <w:pStyle w:val="Title"/>
      </w:pPr>
    </w:p>
    <w:p w:rsidR="007F341E" w:rsidRDefault="007F341E">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7F341E" w:rsidRDefault="00DE38E9">
      <w:pPr>
        <w:pStyle w:val="normal0"/>
        <w:tabs>
          <w:tab w:val="left" w:pos="7665"/>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A. BOOKS REFERRED:</w:t>
      </w:r>
    </w:p>
    <w:p w:rsidR="007F341E" w:rsidRDefault="00DE38E9">
      <w:pPr>
        <w:pStyle w:val="normal0"/>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Bakshi, P.M., The Constitution of India with Selective Comments (Universal Law Publishing Co., Delhi), (2008).</w:t>
      </w:r>
    </w:p>
    <w:p w:rsidR="007F341E" w:rsidRDefault="00DE38E9">
      <w:pPr>
        <w:pStyle w:val="normal0"/>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Basu, Durga Das, Shorter Constitution of India Volume 1(Wadhwa &amp; Co. Law Publishers, Nagpur, 18</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Ed.), (2008).</w:t>
      </w:r>
    </w:p>
    <w:p w:rsidR="007F341E" w:rsidRDefault="00DE38E9">
      <w:pPr>
        <w:pStyle w:val="normal0"/>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Constitution of India, Volume - I and Volume - II by Dr. L.M Singhvi (Mordern Law Publications, 2nd Edition Reprint), (2007)</w:t>
      </w:r>
    </w:p>
    <w:p w:rsidR="007F341E" w:rsidRDefault="00DE38E9">
      <w:pPr>
        <w:pStyle w:val="normal0"/>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Writ Remedies with Special Chapter on Public Interest Litigation by Justice B.P Banerjee (Wadhwa, Nagpur, 3rd Edition reprint), (2004)</w:t>
      </w:r>
    </w:p>
    <w:p w:rsidR="007F341E" w:rsidRDefault="00DE38E9">
      <w:pPr>
        <w:pStyle w:val="normal0"/>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Law of Torts, Ratanlal&amp;Dhirajlal Twenty-fourth Edition 2002, edited by Justice G.P. Singh.</w:t>
      </w:r>
    </w:p>
    <w:p w:rsidR="007F341E" w:rsidRDefault="00DE38E9">
      <w:pPr>
        <w:pStyle w:val="normal0"/>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Michael A. Jones on Torts, Fourth Edition, 1995,Lawman (India) Private Limited.</w:t>
      </w:r>
    </w:p>
    <w:p w:rsidR="007F341E" w:rsidRDefault="007F341E">
      <w:pPr>
        <w:pStyle w:val="normal0"/>
        <w:pBdr>
          <w:top w:val="nil"/>
          <w:left w:val="nil"/>
          <w:bottom w:val="nil"/>
          <w:right w:val="nil"/>
          <w:between w:val="nil"/>
        </w:pBdr>
        <w:spacing w:after="0" w:line="360" w:lineRule="auto"/>
        <w:ind w:left="900"/>
        <w:rPr>
          <w:rFonts w:ascii="Times New Roman" w:eastAsia="Times New Roman" w:hAnsi="Times New Roman" w:cs="Times New Roman"/>
          <w:color w:val="000000"/>
          <w:sz w:val="24"/>
          <w:szCs w:val="24"/>
        </w:rPr>
      </w:pPr>
    </w:p>
    <w:p w:rsidR="007F341E" w:rsidRDefault="007F341E">
      <w:pPr>
        <w:pStyle w:val="normal0"/>
        <w:pBdr>
          <w:top w:val="nil"/>
          <w:left w:val="nil"/>
          <w:bottom w:val="nil"/>
          <w:right w:val="nil"/>
          <w:between w:val="nil"/>
        </w:pBdr>
        <w:spacing w:after="0" w:line="360" w:lineRule="auto"/>
        <w:ind w:left="900"/>
        <w:rPr>
          <w:rFonts w:ascii="Times New Roman" w:eastAsia="Times New Roman" w:hAnsi="Times New Roman" w:cs="Times New Roman"/>
          <w:color w:val="000000"/>
          <w:sz w:val="24"/>
          <w:szCs w:val="24"/>
        </w:rPr>
      </w:pPr>
    </w:p>
    <w:p w:rsidR="007F341E" w:rsidRDefault="007F341E">
      <w:pPr>
        <w:pStyle w:val="normal0"/>
        <w:pBdr>
          <w:top w:val="nil"/>
          <w:left w:val="nil"/>
          <w:bottom w:val="nil"/>
          <w:right w:val="nil"/>
          <w:between w:val="nil"/>
        </w:pBdr>
        <w:spacing w:after="0" w:line="360" w:lineRule="auto"/>
        <w:ind w:left="900"/>
        <w:rPr>
          <w:rFonts w:ascii="Times New Roman" w:eastAsia="Times New Roman" w:hAnsi="Times New Roman" w:cs="Times New Roman"/>
          <w:color w:val="000000"/>
          <w:sz w:val="24"/>
          <w:szCs w:val="24"/>
        </w:rPr>
      </w:pP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 DICTIONARIES REFERRED:</w:t>
      </w:r>
    </w:p>
    <w:p w:rsidR="007F341E" w:rsidRDefault="00DE38E9">
      <w:pPr>
        <w:pStyle w:val="normal0"/>
        <w:numPr>
          <w:ilvl w:val="0"/>
          <w:numId w:val="14"/>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BLACKS LAW DICTIONARY (6</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Ed., Centennial Ed. 1891-1991).</w:t>
      </w:r>
    </w:p>
    <w:p w:rsidR="007F341E" w:rsidRDefault="007F341E">
      <w:pPr>
        <w:pStyle w:val="normal0"/>
        <w:pBdr>
          <w:top w:val="nil"/>
          <w:left w:val="nil"/>
          <w:bottom w:val="nil"/>
          <w:right w:val="nil"/>
          <w:between w:val="nil"/>
        </w:pBdr>
        <w:spacing w:after="0" w:line="360" w:lineRule="auto"/>
        <w:ind w:left="360"/>
        <w:rPr>
          <w:rFonts w:ascii="Times New Roman" w:eastAsia="Times New Roman" w:hAnsi="Times New Roman" w:cs="Times New Roman"/>
          <w:color w:val="000000"/>
          <w:sz w:val="24"/>
          <w:szCs w:val="24"/>
        </w:rPr>
      </w:pPr>
    </w:p>
    <w:p w:rsidR="007F341E" w:rsidRDefault="007F341E">
      <w:pPr>
        <w:pStyle w:val="normal0"/>
        <w:pBdr>
          <w:top w:val="nil"/>
          <w:left w:val="nil"/>
          <w:bottom w:val="nil"/>
          <w:right w:val="nil"/>
          <w:between w:val="nil"/>
        </w:pBdr>
        <w:spacing w:after="0" w:line="360" w:lineRule="auto"/>
        <w:ind w:left="900"/>
        <w:rPr>
          <w:rFonts w:ascii="Times New Roman" w:eastAsia="Times New Roman" w:hAnsi="Times New Roman" w:cs="Times New Roman"/>
          <w:color w:val="000000"/>
          <w:sz w:val="24"/>
          <w:szCs w:val="24"/>
        </w:rPr>
      </w:pP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 STATUTES REFERRED:</w:t>
      </w:r>
    </w:p>
    <w:p w:rsidR="007F341E" w:rsidRDefault="00DE38E9">
      <w:pPr>
        <w:pStyle w:val="normal0"/>
        <w:numPr>
          <w:ilvl w:val="0"/>
          <w:numId w:val="1"/>
        </w:numPr>
        <w:pBdr>
          <w:top w:val="nil"/>
          <w:left w:val="nil"/>
          <w:bottom w:val="nil"/>
          <w:right w:val="nil"/>
          <w:between w:val="nil"/>
        </w:pBdr>
        <w:spacing w:after="0" w:line="360" w:lineRule="auto"/>
        <w:ind w:hanging="4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CODE OF CIVIL PROCEDURE,1908</w:t>
      </w:r>
      <w:r>
        <w:rPr>
          <w:rFonts w:ascii="Times New Roman" w:eastAsia="Times New Roman" w:hAnsi="Times New Roman" w:cs="Times New Roman"/>
          <w:color w:val="000000"/>
          <w:sz w:val="24"/>
          <w:szCs w:val="24"/>
        </w:rPr>
        <w:tab/>
      </w:r>
    </w:p>
    <w:p w:rsidR="007F341E" w:rsidRDefault="007F341E">
      <w:pPr>
        <w:pStyle w:val="normal0"/>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 JOURNALS REFERRED: </w:t>
      </w:r>
    </w:p>
    <w:p w:rsidR="007F341E" w:rsidRDefault="00DE38E9">
      <w:pPr>
        <w:pStyle w:val="normal0"/>
        <w:numPr>
          <w:ilvl w:val="0"/>
          <w:numId w:val="9"/>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Andrew Willekes and Susan Watson (2001), Economic Loss and Directors Negligence, Journal of Business Law.</w:t>
      </w:r>
    </w:p>
    <w:p w:rsidR="007F341E" w:rsidRDefault="00DE38E9">
      <w:pPr>
        <w:pStyle w:val="normal0"/>
        <w:numPr>
          <w:ilvl w:val="0"/>
          <w:numId w:val="9"/>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 L A Hart (1954), Definition and Theory in Jurisprudence, Law Quarterly Review.</w:t>
      </w:r>
    </w:p>
    <w:p w:rsidR="007F341E" w:rsidRDefault="00DE38E9">
      <w:pPr>
        <w:pStyle w:val="normal0"/>
        <w:numPr>
          <w:ilvl w:val="0"/>
          <w:numId w:val="9"/>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Stefan H.C. Lo (2009), Liability of Directors as Joint Tortfeasors, Journal of Business Law.</w:t>
      </w:r>
    </w:p>
    <w:p w:rsidR="007F341E" w:rsidRDefault="00DE38E9">
      <w:pPr>
        <w:pStyle w:val="normal0"/>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Ross Grantham and Charles Rickett (1999), Directors Tortious Liability: Contract, Tort or Company Law? , The Modern Law Review.</w:t>
      </w:r>
    </w:p>
    <w:p w:rsidR="007F341E" w:rsidRDefault="00DE38E9">
      <w:pPr>
        <w:pStyle w:val="normal0"/>
        <w:spacing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LIST OF ABBREVIATIONS</w:t>
      </w:r>
    </w:p>
    <w:p w:rsidR="007F341E" w:rsidRDefault="007F341E">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7F341E" w:rsidRDefault="007F341E">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7F341E" w:rsidRDefault="007F341E">
      <w:pPr>
        <w:pStyle w:val="Title"/>
        <w:jc w:val="left"/>
        <w:rPr>
          <w:b w:val="0"/>
        </w:rPr>
      </w:pPr>
    </w:p>
    <w:p w:rsidR="007F341E" w:rsidRDefault="007F341E">
      <w:pPr>
        <w:pStyle w:val="Title"/>
        <w:jc w:val="left"/>
        <w:rPr>
          <w:b w:val="0"/>
        </w:rPr>
      </w:pPr>
    </w:p>
    <w:p w:rsidR="007F341E" w:rsidRDefault="007F341E">
      <w:pPr>
        <w:pStyle w:val="Title"/>
        <w:jc w:val="left"/>
        <w:rPr>
          <w:b w:val="0"/>
        </w:rPr>
      </w:pP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All India Reporter</w:t>
      </w: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Article</w:t>
      </w: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Edition</w:t>
      </w: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Hon’ble                       Honourable </w:t>
      </w: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Ors.                             Others</w:t>
      </w: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                              Civil Suit</w:t>
      </w: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Supreme Court</w:t>
      </w: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SCC</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Supreme Court Cases</w:t>
      </w: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U.O.I                           Union of India</w:t>
      </w: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 /vs.                          Versus </w:t>
      </w:r>
    </w:p>
    <w:p w:rsidR="007F341E" w:rsidRDefault="00DE38E9">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ABC                           Arnab’s Butter Chicken            </w:t>
      </w:r>
    </w:p>
    <w:p w:rsidR="007F341E" w:rsidRDefault="00DE38E9">
      <w:pPr>
        <w:pStyle w:val="Title"/>
        <w:spacing w:before="30" w:after="30" w:line="360" w:lineRule="auto"/>
        <w:jc w:val="left"/>
      </w:pPr>
      <w:r>
        <w:rPr>
          <w:b w:val="0"/>
          <w:u w:val="none"/>
        </w:rPr>
        <w:t xml:space="preserve">MBBC                        Murgwala’s Best Butter Chicken </w:t>
      </w:r>
    </w:p>
    <w:p w:rsidR="007F341E" w:rsidRDefault="00DE38E9">
      <w:pPr>
        <w:pStyle w:val="Title"/>
        <w:spacing w:line="360" w:lineRule="auto"/>
        <w:jc w:val="left"/>
        <w:rPr>
          <w:b w:val="0"/>
          <w:u w:val="none"/>
        </w:rPr>
      </w:pPr>
      <w:r>
        <w:rPr>
          <w:b w:val="0"/>
          <w:u w:val="none"/>
        </w:rPr>
        <w:t xml:space="preserve">URL                            Uniform Resource Locator </w:t>
      </w:r>
    </w:p>
    <w:p w:rsidR="007F341E" w:rsidRDefault="00DE38E9">
      <w:pPr>
        <w:pStyle w:val="Title"/>
        <w:spacing w:line="360" w:lineRule="auto"/>
        <w:jc w:val="left"/>
        <w:rPr>
          <w:b w:val="0"/>
          <w:u w:val="none"/>
        </w:rPr>
      </w:pPr>
      <w:r>
        <w:rPr>
          <w:b w:val="0"/>
          <w:u w:val="none"/>
        </w:rPr>
        <w:t>.com                            Commercial</w:t>
      </w:r>
    </w:p>
    <w:p w:rsidR="007F341E" w:rsidRDefault="00DE38E9">
      <w:pPr>
        <w:pStyle w:val="Title"/>
        <w:spacing w:line="360" w:lineRule="auto"/>
        <w:jc w:val="left"/>
        <w:rPr>
          <w:b w:val="0"/>
          <w:u w:val="none"/>
        </w:rPr>
      </w:pPr>
      <w:r>
        <w:rPr>
          <w:b w:val="0"/>
          <w:u w:val="none"/>
        </w:rPr>
        <w:t>Ads                              Advertisements</w:t>
      </w:r>
    </w:p>
    <w:p w:rsidR="007F341E" w:rsidRDefault="007F341E">
      <w:pPr>
        <w:pStyle w:val="Title"/>
        <w:spacing w:line="360" w:lineRule="auto"/>
        <w:jc w:val="left"/>
        <w:rPr>
          <w:b w:val="0"/>
        </w:rPr>
      </w:pPr>
    </w:p>
    <w:p w:rsidR="007F341E" w:rsidRDefault="007F341E">
      <w:pPr>
        <w:pStyle w:val="Title"/>
        <w:jc w:val="left"/>
        <w:rPr>
          <w:b w:val="0"/>
        </w:rPr>
      </w:pPr>
    </w:p>
    <w:p w:rsidR="007F341E" w:rsidRDefault="007F341E">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7F341E" w:rsidRDefault="007F341E">
      <w:pPr>
        <w:pStyle w:val="Title"/>
        <w:spacing w:before="30" w:after="30"/>
        <w:jc w:val="left"/>
        <w:rPr>
          <w:b w:val="0"/>
          <w:u w:val="none"/>
        </w:rPr>
      </w:pPr>
    </w:p>
    <w:p w:rsidR="007F341E" w:rsidRDefault="007F341E">
      <w:pPr>
        <w:pStyle w:val="Title"/>
        <w:spacing w:before="30" w:after="30"/>
        <w:jc w:val="left"/>
        <w:rPr>
          <w:b w:val="0"/>
        </w:rPr>
      </w:pPr>
    </w:p>
    <w:p w:rsidR="007F341E" w:rsidRDefault="007F341E">
      <w:pPr>
        <w:pStyle w:val="Title"/>
        <w:jc w:val="left"/>
        <w:rPr>
          <w:b w:val="0"/>
        </w:rPr>
      </w:pPr>
    </w:p>
    <w:p w:rsidR="007F341E" w:rsidRDefault="007F341E">
      <w:pPr>
        <w:pStyle w:val="normal0"/>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7F341E" w:rsidRDefault="007F341E">
      <w:pPr>
        <w:pStyle w:val="Title"/>
        <w:jc w:val="left"/>
        <w:rPr>
          <w:b w:val="0"/>
        </w:rPr>
      </w:pPr>
    </w:p>
    <w:p w:rsidR="007F341E" w:rsidRDefault="007F341E">
      <w:pPr>
        <w:pStyle w:val="Title"/>
        <w:jc w:val="left"/>
        <w:rPr>
          <w:b w:val="0"/>
        </w:rPr>
      </w:pPr>
    </w:p>
    <w:p w:rsidR="007F341E" w:rsidRDefault="007F341E">
      <w:pPr>
        <w:pStyle w:val="Title"/>
        <w:jc w:val="left"/>
        <w:rPr>
          <w:b w:val="0"/>
        </w:rPr>
      </w:pPr>
    </w:p>
    <w:p w:rsidR="007F341E" w:rsidRDefault="007F341E">
      <w:pPr>
        <w:pStyle w:val="Title"/>
        <w:jc w:val="left"/>
        <w:rPr>
          <w:b w:val="0"/>
        </w:rPr>
      </w:pPr>
    </w:p>
    <w:p w:rsidR="007F341E" w:rsidRDefault="007F341E">
      <w:pPr>
        <w:pStyle w:val="Title"/>
        <w:jc w:val="left"/>
        <w:rPr>
          <w:b w:val="0"/>
        </w:rPr>
      </w:pPr>
    </w:p>
    <w:p w:rsidR="007F341E" w:rsidRDefault="007F341E">
      <w:pPr>
        <w:pStyle w:val="Title"/>
        <w:jc w:val="left"/>
        <w:rPr>
          <w:b w:val="0"/>
        </w:rPr>
      </w:pPr>
    </w:p>
    <w:p w:rsidR="007F341E" w:rsidRDefault="007F341E">
      <w:pPr>
        <w:pStyle w:val="Title"/>
        <w:jc w:val="left"/>
        <w:rPr>
          <w:b w:val="0"/>
        </w:rPr>
      </w:pPr>
    </w:p>
    <w:p w:rsidR="007F341E" w:rsidRDefault="007F341E">
      <w:pPr>
        <w:pStyle w:val="Title"/>
        <w:jc w:val="left"/>
        <w:rPr>
          <w:b w:val="0"/>
        </w:rPr>
      </w:pPr>
    </w:p>
    <w:p w:rsidR="007F341E" w:rsidRDefault="007F341E">
      <w:pPr>
        <w:pStyle w:val="Title"/>
        <w:jc w:val="left"/>
        <w:rPr>
          <w:b w:val="0"/>
        </w:rPr>
      </w:pPr>
    </w:p>
    <w:p w:rsidR="007F341E" w:rsidRDefault="007F341E">
      <w:pPr>
        <w:pStyle w:val="Title"/>
        <w:jc w:val="left"/>
        <w:rPr>
          <w:b w:val="0"/>
        </w:rPr>
      </w:pPr>
    </w:p>
    <w:p w:rsidR="007F341E" w:rsidRDefault="00DE38E9">
      <w:pPr>
        <w:pStyle w:val="normal0"/>
        <w:spacing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TABLE OF CASES</w:t>
      </w:r>
    </w:p>
    <w:p w:rsidR="007F341E" w:rsidRDefault="007F341E">
      <w:pPr>
        <w:pStyle w:val="normal0"/>
        <w:spacing w:line="360" w:lineRule="auto"/>
        <w:jc w:val="center"/>
        <w:rPr>
          <w:rFonts w:ascii="Times New Roman" w:eastAsia="Times New Roman" w:hAnsi="Times New Roman" w:cs="Times New Roman"/>
          <w:b/>
          <w:sz w:val="24"/>
          <w:szCs w:val="24"/>
          <w:u w:val="single"/>
        </w:rPr>
      </w:pPr>
    </w:p>
    <w:tbl>
      <w:tblPr>
        <w:tblStyle w:val="a"/>
        <w:tblW w:w="9388"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168"/>
        <w:gridCol w:w="5402"/>
        <w:gridCol w:w="2818"/>
      </w:tblGrid>
      <w:tr w:rsidR="007F341E">
        <w:trPr>
          <w:trHeight w:val="600"/>
        </w:trPr>
        <w:tc>
          <w:tcPr>
            <w:tcW w:w="1168" w:type="dxa"/>
          </w:tcPr>
          <w:p w:rsidR="007F341E" w:rsidRDefault="00DE38E9">
            <w:pPr>
              <w:pStyle w:val="norm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S.NO</w:t>
            </w:r>
          </w:p>
        </w:tc>
        <w:tc>
          <w:tcPr>
            <w:tcW w:w="5402" w:type="dxa"/>
          </w:tcPr>
          <w:p w:rsidR="007F341E" w:rsidRDefault="00DE38E9">
            <w:pPr>
              <w:pStyle w:val="norm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CASE LAW</w:t>
            </w:r>
          </w:p>
        </w:tc>
        <w:tc>
          <w:tcPr>
            <w:tcW w:w="2818" w:type="dxa"/>
          </w:tcPr>
          <w:p w:rsidR="007F341E" w:rsidRDefault="00DE38E9">
            <w:pPr>
              <w:pStyle w:val="norm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CITATION</w:t>
            </w:r>
          </w:p>
        </w:tc>
      </w:tr>
      <w:tr w:rsidR="007F341E">
        <w:trPr>
          <w:trHeight w:val="58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Burmah Construction Co. v. State of Orissa</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AIR (1962) SC 1320</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Elof Hansson Pvt. Ltd. v. PrithviSoftech Ltd. </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MANU/TN/1928/2011</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Express Newspapers v. U.O.I</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AIR (1986) SC 872</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General Manager, KisanSahkariChini Mills Ltd. v. SatrughanNishad</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AIR (2003) SC 4351</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Jeet Kumari v. Chittiagong</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AIR (1947) Cal 195</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Lagunas Nitrate Co. v. Lagunas Syndicate</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(1899) 2 Ch 392, 435</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M.C Chako v. State of Travancore</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(1969) 2 SCC 343</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M.C. Mehta v. U.O.I.</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AIR (1978) SC 1086</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M.P. Agarwal v. U.O.I</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(1969) BLJR 127</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Mohan Pandey v. Usha Rani Rajgarhia</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(1992) 4 SCC 61</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New India Assurance Company Ltd. v. M/S Zuari Industries Ltd. &amp; Ors.</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(2009) 9 SCC 70</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Official Liquidator, Supreme Bank Ltd. v. P.A. Tendolkar (Dead) by LR's &amp; Ors. </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(1973) 1 SCC 602</w:t>
            </w:r>
          </w:p>
        </w:tc>
      </w:tr>
      <w:tr w:rsidR="007F341E">
        <w:trPr>
          <w:trHeight w:val="58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Rajkot Municipal Corporation v. ManjulbenJayantilalNakum&amp; Ors.</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(1997) 9 SCC 552</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Ram Singh v. Fertilizer Corporation of India ltd. </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(1980) Comp Cas 553</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Ramkrishna Dalmia v. Justice Tendolkar</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AIR (1958) SC 538</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Rashid Ahmad v. Municipal Board Kairana</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AIR (1950) SC 163</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 Duomatic Ltd.</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(1969) 2 Ch 365</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Saloman v. Saloman and Co. Ltd.</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(1897) AC 22 (HL)</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 of Orissa v. Ram Chandra Dev</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AIR (1964) SC 685</w:t>
            </w:r>
          </w:p>
        </w:tc>
      </w:tr>
      <w:tr w:rsidR="007F341E">
        <w:trPr>
          <w:trHeight w:val="58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Sukhdev v. Bhagatram</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AIR (1975) SC 1331</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Tesco Supermarkets Ltd. v. Nattrass</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(1972) A.C. 153</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Trevor Ivory Ltd. v. Anderson</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(1992) 2 NZLR 517</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Tweedle v. Atkinson</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 ER 762</w:t>
            </w:r>
          </w:p>
        </w:tc>
      </w:tr>
      <w:tr w:rsidR="007F341E">
        <w:trPr>
          <w:trHeight w:val="600"/>
        </w:trPr>
        <w:tc>
          <w:tcPr>
            <w:tcW w:w="1168" w:type="dxa"/>
          </w:tcPr>
          <w:p w:rsidR="007F341E" w:rsidRDefault="007F341E">
            <w:pPr>
              <w:pStyle w:val="normal0"/>
              <w:numPr>
                <w:ilvl w:val="0"/>
                <w:numId w:val="5"/>
              </w:numPr>
              <w:spacing w:line="360" w:lineRule="auto"/>
              <w:jc w:val="center"/>
              <w:rPr>
                <w:rFonts w:ascii="Times New Roman" w:eastAsia="Times New Roman" w:hAnsi="Times New Roman" w:cs="Times New Roman"/>
                <w:sz w:val="24"/>
                <w:szCs w:val="24"/>
              </w:rPr>
            </w:pPr>
          </w:p>
        </w:tc>
        <w:tc>
          <w:tcPr>
            <w:tcW w:w="5402"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U.O.I. v. S.J. Thanawalla</w:t>
            </w:r>
          </w:p>
        </w:tc>
        <w:tc>
          <w:tcPr>
            <w:tcW w:w="2818" w:type="dxa"/>
          </w:tcPr>
          <w:p w:rsidR="007F341E" w:rsidRDefault="00DE38E9">
            <w:pPr>
              <w:pStyle w:val="norm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(1996) 8 SCC 469</w:t>
            </w:r>
          </w:p>
        </w:tc>
      </w:tr>
    </w:tbl>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DE38E9">
      <w:pPr>
        <w:pStyle w:val="normal0"/>
        <w:spacing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STATEMENT OF JURISDICTION</w:t>
      </w:r>
    </w:p>
    <w:p w:rsidR="007F341E" w:rsidRDefault="007F341E">
      <w:pPr>
        <w:pStyle w:val="normal0"/>
        <w:spacing w:line="360" w:lineRule="auto"/>
        <w:jc w:val="both"/>
        <w:rPr>
          <w:rFonts w:ascii="Times New Roman" w:eastAsia="Times New Roman" w:hAnsi="Times New Roman" w:cs="Times New Roman"/>
          <w:b/>
          <w:sz w:val="24"/>
          <w:szCs w:val="24"/>
          <w:u w:val="single"/>
        </w:rPr>
      </w:pP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humbly submitted that the appellant Vrindavan homes has approached theHon’ble Supreme Court of India invoking its civil appellate jurisdiction under Article 133 of the Constitution of India. The respondent submits to the same.</w:t>
      </w: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appellant Maha Surya Trust has approached the Hon’ble SupremeCourt invoking its civil appellate jurisdiction under Article 132 of the Constitution of India.The respondent submitsto the same.</w:t>
      </w: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DE38E9">
      <w:pPr>
        <w:pStyle w:val="normal0"/>
        <w:spacing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STATEMENT OF FACTS</w:t>
      </w: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b/>
          <w:sz w:val="24"/>
          <w:szCs w:val="24"/>
        </w:rPr>
        <w:t>Zoozle GmBH</w:t>
      </w:r>
      <w:r>
        <w:rPr>
          <w:rFonts w:ascii="Times New Roman" w:eastAsia="Times New Roman" w:hAnsi="Times New Roman" w:cs="Times New Roman"/>
          <w:sz w:val="24"/>
          <w:szCs w:val="24"/>
        </w:rPr>
        <w:t xml:space="preserve"> is a German multinational company headquartered at Berlin. It operates an internet search engine in the URL http://www.zoozle.com (hereinafter ‘the website’). When a user enters a query into the search tool box, the website generates an ‘organic search list’ of hyperlinks links that it deems most relevant to the query. These hyperlinks are of various 3rd party websites that contain the query or words similar to the query. The hyperlinks are highlighted in blue and are arranged in order of relevance. The order of relevance is determined by algorithms written into Zoozle’s source code and has no human interface in its determination.  When Zoozle GmBH first began operating the search engine in the year 2003, it was non-profit and relied solely on voluntary contributions from its users. In the year 2011, Zoozle GmBH developed a scheme of advertising through which businesses or persons may advertise on its search engine. This scheme of advertising was called </w:t>
      </w:r>
      <w:r>
        <w:rPr>
          <w:rFonts w:ascii="Times New Roman" w:eastAsia="Times New Roman" w:hAnsi="Times New Roman" w:cs="Times New Roman"/>
          <w:b/>
          <w:sz w:val="24"/>
          <w:szCs w:val="24"/>
        </w:rPr>
        <w:t>‘AdVerba’</w:t>
      </w:r>
      <w:r>
        <w:rPr>
          <w:rFonts w:ascii="Times New Roman" w:eastAsia="Times New Roman" w:hAnsi="Times New Roman" w:cs="Times New Roman"/>
          <w:sz w:val="24"/>
          <w:szCs w:val="24"/>
        </w:rPr>
        <w:t>. A person who wishes to advertise on AdVerba, can buy ‘keywords’ of his choice through an online auction amongst prospective buyers. Keywords can be bought for specific regions only. A keyword is a word which when typed into the website’s search tool as a query, triggers in addition to the organic search list, results termed as ‘suggested posts’. The highest bidder for the keyword decides what web links to place in the suggested posts. The bidder usually places his own website’s link as the suggested post. The purchaser of the keyword can also place a small description below the actual link. The suggested posts appear above the ‘organic search list’ and are clearly distinguishable from the search list as they are shaded in a yellow color and the words “</w:t>
      </w:r>
      <w:r>
        <w:rPr>
          <w:rFonts w:ascii="Times New Roman" w:eastAsia="Times New Roman" w:hAnsi="Times New Roman" w:cs="Times New Roman"/>
          <w:b/>
          <w:sz w:val="24"/>
          <w:szCs w:val="24"/>
        </w:rPr>
        <w:t>Sponsored Ads</w:t>
      </w:r>
      <w:r>
        <w:rPr>
          <w:rFonts w:ascii="Times New Roman" w:eastAsia="Times New Roman" w:hAnsi="Times New Roman" w:cs="Times New Roman"/>
          <w:sz w:val="24"/>
          <w:szCs w:val="24"/>
        </w:rPr>
        <w:t>” appear alongside them.</w:t>
      </w: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Mr. Arvind Kejru Murgwala established a fast food restaurant called ‘Murgwala’s Best Butter Chicken’ (hereinafter MBBC) in Delhi in the year 1959 at Connaught Place. MBBC soon became a very popular restaurant amongst the people of Delhi. Today, the restaurant is a chain with </w:t>
      </w:r>
      <w:r>
        <w:rPr>
          <w:rFonts w:ascii="Times New Roman" w:eastAsia="Times New Roman" w:hAnsi="Times New Roman" w:cs="Times New Roman"/>
          <w:b/>
          <w:sz w:val="24"/>
          <w:szCs w:val="24"/>
        </w:rPr>
        <w:t>over 25 outlets within Delhi</w:t>
      </w:r>
      <w:r>
        <w:rPr>
          <w:rFonts w:ascii="Times New Roman" w:eastAsia="Times New Roman" w:hAnsi="Times New Roman" w:cs="Times New Roman"/>
          <w:sz w:val="24"/>
          <w:szCs w:val="24"/>
        </w:rPr>
        <w:t xml:space="preserve">.  Arvind Murgwala passed away in the year 1988 and a dispute broke out between his sons Arnob Murgwala and his younger brother Arnab Murgwala as to the division of assets. In the end it was agreed by the brothers that Arnob would have full ownership of MBBC and Arnab would have a couple of bungalows the father had left behind in Delhi. They accordingly entered into an agreement dated </w:t>
      </w:r>
      <w:r>
        <w:rPr>
          <w:rFonts w:ascii="Times New Roman" w:eastAsia="Times New Roman" w:hAnsi="Times New Roman" w:cs="Times New Roman"/>
          <w:b/>
          <w:sz w:val="24"/>
          <w:szCs w:val="24"/>
        </w:rPr>
        <w:t>1.1.1989</w:t>
      </w:r>
      <w:r>
        <w:rPr>
          <w:rFonts w:ascii="Times New Roman" w:eastAsia="Times New Roman" w:hAnsi="Times New Roman" w:cs="Times New Roman"/>
          <w:sz w:val="24"/>
          <w:szCs w:val="24"/>
        </w:rPr>
        <w:t xml:space="preserve"> where </w:t>
      </w:r>
      <w:r>
        <w:rPr>
          <w:rFonts w:ascii="Times New Roman" w:eastAsia="Times New Roman" w:hAnsi="Times New Roman" w:cs="Times New Roman"/>
          <w:sz w:val="24"/>
          <w:szCs w:val="24"/>
        </w:rPr>
        <w:lastRenderedPageBreak/>
        <w:t xml:space="preserve">Arnab relinquished all claims over MBBC and Arnob relinquished all rights and claims over the two properties. Accordingly, the business </w:t>
      </w:r>
      <w:r>
        <w:rPr>
          <w:rFonts w:ascii="Times New Roman" w:eastAsia="Times New Roman" w:hAnsi="Times New Roman" w:cs="Times New Roman"/>
          <w:b/>
          <w:sz w:val="24"/>
          <w:szCs w:val="24"/>
        </w:rPr>
        <w:t>(MBBC) was taken over by Arnob in 1989</w:t>
      </w:r>
      <w:r>
        <w:rPr>
          <w:rFonts w:ascii="Times New Roman" w:eastAsia="Times New Roman" w:hAnsi="Times New Roman" w:cs="Times New Roman"/>
          <w:sz w:val="24"/>
          <w:szCs w:val="24"/>
        </w:rPr>
        <w:t>. The Trade Mark that MBBC uses in the course of trade is reproduced in Annexure – I. Although this is the mark MBBC had been using since its inception in 1959, the mark was only registered by the Registrar of Trade Marks in the year 1993 on Arnob’s application.</w:t>
      </w:r>
    </w:p>
    <w:p w:rsidR="007F341E" w:rsidRDefault="00DE38E9">
      <w:pPr>
        <w:pStyle w:val="norm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3. In the year 2008, Arnob created a website for his business with the URL www.bestbutterchicken.com.This website allows prospective consumers to view the menu online and place orders for home delivery. Arnob also guaranteed that orders placed on his website would be delivered within 30 minutes or less and advertised extensively his business along with the website’s URL in mass media as well as hoardings in several places across the city.  </w:t>
      </w:r>
      <w:r>
        <w:rPr>
          <w:rFonts w:ascii="Times New Roman" w:eastAsia="Times New Roman" w:hAnsi="Times New Roman" w:cs="Times New Roman"/>
          <w:b/>
          <w:sz w:val="24"/>
          <w:szCs w:val="24"/>
        </w:rPr>
        <w:t xml:space="preserve">The company’s financial statements for the Assessment Year 2012-13 recorded advertisement expenditure as Rs. 1, 00, 00,000. </w:t>
      </w:r>
      <w:r>
        <w:rPr>
          <w:rFonts w:ascii="Times New Roman" w:eastAsia="Times New Roman" w:hAnsi="Times New Roman" w:cs="Times New Roman"/>
          <w:sz w:val="24"/>
          <w:szCs w:val="24"/>
        </w:rPr>
        <w:t xml:space="preserve"> Mr.  Arnab Murgwala moved to Kolkata in the year 1990.  He decided to start a restaurant of his own and found </w:t>
      </w:r>
      <w:r>
        <w:rPr>
          <w:rFonts w:ascii="Times New Roman" w:eastAsia="Times New Roman" w:hAnsi="Times New Roman" w:cs="Times New Roman"/>
          <w:b/>
          <w:sz w:val="24"/>
          <w:szCs w:val="24"/>
        </w:rPr>
        <w:t>‘Arnab’s Butter Chicken’ (ABC) in the year 1990</w:t>
      </w:r>
      <w:r>
        <w:rPr>
          <w:rFonts w:ascii="Times New Roman" w:eastAsia="Times New Roman" w:hAnsi="Times New Roman" w:cs="Times New Roman"/>
          <w:sz w:val="24"/>
          <w:szCs w:val="24"/>
        </w:rPr>
        <w:t xml:space="preserve">. This restaurant too has a website of its own with the URL www.arnabbutterchicken.com   where customers can place orders for home delivery. </w:t>
      </w:r>
      <w:r>
        <w:rPr>
          <w:rFonts w:ascii="Times New Roman" w:eastAsia="Times New Roman" w:hAnsi="Times New Roman" w:cs="Times New Roman"/>
          <w:b/>
          <w:sz w:val="24"/>
          <w:szCs w:val="24"/>
        </w:rPr>
        <w:t>ABC has been moderately successful commercially</w:t>
      </w:r>
      <w:r>
        <w:rPr>
          <w:rFonts w:ascii="Times New Roman" w:eastAsia="Times New Roman" w:hAnsi="Times New Roman" w:cs="Times New Roman"/>
          <w:sz w:val="24"/>
          <w:szCs w:val="24"/>
        </w:rPr>
        <w:t xml:space="preserve"> and operates 3 branches within Kolkata</w:t>
      </w:r>
      <w:r>
        <w:rPr>
          <w:rFonts w:ascii="Times New Roman" w:eastAsia="Times New Roman" w:hAnsi="Times New Roman" w:cs="Times New Roman"/>
          <w:b/>
          <w:sz w:val="24"/>
          <w:szCs w:val="24"/>
        </w:rPr>
        <w:t>. In 2007, Arnab opened an outlet of ABC in Delhi at Karol Bagh and it runs with moderate success.</w:t>
      </w:r>
      <w:r>
        <w:rPr>
          <w:rFonts w:ascii="Times New Roman" w:eastAsia="Times New Roman" w:hAnsi="Times New Roman" w:cs="Times New Roman"/>
          <w:sz w:val="24"/>
          <w:szCs w:val="24"/>
        </w:rPr>
        <w:t xml:space="preserve"> Arnab obtained registration of the - The Trade Mark used by ABC in the year 2000. The mark is reproduced in Annexure – II.</w:t>
      </w: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In the year 2012, Arnab decided to use Zoozle’s AdVerba to advertise his website. He bid for and successfully purchased around 50 keywords including the words ‘Best’, ‘Tasty’, ‘Butter’, ‘Chicken’, ‘Murgwala’ and ‘Arnab’ for use within Delhi and Kolkata. He also bought misspelt versions of these keywords such as ‘Cchicken’, ‘Buter’ and ‘Arnob’ because internet users often tend to misspell search terms. As a result, when a user types these three words in combination into the Zoozle search bar, the search result page would contain a suggested post with the link to Arnab’s website (www.arnabbutterchicken.com)   placed above the organic search results. Arnab also added the description ‘Better than the Best Butter chicken’ under the link.</w:t>
      </w:r>
    </w:p>
    <w:p w:rsidR="007F341E" w:rsidRDefault="00DE38E9">
      <w:pPr>
        <w:pStyle w:val="norm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5. Arnob soon noticed this and felt that there was a chance that consumers who were searching for his website could be misled into the website of Arnab which was placed in the ‘Suggested Post’</w:t>
      </w:r>
      <w:r>
        <w:rPr>
          <w:rFonts w:ascii="Times New Roman" w:eastAsia="Times New Roman" w:hAnsi="Times New Roman" w:cs="Times New Roman"/>
          <w:b/>
          <w:sz w:val="24"/>
          <w:szCs w:val="24"/>
        </w:rPr>
        <w:t>. He feared</w:t>
      </w:r>
      <w:r>
        <w:rPr>
          <w:rFonts w:ascii="Times New Roman" w:eastAsia="Times New Roman" w:hAnsi="Times New Roman" w:cs="Times New Roman"/>
          <w:sz w:val="24"/>
          <w:szCs w:val="24"/>
        </w:rPr>
        <w:t xml:space="preserve"> that once they enter the website of Arnab, they would just place </w:t>
      </w:r>
      <w:r>
        <w:rPr>
          <w:rFonts w:ascii="Times New Roman" w:eastAsia="Times New Roman" w:hAnsi="Times New Roman" w:cs="Times New Roman"/>
          <w:sz w:val="24"/>
          <w:szCs w:val="24"/>
        </w:rPr>
        <w:lastRenderedPageBreak/>
        <w:t xml:space="preserve">an order there, thereby causing him a loss of custom. On 6.6.2012, he wrote to the head office of Zoozle GmBH at Berlin and asked them to remove the keywords Best, Butter and Chicken claiming that these were his registered trademarks and it was an infringement of the marks to sell them to Arnab as keywords. He attached a copy of his trade mark registration. In reply, Zoozle GmBH stated that one of the terms of their AdVerba agreement was that trademarks cannot be used as keywords and whenever a trade mark proprietor made a complaint that a Keyword being sold is a registered trade mark in a jurisdiction, Zoozle GmBH would, pursuant to their own investigation, suspend the use of the keyword. Subsequently though on 1.7.2012, Zoozle GmBH wrote to Arnob stating that in the opinion of their legal advisors, </w:t>
      </w:r>
      <w:r>
        <w:rPr>
          <w:rFonts w:ascii="Times New Roman" w:eastAsia="Times New Roman" w:hAnsi="Times New Roman" w:cs="Times New Roman"/>
          <w:b/>
          <w:sz w:val="24"/>
          <w:szCs w:val="24"/>
        </w:rPr>
        <w:t>the keywords sold to Arnab were not the trademarks of Arnob as on their own these words are part of the commons of the English language and in any case Arnob’s mark has to be viewed as a whole and trade mark law offers no protection to parts of a mark.</w:t>
      </w: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Arnob approached the Delhi High Court in C.S. No. 343/ 2012 seeking permanent injunction restraining Zoozle GmBH from using the words contained in his trademark keywords and C.S. No. 344/2012 against Arnab Murgwala (1st Defendant) and Zoozle GmBH  (2nd  Defendant) claiming infringement of his trademark and action for passing off. He also claimed that as per the terms of the agreement of 1.1.1989, the mark ‘Murgwala’ and the goodwill associated with it belonged exclusively to him and the actions of the 1st  Defendant in using that keyword to advertise is an infringement of the trade mark.</w:t>
      </w:r>
    </w:p>
    <w:p w:rsidR="007F341E" w:rsidRDefault="00DE38E9">
      <w:pPr>
        <w:pStyle w:val="norm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7. In reply, the 1st defendant took the stand that </w:t>
      </w:r>
      <w:r>
        <w:rPr>
          <w:rFonts w:ascii="Times New Roman" w:eastAsia="Times New Roman" w:hAnsi="Times New Roman" w:cs="Times New Roman"/>
          <w:b/>
          <w:sz w:val="24"/>
          <w:szCs w:val="24"/>
        </w:rPr>
        <w:t>the impugned keywords are only descriptive, generic or laudatory and that they ought not to have been registered as trade  marks</w:t>
      </w:r>
      <w:r>
        <w:rPr>
          <w:rFonts w:ascii="Times New Roman" w:eastAsia="Times New Roman" w:hAnsi="Times New Roman" w:cs="Times New Roman"/>
          <w:sz w:val="24"/>
          <w:szCs w:val="24"/>
        </w:rPr>
        <w:t xml:space="preserve">  in  the  first  place  and  counter  sued  for  revocation  of  the  mark’s registration. The 1st defendant also stated that</w:t>
      </w:r>
      <w:r>
        <w:rPr>
          <w:rFonts w:ascii="Times New Roman" w:eastAsia="Times New Roman" w:hAnsi="Times New Roman" w:cs="Times New Roman"/>
          <w:b/>
          <w:sz w:val="24"/>
          <w:szCs w:val="24"/>
        </w:rPr>
        <w:t xml:space="preserve"> he had a right to trade in his own name and therefore the use of the keyword ‘Murgwala’ does not infringe the trade mark of the plaintiff.</w:t>
      </w: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The 2nd   defendant adopted the above arguments and also took the stand that it is merely a search engine and performs the function of a directory. They claimed that such use of the words were not ‘use in the course of trade’ and therefore no action for infringement arose.</w:t>
      </w: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The Delhi High Court heard both matters together and found in favour of the defendants through common judgment dated 15.1.2014. The plaintiffs appealed to the Division Bench of the Delhi High Court and the appeal was dismissed at the admission stage. The plaintiff-</w:t>
      </w:r>
      <w:r>
        <w:rPr>
          <w:rFonts w:ascii="Times New Roman" w:eastAsia="Times New Roman" w:hAnsi="Times New Roman" w:cs="Times New Roman"/>
          <w:sz w:val="24"/>
          <w:szCs w:val="24"/>
        </w:rPr>
        <w:lastRenderedPageBreak/>
        <w:t>appellant then appealed to the Supreme Court of India. The SLP was admitted and the matter is listed for final hearing.</w:t>
      </w: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DE38E9">
      <w:pPr>
        <w:pStyle w:val="normal0"/>
        <w:spacing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STATEMENT OF ISSUES</w:t>
      </w:r>
    </w:p>
    <w:p w:rsidR="007F341E" w:rsidRDefault="007F341E">
      <w:pPr>
        <w:pStyle w:val="normal0"/>
        <w:spacing w:line="360" w:lineRule="auto"/>
        <w:rPr>
          <w:rFonts w:ascii="Times New Roman" w:eastAsia="Times New Roman" w:hAnsi="Times New Roman" w:cs="Times New Roman"/>
          <w:b/>
          <w:sz w:val="24"/>
          <w:szCs w:val="24"/>
          <w:u w:val="single"/>
        </w:rPr>
      </w:pPr>
    </w:p>
    <w:p w:rsidR="007F341E" w:rsidRDefault="00DE38E9">
      <w:pPr>
        <w:pStyle w:val="normal0"/>
        <w:widowControl w:val="0"/>
        <w:numPr>
          <w:ilvl w:val="0"/>
          <w:numId w:val="3"/>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Whether defendant no.1 be allowed relief of stay of proceedings under section 124 (1) (a) (ii) so as to initiate proceedings for revocation of registered trademark of the plaintiff?</w:t>
      </w: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DE38E9">
      <w:pPr>
        <w:pStyle w:val="normal0"/>
        <w:widowControl w:val="0"/>
        <w:numPr>
          <w:ilvl w:val="0"/>
          <w:numId w:val="3"/>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Whether one registered proprietor can sue another registered proprietor for infringement of his trademark?</w:t>
      </w: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DE38E9">
      <w:pPr>
        <w:pStyle w:val="normal0"/>
        <w:numPr>
          <w:ilvl w:val="0"/>
          <w:numId w:val="3"/>
        </w:num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Whether descriptive, generic, laudatory and commonly used words can be protected as Trademarks? </w:t>
      </w: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7F341E">
      <w:pPr>
        <w:pStyle w:val="normal0"/>
        <w:widowControl w:val="0"/>
        <w:spacing w:after="0" w:line="360" w:lineRule="auto"/>
        <w:rPr>
          <w:rFonts w:ascii="Times New Roman" w:eastAsia="Times New Roman" w:hAnsi="Times New Roman" w:cs="Times New Roman"/>
          <w:b/>
          <w:sz w:val="24"/>
          <w:szCs w:val="24"/>
          <w:u w:val="single"/>
        </w:rPr>
      </w:pPr>
    </w:p>
    <w:p w:rsidR="007F341E" w:rsidRDefault="00DE38E9">
      <w:pPr>
        <w:pStyle w:val="normal0"/>
        <w:widowControl w:val="0"/>
        <w:numPr>
          <w:ilvl w:val="0"/>
          <w:numId w:val="3"/>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Whether parts of registered Trademark could be claimed for infringement and whether this ongoing suit is maintainable or not? </w:t>
      </w: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u w:val="single"/>
        </w:rPr>
      </w:pP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u w:val="single"/>
        </w:rPr>
      </w:pP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u w:val="single"/>
        </w:rPr>
      </w:pP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u w:val="single"/>
        </w:rPr>
      </w:pP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u w:val="single"/>
        </w:rPr>
      </w:pP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u w:val="single"/>
        </w:rPr>
      </w:pP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u w:val="single"/>
        </w:rPr>
      </w:pPr>
    </w:p>
    <w:p w:rsidR="007F341E" w:rsidRDefault="007F341E">
      <w:pPr>
        <w:pStyle w:val="normal0"/>
        <w:rPr>
          <w:rFonts w:ascii="Times New Roman" w:eastAsia="Times New Roman" w:hAnsi="Times New Roman" w:cs="Times New Roman"/>
          <w:b/>
          <w:sz w:val="24"/>
          <w:szCs w:val="24"/>
          <w:u w:val="single"/>
        </w:rPr>
      </w:pPr>
    </w:p>
    <w:p w:rsidR="007F341E" w:rsidRDefault="00DE38E9">
      <w:pPr>
        <w:pStyle w:val="normal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SUMMARY OF ARGUMENTS</w:t>
      </w:r>
    </w:p>
    <w:p w:rsidR="007F341E" w:rsidRDefault="00DE38E9">
      <w:pPr>
        <w:pStyle w:val="normal0"/>
        <w:widowControl w:val="0"/>
        <w:numPr>
          <w:ilvl w:val="0"/>
          <w:numId w:val="4"/>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That defendant no.1 be allowed relief of stay of proceedings under   section   124 (1) (a) (ii) so as to initiate proceedings for rectification of registered trademark of the plaintiff. </w:t>
      </w:r>
    </w:p>
    <w:p w:rsidR="007F341E" w:rsidRDefault="00DE38E9">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 is humbly put forth that </w:t>
      </w:r>
      <w:r>
        <w:rPr>
          <w:rFonts w:ascii="Times New Roman" w:eastAsia="Times New Roman" w:hAnsi="Times New Roman" w:cs="Times New Roman"/>
          <w:b/>
          <w:color w:val="000000"/>
          <w:sz w:val="24"/>
          <w:szCs w:val="24"/>
        </w:rPr>
        <w:t>The Trademarks act, 1999</w:t>
      </w:r>
      <w:r>
        <w:rPr>
          <w:rFonts w:ascii="Times New Roman" w:eastAsia="Times New Roman" w:hAnsi="Times New Roman" w:cs="Times New Roman"/>
          <w:color w:val="000000"/>
          <w:sz w:val="24"/>
          <w:szCs w:val="24"/>
        </w:rPr>
        <w:t xml:space="preserve">, under </w:t>
      </w:r>
      <w:r>
        <w:rPr>
          <w:rFonts w:ascii="Times New Roman" w:eastAsia="Times New Roman" w:hAnsi="Times New Roman" w:cs="Times New Roman"/>
          <w:b/>
          <w:color w:val="000000"/>
          <w:sz w:val="24"/>
          <w:szCs w:val="24"/>
        </w:rPr>
        <w:t>section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124 (1) (a) </w:t>
      </w:r>
      <w:r>
        <w:rPr>
          <w:rFonts w:ascii="Times New Roman" w:eastAsia="Times New Roman" w:hAnsi="Times New Roman" w:cs="Times New Roman"/>
          <w:b/>
          <w:color w:val="000000"/>
          <w:sz w:val="24"/>
          <w:szCs w:val="24"/>
        </w:rPr>
        <w:br/>
        <w:t>(ii)</w:t>
      </w:r>
      <w:r>
        <w:rPr>
          <w:rFonts w:ascii="Times New Roman" w:eastAsia="Times New Roman" w:hAnsi="Times New Roman" w:cs="Times New Roman"/>
          <w:color w:val="000000"/>
          <w:sz w:val="24"/>
          <w:szCs w:val="24"/>
        </w:rPr>
        <w:t xml:space="preserve"> permits the defendant or the plaintiff to plead for a stay of the ongoing proceedings in case the defendant or the plaintiff pleads the invalidity of the trademark of the opposite party and allow the pleading party a time of 3 months from the date of framing of the issue in order to enable the party concerned to apply to the appellate board for rectification of the register. </w:t>
      </w:r>
      <w:r>
        <w:rPr>
          <w:rFonts w:ascii="Times New Roman" w:eastAsia="Times New Roman" w:hAnsi="Times New Roman" w:cs="Times New Roman"/>
          <w:b/>
          <w:color w:val="000000"/>
          <w:sz w:val="24"/>
          <w:szCs w:val="24"/>
        </w:rPr>
        <w:t>Section 124 (1) (a) (ii)</w:t>
      </w:r>
      <w:r>
        <w:rPr>
          <w:rFonts w:ascii="Times New Roman" w:eastAsia="Times New Roman" w:hAnsi="Times New Roman" w:cs="Times New Roman"/>
          <w:color w:val="000000"/>
          <w:sz w:val="24"/>
          <w:szCs w:val="24"/>
        </w:rPr>
        <w:t xml:space="preserve"> clearly states that where in any suit for infringement of a trademark, the defendant pleads the registration of the plaintiff’s trademark is invalid the court trying the suit shall,</w:t>
      </w:r>
    </w:p>
    <w:p w:rsidR="007F341E" w:rsidRDefault="00DE38E9">
      <w:pPr>
        <w:pStyle w:val="normal0"/>
        <w:widowControl w:val="0"/>
        <w:numPr>
          <w:ilvl w:val="0"/>
          <w:numId w:val="6"/>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 if any proceedings for rectifications of the register in relation to the plaintiff’s or defendant’s trademark are pending before the registrar or the appellate board, stay the suit pending the final disposal of such proceedings; or</w:t>
      </w:r>
    </w:p>
    <w:p w:rsidR="007F341E" w:rsidRDefault="00DE38E9">
      <w:pPr>
        <w:pStyle w:val="normal0"/>
        <w:widowControl w:val="0"/>
        <w:numPr>
          <w:ilvl w:val="0"/>
          <w:numId w:val="6"/>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if no such proceedings are pending and the court is satisfied with the fact that the plea regarding the invalidity of registration of the plaintiff’s or the defendant’s trademark is prima facie tenable, raise an issue regarding the same and </w:t>
      </w:r>
      <w:r>
        <w:rPr>
          <w:rFonts w:ascii="Times New Roman" w:eastAsia="Times New Roman" w:hAnsi="Times New Roman" w:cs="Times New Roman"/>
          <w:b/>
          <w:color w:val="000000"/>
          <w:sz w:val="24"/>
          <w:szCs w:val="24"/>
        </w:rPr>
        <w:t>adjourn the case for a period of 3 months</w:t>
      </w:r>
      <w:r>
        <w:rPr>
          <w:rFonts w:ascii="Times New Roman" w:eastAsia="Times New Roman" w:hAnsi="Times New Roman" w:cs="Times New Roman"/>
          <w:color w:val="000000"/>
          <w:sz w:val="24"/>
          <w:szCs w:val="24"/>
        </w:rPr>
        <w:t xml:space="preserve"> from the date of framing of the issue in order to enable the party concerned to apply to the appellate board for rectification of the register.</w:t>
      </w:r>
    </w:p>
    <w:p w:rsidR="007F341E" w:rsidRDefault="00DE38E9">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present case the plaintiff has sued the defendants for the infringement of his trademark and on the contrary, the defendant no.1 pleads that the registration of the plaintiff’s trademark is invalid (the defendant no.1 has counter sued the plaintiff for revocation of the mark’s registration.) Hence, in the instant case the situation or the case facts are quite similar and section 124 (1) (a) (ii) is validly applicable. </w:t>
      </w:r>
    </w:p>
    <w:p w:rsidR="007F341E" w:rsidRDefault="00DE38E9">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Therefore the defendants request this honourable court to allow the relief of stay of proceedings under   section   124 (1) (a) (ii) so as to initiate proceedings for rectification of registered trademark of the plaintiff. </w:t>
      </w: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b/>
          <w:color w:val="000000"/>
          <w:sz w:val="24"/>
          <w:szCs w:val="24"/>
        </w:rPr>
      </w:pPr>
    </w:p>
    <w:p w:rsidR="007F341E" w:rsidRDefault="00DE38E9">
      <w:pPr>
        <w:pStyle w:val="normal0"/>
        <w:widowControl w:val="0"/>
        <w:numPr>
          <w:ilvl w:val="0"/>
          <w:numId w:val="4"/>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lastRenderedPageBreak/>
        <w:t xml:space="preserve">That one registered proprietor cannot sue another registered proprietor for infringement of trademark. </w:t>
      </w:r>
    </w:p>
    <w:p w:rsidR="007F341E" w:rsidRDefault="00DE38E9">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 is humbly submitted that </w:t>
      </w:r>
      <w:r>
        <w:rPr>
          <w:rFonts w:ascii="Times New Roman" w:eastAsia="Times New Roman" w:hAnsi="Times New Roman" w:cs="Times New Roman"/>
          <w:b/>
          <w:color w:val="000000"/>
          <w:sz w:val="24"/>
          <w:szCs w:val="24"/>
        </w:rPr>
        <w:t>Section 28 (3) of The Trademarks Act, 1999,</w:t>
      </w:r>
      <w:r>
        <w:rPr>
          <w:rFonts w:ascii="Times New Roman" w:eastAsia="Times New Roman" w:hAnsi="Times New Roman" w:cs="Times New Roman"/>
          <w:color w:val="000000"/>
          <w:sz w:val="24"/>
          <w:szCs w:val="24"/>
        </w:rPr>
        <w:t xml:space="preserve"> expressly states that </w:t>
      </w:r>
      <w:r>
        <w:rPr>
          <w:rFonts w:ascii="Times New Roman" w:eastAsia="Times New Roman" w:hAnsi="Times New Roman" w:cs="Times New Roman"/>
          <w:b/>
          <w:color w:val="000000"/>
          <w:sz w:val="24"/>
          <w:szCs w:val="24"/>
        </w:rPr>
        <w:t>no registered proprietor can file an infringement action against another registered proprietor despite the fact that the marks are identical or nearly resemble each other</w:t>
      </w:r>
      <w:r>
        <w:rPr>
          <w:rFonts w:ascii="Times New Roman" w:eastAsia="Times New Roman" w:hAnsi="Times New Roman" w:cs="Times New Roman"/>
          <w:color w:val="000000"/>
          <w:sz w:val="24"/>
          <w:szCs w:val="24"/>
        </w:rPr>
        <w:t xml:space="preserve">. Both parties will enjoy their rights on their own individual axis, as if he were the sole registered proprietor. A registered proprietor is protected from an infringement action only to the extent to which the right of the use of the trademark is given by a registration. </w:t>
      </w:r>
    </w:p>
    <w:p w:rsidR="007F341E" w:rsidRDefault="00DE38E9">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Section 28 (3) protects the proprietary rights of both the plaintiff as well as the defendant. They would be entitled to take action against anyone if the trademark is infringed, but neither the plaintiff nor the defendant are entitled to take action against each other because both of them are registered proprietors of identical or nearly similar trademark.</w:t>
      </w:r>
    </w:p>
    <w:p w:rsidR="007F341E" w:rsidRDefault="00DE38E9">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the instant case the plaintiff as well as the defendant are both registered proprietors and the nature of their business is same, hence section 28 (3) is validly applicable in this case and hence the plaintiff in this case cannot sue the defendant for infringement of trademark as per section 28 (3). </w:t>
      </w: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DE38E9">
      <w:pPr>
        <w:pStyle w:val="normal0"/>
        <w:widowControl w:val="0"/>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lastRenderedPageBreak/>
        <w:t xml:space="preserve">That descriptive, generic, laudatory and commonly used words cannot be protected as Trademarks and no infringement can be claimed. </w:t>
      </w:r>
    </w:p>
    <w:p w:rsidR="007F341E" w:rsidRDefault="00DE38E9">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 is humbly submitted that the terms which are merely descriptive of the nature of the business or the characteristic of the products produced or the terms which are very commonly and frequently used cannot be protected as trademarks because no one has an exclusive right over use of such terms and hence no infringement can be claimed. </w:t>
      </w:r>
    </w:p>
    <w:p w:rsidR="007F341E" w:rsidRDefault="00DE38E9">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present matter the plaintiff who got his business trademarked as </w:t>
      </w:r>
      <w:r>
        <w:rPr>
          <w:rFonts w:ascii="Times New Roman" w:eastAsia="Times New Roman" w:hAnsi="Times New Roman" w:cs="Times New Roman"/>
          <w:b/>
          <w:color w:val="000000"/>
          <w:sz w:val="24"/>
          <w:szCs w:val="24"/>
        </w:rPr>
        <w:t>“Murgwala’s best butter chicken”</w:t>
      </w:r>
      <w:r>
        <w:rPr>
          <w:rFonts w:ascii="Times New Roman" w:eastAsia="Times New Roman" w:hAnsi="Times New Roman" w:cs="Times New Roman"/>
          <w:color w:val="000000"/>
          <w:sz w:val="24"/>
          <w:szCs w:val="24"/>
        </w:rPr>
        <w:t xml:space="preserve"> in the year 1989 has used descriptive and commonly used words of English language and is claiming compensation for infringement of the same.  But, according to the above mentioned principle the plaintiff’s trademark and his claim for infringement of the same is invalid.</w:t>
      </w: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p>
    <w:p w:rsidR="007F341E" w:rsidRDefault="00DE38E9">
      <w:pPr>
        <w:pStyle w:val="normal0"/>
        <w:widowControl w:val="0"/>
        <w:numPr>
          <w:ilvl w:val="0"/>
          <w:numId w:val="4"/>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lastRenderedPageBreak/>
        <w:t>That the parts of registered Trademark cannot be claimed for infringement and this ongoing suit is not maintainable.</w:t>
      </w:r>
    </w:p>
    <w:p w:rsidR="007F341E" w:rsidRDefault="00DE38E9">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 is humbly submitted that the parts of a registered trademark cannot be claimed for infringement unless such parts are registered separately. In the instant case the plaintiff is claiming infringement of his trademark on the basis that the defendants are using certain words of his trademark. But these words are just a part of the plaintiff’s trademark as a whole and are not registered separately. Hence the plaintiff cannot claim for infringement of his trademark on these grounds.</w:t>
      </w:r>
    </w:p>
    <w:p w:rsidR="007F341E" w:rsidRDefault="00DE38E9">
      <w:pPr>
        <w:pStyle w:val="normal0"/>
        <w:widowControl w:val="0"/>
        <w:pBdr>
          <w:top w:val="nil"/>
          <w:left w:val="nil"/>
          <w:bottom w:val="nil"/>
          <w:right w:val="nil"/>
          <w:between w:val="nil"/>
        </w:pBdr>
        <w:spacing w:after="0"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According to </w:t>
      </w:r>
      <w:r>
        <w:rPr>
          <w:rFonts w:ascii="Times New Roman" w:eastAsia="Times New Roman" w:hAnsi="Times New Roman" w:cs="Times New Roman"/>
          <w:b/>
          <w:color w:val="000000"/>
          <w:sz w:val="24"/>
          <w:szCs w:val="24"/>
        </w:rPr>
        <w:t>Section 15(1) of The Trademarks Act, 1999</w:t>
      </w:r>
      <w:r>
        <w:rPr>
          <w:rFonts w:ascii="Times New Roman" w:eastAsia="Times New Roman" w:hAnsi="Times New Roman" w:cs="Times New Roman"/>
          <w:color w:val="000000"/>
          <w:sz w:val="24"/>
          <w:szCs w:val="24"/>
        </w:rPr>
        <w:t xml:space="preserve"> when a proprietor of a trademark claims to be entitled to the exclusive use of any part thereof separately, he needs to apply to register the whole and the part as separate trademarks. </w:t>
      </w:r>
      <w:r>
        <w:rPr>
          <w:rFonts w:ascii="Times New Roman" w:eastAsia="Times New Roman" w:hAnsi="Times New Roman" w:cs="Times New Roman"/>
          <w:b/>
          <w:color w:val="000000"/>
          <w:sz w:val="24"/>
          <w:szCs w:val="24"/>
        </w:rPr>
        <w:t>Section 15(2)</w:t>
      </w:r>
      <w:r>
        <w:rPr>
          <w:rFonts w:ascii="Times New Roman" w:eastAsia="Times New Roman" w:hAnsi="Times New Roman" w:cs="Times New Roman"/>
          <w:color w:val="000000"/>
          <w:sz w:val="24"/>
          <w:szCs w:val="24"/>
        </w:rPr>
        <w:t xml:space="preserve"> further states that each separate trademark shall satisfy all the conditions applying to and have all the incidents of, an independent trade mark. It is also submitted that </w:t>
      </w:r>
      <w:r>
        <w:rPr>
          <w:rFonts w:ascii="Times New Roman" w:eastAsia="Times New Roman" w:hAnsi="Times New Roman" w:cs="Times New Roman"/>
          <w:b/>
          <w:color w:val="000000"/>
          <w:sz w:val="24"/>
          <w:szCs w:val="24"/>
        </w:rPr>
        <w:t>Section 17(1)</w:t>
      </w:r>
      <w:r>
        <w:rPr>
          <w:rFonts w:ascii="Times New Roman" w:eastAsia="Times New Roman" w:hAnsi="Times New Roman" w:cs="Times New Roman"/>
          <w:color w:val="000000"/>
          <w:sz w:val="24"/>
          <w:szCs w:val="24"/>
        </w:rPr>
        <w:t xml:space="preserve"> clearly states that when a trade mark consists of several matters, its registration shall confer on the proprietor the exclusive right to use the trade mark taken as a whole. Also, Section 17(2) states that when a trademark:</w:t>
      </w:r>
    </w:p>
    <w:p w:rsidR="007F341E" w:rsidRDefault="00DE38E9">
      <w:pPr>
        <w:pStyle w:val="normal0"/>
        <w:widowControl w:val="0"/>
        <w:numPr>
          <w:ilvl w:val="0"/>
          <w:numId w:val="1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Contains any part </w:t>
      </w:r>
    </w:p>
    <w:p w:rsidR="007F341E" w:rsidRDefault="00DE38E9">
      <w:pPr>
        <w:pStyle w:val="normal0"/>
        <w:widowControl w:val="0"/>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Which is not the subject of a separate application by the proprietor for registration as a trade mark: or </w:t>
      </w:r>
    </w:p>
    <w:p w:rsidR="007F341E" w:rsidRDefault="00DE38E9">
      <w:pPr>
        <w:pStyle w:val="normal0"/>
        <w:widowControl w:val="0"/>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Which is not separately registered by the proprietor as a trade mark: or</w:t>
      </w:r>
    </w:p>
    <w:p w:rsidR="007F341E" w:rsidRDefault="00DE38E9">
      <w:pPr>
        <w:pStyle w:val="normal0"/>
        <w:widowControl w:val="0"/>
        <w:numPr>
          <w:ilvl w:val="0"/>
          <w:numId w:val="1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Contain any matter which is common to the trade or is otherwise of a non-distinctive character.</w:t>
      </w:r>
    </w:p>
    <w:p w:rsidR="007F341E" w:rsidRDefault="00DE38E9">
      <w:pPr>
        <w:pStyle w:val="normal0"/>
        <w:widowControl w:val="0"/>
        <w:pBdr>
          <w:top w:val="nil"/>
          <w:left w:val="nil"/>
          <w:bottom w:val="nil"/>
          <w:right w:val="nil"/>
          <w:between w:val="nil"/>
        </w:pBdr>
        <w:spacing w:after="0" w:line="360" w:lineRule="auto"/>
        <w:ind w:left="108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The registration thereof shall not confer any exclusive right in the matter forming only a part of the whole of the trade mark so registered.</w:t>
      </w:r>
    </w:p>
    <w:p w:rsidR="007F341E" w:rsidRDefault="00DE38E9">
      <w:pPr>
        <w:pStyle w:val="normal0"/>
        <w:widowControl w:val="0"/>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 is also very humbly submitted that the ongoing suit is not at all maintainable against both the defendants because the claims made by the plaintiff against the defendants stand null and void on the grounds that the plaintiff cannot claim action for passing off as the concept and principle on which passing off action is grounded is that “a man is not to sell his own goods under the pretence that they are the goods of another man”. In order to create a valid cause of action for passing off the following essentials are required:</w:t>
      </w:r>
    </w:p>
    <w:p w:rsidR="007F341E" w:rsidRDefault="00DE38E9">
      <w:pPr>
        <w:pStyle w:val="normal0"/>
        <w:widowControl w:val="0"/>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a misrepresentation,</w:t>
      </w:r>
    </w:p>
    <w:p w:rsidR="007F341E" w:rsidRDefault="00DE38E9">
      <w:pPr>
        <w:pStyle w:val="normal0"/>
        <w:widowControl w:val="0"/>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made by a trader in the course of trade,</w:t>
      </w:r>
    </w:p>
    <w:p w:rsidR="007F341E" w:rsidRDefault="00DE38E9">
      <w:pPr>
        <w:pStyle w:val="normal0"/>
        <w:widowControl w:val="0"/>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lastRenderedPageBreak/>
        <w:t>to prospective customers of his or ultimate customers of goods or services supplied by him which is calculated to injure the business or goodwill of another trader,</w:t>
      </w:r>
    </w:p>
    <w:p w:rsidR="007F341E" w:rsidRDefault="00DE38E9">
      <w:pPr>
        <w:pStyle w:val="normal0"/>
        <w:widowControl w:val="0"/>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which causes actual damage to a business or goodwill of the trader by whom the action is brought or in a quia timet action will do so. </w:t>
      </w:r>
    </w:p>
    <w:p w:rsidR="007F341E" w:rsidRDefault="00DE38E9">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the instant case none of the above mentioned essentials of passing off are present and hence there can be no claim for action for passing off.</w:t>
      </w:r>
    </w:p>
    <w:p w:rsidR="007F341E" w:rsidRDefault="00DE38E9">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Secondly and more importantly there is no question of infringement of the plaintiff’s trademark as already mentioned above no one can claim for infringement of parts of trademark unless and until such parts are separately registered and in this case the parts are not separately registered. Also there can be no infringement because there are certain essentials to be proved in action for infringement of trademark and they are as follows:</w:t>
      </w:r>
    </w:p>
    <w:p w:rsidR="007F341E" w:rsidRDefault="00DE38E9">
      <w:pPr>
        <w:pStyle w:val="normal0"/>
        <w:widowControl w:val="0"/>
        <w:numPr>
          <w:ilvl w:val="0"/>
          <w:numId w:val="10"/>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trademark should be registered in part A/B of the register as provided under section 28 of the TMM act.</w:t>
      </w:r>
    </w:p>
    <w:p w:rsidR="007F341E" w:rsidRDefault="00DE38E9">
      <w:pPr>
        <w:pStyle w:val="normal0"/>
        <w:widowControl w:val="0"/>
        <w:numPr>
          <w:ilvl w:val="0"/>
          <w:numId w:val="10"/>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person infringing the trademark should not be registered proprietor of the trademark or a registered user thereof using the same by way of permitted use.</w:t>
      </w:r>
    </w:p>
    <w:p w:rsidR="007F341E" w:rsidRDefault="00DE38E9">
      <w:pPr>
        <w:pStyle w:val="normal0"/>
        <w:widowControl w:val="0"/>
        <w:numPr>
          <w:ilvl w:val="0"/>
          <w:numId w:val="10"/>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person infringing the trademark should use a trademark which is identical with or deceptively similar to the registered trademark of the plaintiff in relation to any goods in respect of which the trademark is registered.</w:t>
      </w:r>
    </w:p>
    <w:p w:rsidR="007F341E" w:rsidRDefault="00DE38E9">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Out of these above mentioned essentials the plaintiff in the present case is unable to prove the 2</w:t>
      </w:r>
      <w:r>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and the 3</w:t>
      </w:r>
      <w:r>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essential hence there is no infringement.</w:t>
      </w:r>
    </w:p>
    <w:p w:rsidR="007F341E" w:rsidRDefault="00DE38E9">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Finally, the ongoing suit is also not maintainable as Issue no.1, 2 and 3 validly and appropriately support this argument and prove that this ongoing suit is just based on apprehensions and false allegations hence this suit is not at all maintainable.    </w:t>
      </w:r>
    </w:p>
    <w:p w:rsidR="007F341E" w:rsidRDefault="007F341E">
      <w:pPr>
        <w:pStyle w:val="normal0"/>
        <w:rPr>
          <w:b/>
          <w:sz w:val="24"/>
          <w:szCs w:val="24"/>
          <w:u w:val="single"/>
        </w:rPr>
      </w:pPr>
    </w:p>
    <w:p w:rsidR="007F341E" w:rsidRDefault="007F341E">
      <w:pPr>
        <w:pStyle w:val="normal0"/>
        <w:rPr>
          <w:rFonts w:ascii="Times New Roman" w:eastAsia="Times New Roman" w:hAnsi="Times New Roman" w:cs="Times New Roman"/>
          <w:sz w:val="24"/>
          <w:szCs w:val="24"/>
        </w:rPr>
      </w:pPr>
    </w:p>
    <w:p w:rsidR="007F341E" w:rsidRDefault="007F341E">
      <w:pPr>
        <w:pStyle w:val="normal0"/>
        <w:rPr>
          <w:rFonts w:ascii="Times New Roman" w:eastAsia="Times New Roman" w:hAnsi="Times New Roman" w:cs="Times New Roman"/>
          <w:sz w:val="24"/>
          <w:szCs w:val="24"/>
        </w:rPr>
      </w:pPr>
    </w:p>
    <w:p w:rsidR="007F341E" w:rsidRDefault="007F341E">
      <w:pPr>
        <w:pStyle w:val="normal0"/>
        <w:rPr>
          <w:rFonts w:ascii="Times New Roman" w:eastAsia="Times New Roman" w:hAnsi="Times New Roman" w:cs="Times New Roman"/>
          <w:sz w:val="24"/>
          <w:szCs w:val="24"/>
        </w:rPr>
      </w:pPr>
    </w:p>
    <w:p w:rsidR="007F341E" w:rsidRDefault="00DE38E9">
      <w:pPr>
        <w:pStyle w:val="normal0"/>
        <w:spacing w:line="360" w:lineRule="auto"/>
        <w:ind w:left="72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ARGUMENTS ADVANCED</w:t>
      </w:r>
    </w:p>
    <w:p w:rsidR="007F341E" w:rsidRDefault="00DE38E9">
      <w:pPr>
        <w:pStyle w:val="normal0"/>
        <w:numPr>
          <w:ilvl w:val="0"/>
          <w:numId w:val="11"/>
        </w:numPr>
        <w:pBdr>
          <w:top w:val="nil"/>
          <w:left w:val="nil"/>
          <w:bottom w:val="nil"/>
          <w:right w:val="nil"/>
          <w:between w:val="nil"/>
        </w:pBdr>
        <w:spacing w:after="0" w:line="259" w:lineRule="auto"/>
        <w:rPr>
          <w:b/>
          <w:color w:val="000000"/>
          <w:sz w:val="24"/>
          <w:szCs w:val="24"/>
          <w:u w:val="single"/>
        </w:rPr>
      </w:pPr>
      <w:r>
        <w:rPr>
          <w:rFonts w:ascii="Times New Roman" w:eastAsia="Times New Roman" w:hAnsi="Times New Roman" w:cs="Times New Roman"/>
          <w:b/>
          <w:color w:val="000000"/>
          <w:sz w:val="24"/>
          <w:szCs w:val="24"/>
          <w:u w:val="single"/>
        </w:rPr>
        <w:lastRenderedPageBreak/>
        <w:t>Whether defendant no.1 be allowed relief of stay of proceedings under section 124 (1) (a) (ii) so as to initiate proceedings for revocation of registered trademark of the plaintiff?</w:t>
      </w:r>
    </w:p>
    <w:p w:rsidR="007F341E" w:rsidRDefault="007F341E">
      <w:pPr>
        <w:pStyle w:val="normal0"/>
        <w:widowControl w:val="0"/>
        <w:pBdr>
          <w:top w:val="nil"/>
          <w:left w:val="nil"/>
          <w:bottom w:val="nil"/>
          <w:right w:val="nil"/>
          <w:between w:val="nil"/>
        </w:pBdr>
        <w:spacing w:after="0" w:line="360" w:lineRule="auto"/>
        <w:ind w:left="720" w:hanging="720"/>
        <w:rPr>
          <w:rFonts w:ascii="Times New Roman" w:eastAsia="Times New Roman" w:hAnsi="Times New Roman" w:cs="Times New Roman"/>
          <w:color w:val="000000"/>
          <w:sz w:val="24"/>
          <w:szCs w:val="24"/>
        </w:rPr>
      </w:pPr>
    </w:p>
    <w:p w:rsidR="007F341E" w:rsidRDefault="00DE38E9">
      <w:pPr>
        <w:pStyle w:val="normal0"/>
        <w:widowControl w:val="0"/>
        <w:numPr>
          <w:ilvl w:val="0"/>
          <w:numId w:val="1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 is humbly put forth that </w:t>
      </w:r>
      <w:r>
        <w:rPr>
          <w:rFonts w:ascii="Times New Roman" w:eastAsia="Times New Roman" w:hAnsi="Times New Roman" w:cs="Times New Roman"/>
          <w:b/>
          <w:color w:val="000000"/>
          <w:sz w:val="24"/>
          <w:szCs w:val="24"/>
        </w:rPr>
        <w:t>The Trademarks act, 1999</w:t>
      </w:r>
      <w:r>
        <w:rPr>
          <w:rFonts w:ascii="Times New Roman" w:eastAsia="Times New Roman" w:hAnsi="Times New Roman" w:cs="Times New Roman"/>
          <w:color w:val="000000"/>
          <w:sz w:val="24"/>
          <w:szCs w:val="24"/>
        </w:rPr>
        <w:t xml:space="preserve">, under </w:t>
      </w:r>
      <w:r>
        <w:rPr>
          <w:rFonts w:ascii="Times New Roman" w:eastAsia="Times New Roman" w:hAnsi="Times New Roman" w:cs="Times New Roman"/>
          <w:b/>
          <w:color w:val="000000"/>
          <w:sz w:val="24"/>
          <w:szCs w:val="24"/>
        </w:rPr>
        <w:t>section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124 (1) (a) (ii)</w:t>
      </w:r>
      <w:r>
        <w:rPr>
          <w:rFonts w:ascii="Times New Roman" w:eastAsia="Times New Roman" w:hAnsi="Times New Roman" w:cs="Times New Roman"/>
          <w:color w:val="000000"/>
          <w:sz w:val="24"/>
          <w:szCs w:val="24"/>
        </w:rPr>
        <w:t xml:space="preserve"> permits the defendant or the plaintiff to plead for a stay of the ongoing proceedings in case the defendant or the plaintiff pleads the invalidity of the trademark of the opposite party and allow the pleading party a time of 3 months from the date of framing of the issue in order to enable the party concerned to apply to the appellate board for rectification of the register. </w:t>
      </w:r>
    </w:p>
    <w:p w:rsidR="007F341E" w:rsidRDefault="00DE38E9">
      <w:pPr>
        <w:pStyle w:val="normal0"/>
        <w:widowControl w:val="0"/>
        <w:numPr>
          <w:ilvl w:val="0"/>
          <w:numId w:val="1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Section 124 (1) (a) (ii)</w:t>
      </w:r>
      <w:r>
        <w:rPr>
          <w:rFonts w:ascii="Times New Roman" w:eastAsia="Times New Roman" w:hAnsi="Times New Roman" w:cs="Times New Roman"/>
          <w:color w:val="000000"/>
          <w:sz w:val="24"/>
          <w:szCs w:val="24"/>
        </w:rPr>
        <w:t xml:space="preserve"> clearly states that where in any suit for infringement of a trademark, the defendant pleads the registration of the plaintiff’s trademark is invalid the court trying the suit shall,</w:t>
      </w:r>
    </w:p>
    <w:p w:rsidR="007F341E" w:rsidRDefault="00DE38E9">
      <w:pPr>
        <w:pStyle w:val="normal0"/>
        <w:widowControl w:val="0"/>
        <w:numPr>
          <w:ilvl w:val="0"/>
          <w:numId w:val="6"/>
        </w:numPr>
        <w:pBdr>
          <w:top w:val="nil"/>
          <w:left w:val="nil"/>
          <w:bottom w:val="nil"/>
          <w:right w:val="nil"/>
          <w:between w:val="nil"/>
        </w:pBdr>
        <w:spacing w:after="0" w:line="360" w:lineRule="auto"/>
        <w:ind w:left="2160"/>
        <w:rPr>
          <w:color w:val="000000"/>
          <w:sz w:val="24"/>
          <w:szCs w:val="24"/>
        </w:rPr>
      </w:pPr>
      <w:r>
        <w:rPr>
          <w:rFonts w:ascii="Times New Roman" w:eastAsia="Times New Roman" w:hAnsi="Times New Roman" w:cs="Times New Roman"/>
          <w:color w:val="000000"/>
          <w:sz w:val="24"/>
          <w:szCs w:val="24"/>
        </w:rPr>
        <w:t xml:space="preserve"> if any proceedings for rectifications of the register in relation to the plaintiff’s or defendant’s trademark are pending before the registrar or the appellate board, stay the suit pending the final disposal of such proceedings; or</w:t>
      </w:r>
    </w:p>
    <w:p w:rsidR="007F341E" w:rsidRDefault="00DE38E9">
      <w:pPr>
        <w:pStyle w:val="normal0"/>
        <w:widowControl w:val="0"/>
        <w:numPr>
          <w:ilvl w:val="0"/>
          <w:numId w:val="6"/>
        </w:numPr>
        <w:pBdr>
          <w:top w:val="nil"/>
          <w:left w:val="nil"/>
          <w:bottom w:val="nil"/>
          <w:right w:val="nil"/>
          <w:between w:val="nil"/>
        </w:pBdr>
        <w:spacing w:after="0" w:line="360" w:lineRule="auto"/>
        <w:ind w:left="2160"/>
        <w:rPr>
          <w:color w:val="000000"/>
          <w:sz w:val="24"/>
          <w:szCs w:val="24"/>
        </w:rPr>
      </w:pPr>
      <w:r>
        <w:rPr>
          <w:rFonts w:ascii="Times New Roman" w:eastAsia="Times New Roman" w:hAnsi="Times New Roman" w:cs="Times New Roman"/>
          <w:color w:val="000000"/>
          <w:sz w:val="24"/>
          <w:szCs w:val="24"/>
        </w:rPr>
        <w:t xml:space="preserve">if no such proceedings are pending and the court is satisfied with the fact that the plea regarding the invalidity of registration of the plaintiff’s or the defendant’s trademark is prima facie tenable, raise an issue regarding the same and </w:t>
      </w:r>
      <w:r>
        <w:rPr>
          <w:rFonts w:ascii="Times New Roman" w:eastAsia="Times New Roman" w:hAnsi="Times New Roman" w:cs="Times New Roman"/>
          <w:b/>
          <w:color w:val="000000"/>
          <w:sz w:val="24"/>
          <w:szCs w:val="24"/>
        </w:rPr>
        <w:t>adjourn the case for a period of 3 months</w:t>
      </w:r>
      <w:r>
        <w:rPr>
          <w:rFonts w:ascii="Times New Roman" w:eastAsia="Times New Roman" w:hAnsi="Times New Roman" w:cs="Times New Roman"/>
          <w:color w:val="000000"/>
          <w:sz w:val="24"/>
          <w:szCs w:val="24"/>
        </w:rPr>
        <w:t xml:space="preserve"> from the date of framing of the issue in order to enable the party concerned to apply to the appellate board for rectification of the register.</w:t>
      </w:r>
    </w:p>
    <w:p w:rsidR="007F341E" w:rsidRDefault="00DE38E9">
      <w:pPr>
        <w:pStyle w:val="normal0"/>
        <w:widowControl w:val="0"/>
        <w:numPr>
          <w:ilvl w:val="0"/>
          <w:numId w:val="1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present case the plaintiff has sued the defendants for the infringement of his trademark and on the contrary, the defendant no.1 pleads that the registration of the plaintiff’s trademark is invalid (the defendant no.1 has counter sued the plaintiff for revocation of the mark’s registration.) Hence, in the instant case the situation or the case facts are quite similar and section 124 (1) (a) (ii) is validly applicable. </w:t>
      </w:r>
    </w:p>
    <w:p w:rsidR="007F341E" w:rsidRDefault="007F341E">
      <w:pPr>
        <w:pStyle w:val="normal0"/>
        <w:widowControl w:val="0"/>
        <w:pBdr>
          <w:top w:val="nil"/>
          <w:left w:val="nil"/>
          <w:bottom w:val="nil"/>
          <w:right w:val="nil"/>
          <w:between w:val="nil"/>
        </w:pBdr>
        <w:spacing w:after="0" w:line="360" w:lineRule="auto"/>
        <w:ind w:left="1080" w:hanging="720"/>
        <w:rPr>
          <w:rFonts w:ascii="Times New Roman" w:eastAsia="Times New Roman" w:hAnsi="Times New Roman" w:cs="Times New Roman"/>
          <w:b/>
          <w:color w:val="000000"/>
          <w:sz w:val="24"/>
          <w:szCs w:val="24"/>
        </w:rPr>
      </w:pPr>
    </w:p>
    <w:p w:rsidR="007F341E" w:rsidRDefault="00DE38E9">
      <w:pPr>
        <w:pStyle w:val="normal0"/>
        <w:widowControl w:val="0"/>
        <w:numPr>
          <w:ilvl w:val="0"/>
          <w:numId w:val="1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Therefore the defendants request this honorable court to allow the relief of stay of proceedings under   section   124 (1) (a) (ii) so as to </w:t>
      </w:r>
      <w:r>
        <w:rPr>
          <w:rFonts w:ascii="Times New Roman" w:eastAsia="Times New Roman" w:hAnsi="Times New Roman" w:cs="Times New Roman"/>
          <w:b/>
          <w:color w:val="000000"/>
          <w:sz w:val="24"/>
          <w:szCs w:val="24"/>
        </w:rPr>
        <w:lastRenderedPageBreak/>
        <w:t xml:space="preserve">initiate proceedings for rectification of registered trademark of the plaintiff. </w:t>
      </w: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spacing w:line="360" w:lineRule="auto"/>
        <w:ind w:left="792"/>
        <w:rPr>
          <w:rFonts w:ascii="Times New Roman" w:eastAsia="Times New Roman" w:hAnsi="Times New Roman" w:cs="Times New Roman"/>
          <w:sz w:val="24"/>
          <w:szCs w:val="24"/>
        </w:rPr>
      </w:pPr>
      <w:bookmarkStart w:id="0" w:name="_gjdgxs" w:colFirst="0" w:colLast="0"/>
      <w:bookmarkEnd w:id="0"/>
    </w:p>
    <w:p w:rsidR="007F341E" w:rsidRDefault="00DE38E9">
      <w:pPr>
        <w:pStyle w:val="normal0"/>
        <w:numPr>
          <w:ilvl w:val="0"/>
          <w:numId w:val="11"/>
        </w:numPr>
        <w:pBdr>
          <w:top w:val="nil"/>
          <w:left w:val="nil"/>
          <w:bottom w:val="nil"/>
          <w:right w:val="nil"/>
          <w:between w:val="nil"/>
        </w:pBdr>
        <w:spacing w:line="36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lastRenderedPageBreak/>
        <w:t xml:space="preserve">Whether one registered proprietor can sue another registered proprietor for infringement of trademark? </w:t>
      </w:r>
    </w:p>
    <w:p w:rsidR="007F341E" w:rsidRDefault="007F341E">
      <w:pPr>
        <w:pStyle w:val="normal0"/>
        <w:pBdr>
          <w:top w:val="nil"/>
          <w:left w:val="nil"/>
          <w:bottom w:val="nil"/>
          <w:right w:val="nil"/>
          <w:between w:val="nil"/>
        </w:pBdr>
        <w:spacing w:line="360" w:lineRule="auto"/>
        <w:ind w:left="792" w:hanging="432"/>
        <w:rPr>
          <w:rFonts w:ascii="Times New Roman" w:eastAsia="Times New Roman" w:hAnsi="Times New Roman" w:cs="Times New Roman"/>
          <w:color w:val="000000"/>
          <w:sz w:val="24"/>
          <w:szCs w:val="24"/>
        </w:rPr>
      </w:pPr>
    </w:p>
    <w:p w:rsidR="007F341E" w:rsidRDefault="00DE38E9">
      <w:pPr>
        <w:pStyle w:val="normal0"/>
        <w:widowControl w:val="0"/>
        <w:numPr>
          <w:ilvl w:val="1"/>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color w:val="000000"/>
        </w:rPr>
        <w:t>It</w:t>
      </w:r>
      <w:r>
        <w:rPr>
          <w:rFonts w:ascii="Times New Roman" w:eastAsia="Times New Roman" w:hAnsi="Times New Roman" w:cs="Times New Roman"/>
          <w:color w:val="000000"/>
          <w:sz w:val="24"/>
          <w:szCs w:val="24"/>
        </w:rPr>
        <w:t xml:space="preserve"> is humbly submitted that according to Section 28 (3) of The Trademarks Act, 1999 expressly states that no registered proprietor can file an infringement action against another registered proprietor despite the fact that the marks are identical or nearly resemble each other. Both parties will enjoy their rights on their own individual axis, as if he were the sole registered proprietor. A registered proprietor is protected from an infringement action only to the extent to which the right of the use of the trademark is given by a registration. </w:t>
      </w:r>
    </w:p>
    <w:p w:rsidR="007F341E" w:rsidRDefault="007F341E">
      <w:pPr>
        <w:pStyle w:val="normal0"/>
        <w:widowControl w:val="0"/>
        <w:spacing w:after="0" w:line="360" w:lineRule="auto"/>
        <w:jc w:val="both"/>
        <w:rPr>
          <w:rFonts w:ascii="Times New Roman" w:eastAsia="Times New Roman" w:hAnsi="Times New Roman" w:cs="Times New Roman"/>
          <w:sz w:val="24"/>
          <w:szCs w:val="24"/>
        </w:rPr>
      </w:pPr>
    </w:p>
    <w:p w:rsidR="007F341E" w:rsidRDefault="00DE38E9">
      <w:pPr>
        <w:pStyle w:val="normal0"/>
        <w:widowControl w:val="0"/>
        <w:numPr>
          <w:ilvl w:val="1"/>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Section 28 (3) protects the proprietary rights of both the plaintiff as well as the defendant. They would be entitled to take action against anyone if the trademark is infringed, but neither the plaintiff nor the defendant are entitled to take action against each other because both of them are registered proprietors of identical or nearly similar trademark.  In the instant case the plaintiff as well as the defendant are both registered proprietors and deal in the same business hence section 28 (3) is validly applicable in this case and hence the plaintiff in this case cannot sue the defendant for infringement of trademark as per section 28 (3). </w:t>
      </w:r>
    </w:p>
    <w:p w:rsidR="007F341E" w:rsidRDefault="007F341E">
      <w:pPr>
        <w:pStyle w:val="normal0"/>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p w:rsidR="007F341E" w:rsidRDefault="007F341E">
      <w:pPr>
        <w:pStyle w:val="normal0"/>
        <w:widowControl w:val="0"/>
        <w:pBdr>
          <w:top w:val="nil"/>
          <w:left w:val="nil"/>
          <w:bottom w:val="nil"/>
          <w:right w:val="nil"/>
          <w:between w:val="nil"/>
        </w:pBdr>
        <w:spacing w:after="0" w:line="360" w:lineRule="auto"/>
        <w:ind w:left="1095" w:hanging="720"/>
        <w:jc w:val="both"/>
        <w:rPr>
          <w:rFonts w:ascii="Times New Roman" w:eastAsia="Times New Roman" w:hAnsi="Times New Roman" w:cs="Times New Roman"/>
          <w:color w:val="000000"/>
          <w:sz w:val="24"/>
          <w:szCs w:val="24"/>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DE38E9">
      <w:pPr>
        <w:pStyle w:val="normal0"/>
        <w:numPr>
          <w:ilvl w:val="0"/>
          <w:numId w:val="11"/>
        </w:numPr>
        <w:pBdr>
          <w:top w:val="nil"/>
          <w:left w:val="nil"/>
          <w:bottom w:val="nil"/>
          <w:right w:val="nil"/>
          <w:between w:val="nil"/>
        </w:pBdr>
        <w:spacing w:after="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Whether descriptive, generic, laudatory and commonly used words can be protected as Trademarks and whether any infringement for the same can be claimed? </w:t>
      </w:r>
    </w:p>
    <w:p w:rsidR="007F341E" w:rsidRDefault="007F341E">
      <w:pPr>
        <w:pStyle w:val="normal0"/>
        <w:pBdr>
          <w:top w:val="nil"/>
          <w:left w:val="nil"/>
          <w:bottom w:val="nil"/>
          <w:right w:val="nil"/>
          <w:between w:val="nil"/>
        </w:pBdr>
        <w:spacing w:after="0"/>
        <w:ind w:left="1080" w:hanging="720"/>
        <w:rPr>
          <w:rFonts w:ascii="Times New Roman" w:eastAsia="Times New Roman" w:hAnsi="Times New Roman" w:cs="Times New Roman"/>
          <w:b/>
          <w:color w:val="000000"/>
          <w:sz w:val="24"/>
          <w:szCs w:val="24"/>
          <w:u w:val="single"/>
        </w:rPr>
      </w:pPr>
    </w:p>
    <w:p w:rsidR="007F341E" w:rsidRDefault="00DE38E9">
      <w:pPr>
        <w:pStyle w:val="normal0"/>
        <w:widowControl w:val="0"/>
        <w:numPr>
          <w:ilvl w:val="1"/>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 xml:space="preserve">It is humbly submitted that the terms which are merely descriptive of the nature of the business or the characteristic of the products produced or the terms which are very commonly and frequently used cannot be protected as trademarks because no one has an exclusive right over use of such terms and hence no infringement can be claimed. </w:t>
      </w:r>
    </w:p>
    <w:p w:rsidR="007F341E" w:rsidRDefault="00DE38E9">
      <w:pPr>
        <w:pStyle w:val="normal0"/>
        <w:widowControl w:val="0"/>
        <w:pBdr>
          <w:top w:val="nil"/>
          <w:left w:val="nil"/>
          <w:bottom w:val="nil"/>
          <w:right w:val="nil"/>
          <w:between w:val="nil"/>
        </w:pBdr>
        <w:spacing w:after="0" w:line="360" w:lineRule="auto"/>
        <w:ind w:left="1095" w:hanging="720"/>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color w:val="000000"/>
          <w:sz w:val="24"/>
          <w:szCs w:val="24"/>
        </w:rPr>
        <w:t xml:space="preserve">In the present matter the plaintiff who got his business trademarked as </w:t>
      </w:r>
      <w:r>
        <w:rPr>
          <w:rFonts w:ascii="Times New Roman" w:eastAsia="Times New Roman" w:hAnsi="Times New Roman" w:cs="Times New Roman"/>
          <w:b/>
          <w:color w:val="000000"/>
          <w:sz w:val="24"/>
          <w:szCs w:val="24"/>
        </w:rPr>
        <w:t>“Murgwala’s best butter chicken”</w:t>
      </w:r>
      <w:r>
        <w:rPr>
          <w:rFonts w:ascii="Times New Roman" w:eastAsia="Times New Roman" w:hAnsi="Times New Roman" w:cs="Times New Roman"/>
          <w:color w:val="000000"/>
          <w:sz w:val="24"/>
          <w:szCs w:val="24"/>
        </w:rPr>
        <w:t xml:space="preserve"> in the year 1989 has used descriptive and commonly used words of English language and is claiming compensation for infringement of the same.  But, according to the above mentioned principle the plaintiff’s trademark and his claim for infringement of the same is invalid.</w:t>
      </w:r>
    </w:p>
    <w:p w:rsidR="007F341E" w:rsidRDefault="00DE38E9">
      <w:pPr>
        <w:pStyle w:val="normal0"/>
        <w:numPr>
          <w:ilvl w:val="1"/>
          <w:numId w:val="11"/>
        </w:numPr>
        <w:spacing w:line="360"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xml:space="preserve"> In </w:t>
      </w:r>
      <w:r>
        <w:rPr>
          <w:rFonts w:ascii="Times New Roman" w:eastAsia="Times New Roman" w:hAnsi="Times New Roman" w:cs="Times New Roman"/>
          <w:b/>
          <w:i/>
          <w:sz w:val="24"/>
          <w:szCs w:val="24"/>
        </w:rPr>
        <w:t>Tarai Foods Ltd. v. Commissioner of Central Excise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the honorable Supreme Court held that, the term “New Important Quick Frozen French Fries” cannot be said to be a trademark or brand name as it was merely descriptive of the nature and characteristic of the product.</w:t>
      </w:r>
    </w:p>
    <w:p w:rsidR="007F341E" w:rsidRDefault="00DE38E9">
      <w:pPr>
        <w:pStyle w:val="normal0"/>
        <w:numPr>
          <w:ilvl w:val="1"/>
          <w:numId w:val="11"/>
        </w:numPr>
        <w:spacing w:line="360"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xml:space="preserve">It was also held in </w:t>
      </w:r>
      <w:r>
        <w:rPr>
          <w:rFonts w:ascii="Times New Roman" w:eastAsia="Times New Roman" w:hAnsi="Times New Roman" w:cs="Times New Roman"/>
          <w:b/>
          <w:i/>
          <w:sz w:val="24"/>
          <w:szCs w:val="24"/>
        </w:rPr>
        <w:t xml:space="preserve">J.R. Kapoor v. Micronix India </w:t>
      </w:r>
      <w:r>
        <w:rPr>
          <w:rFonts w:ascii="Times New Roman" w:eastAsia="Times New Roman" w:hAnsi="Times New Roman" w:cs="Times New Roman"/>
          <w:sz w:val="24"/>
          <w:szCs w:val="24"/>
        </w:rPr>
        <w:t xml:space="preserve">by the honorable Supreme Court that “the term Micro is descriptive of the products which were produced using a particular technology and it being a common word of English language, no one can claim exclusive use over it”. </w:t>
      </w:r>
    </w:p>
    <w:p w:rsidR="007F341E" w:rsidRDefault="00DE38E9">
      <w:pPr>
        <w:pStyle w:val="normal0"/>
        <w:numPr>
          <w:ilvl w:val="1"/>
          <w:numId w:val="11"/>
        </w:numPr>
        <w:spacing w:line="360"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Hence, in the instant case the situation is similar where the plaintiff is using the terms “Best Butter Chicken” which are again merely descriptive of the nature and characteristic of the product and hence according to the above mentioned judgments of the honorable Supreme Court these terms cannot be protected as Trademarks. Therefore, the plaintiff cannot use such descriptive, generic, laudatory and commonly used words of English language as Trademark and is not entitled to any claim for infringement.</w:t>
      </w:r>
    </w:p>
    <w:p w:rsidR="007F341E" w:rsidRDefault="007F341E">
      <w:pPr>
        <w:pStyle w:val="normal0"/>
        <w:spacing w:line="360" w:lineRule="auto"/>
        <w:ind w:left="1095"/>
        <w:jc w:val="both"/>
        <w:rPr>
          <w:rFonts w:ascii="Times New Roman" w:eastAsia="Times New Roman" w:hAnsi="Times New Roman" w:cs="Times New Roman"/>
          <w:b/>
          <w:sz w:val="24"/>
          <w:szCs w:val="24"/>
          <w:u w:val="single"/>
        </w:rPr>
      </w:pPr>
    </w:p>
    <w:p w:rsidR="007F341E" w:rsidRDefault="00DE38E9">
      <w:pPr>
        <w:pStyle w:val="normal0"/>
        <w:numPr>
          <w:ilvl w:val="0"/>
          <w:numId w:val="11"/>
        </w:num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Whether the parts of registered Trademark can be claimed for infringement and whether this ongoing suit is maintainable or not?</w:t>
      </w:r>
    </w:p>
    <w:p w:rsidR="007F341E" w:rsidRDefault="00DE38E9">
      <w:pPr>
        <w:pStyle w:val="normal0"/>
        <w:widowControl w:val="0"/>
        <w:numPr>
          <w:ilvl w:val="1"/>
          <w:numId w:val="11"/>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It is humbly submitted that the parts of a registered trademark cannot be claimed for infringement unless such parts are registered separately. In the instant case the </w:t>
      </w:r>
      <w:r>
        <w:rPr>
          <w:rFonts w:ascii="Times New Roman" w:eastAsia="Times New Roman" w:hAnsi="Times New Roman" w:cs="Times New Roman"/>
          <w:color w:val="000000"/>
          <w:sz w:val="24"/>
          <w:szCs w:val="24"/>
        </w:rPr>
        <w:lastRenderedPageBreak/>
        <w:t>plaintiff is claiming infringement of his trademark on the basis that the defendants are using certain words of his trademark. But these words are just a part of the plaintiff’s trademark as a whole and are not registered separately. Hence the plaintiff cannot claim for infringement of his trademark on these grounds.</w:t>
      </w:r>
    </w:p>
    <w:p w:rsidR="007F341E" w:rsidRDefault="00DE38E9">
      <w:pPr>
        <w:pStyle w:val="normal0"/>
        <w:widowControl w:val="0"/>
        <w:numPr>
          <w:ilvl w:val="1"/>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According to </w:t>
      </w:r>
      <w:r>
        <w:rPr>
          <w:rFonts w:ascii="Times New Roman" w:eastAsia="Times New Roman" w:hAnsi="Times New Roman" w:cs="Times New Roman"/>
          <w:b/>
          <w:color w:val="000000"/>
          <w:sz w:val="24"/>
          <w:szCs w:val="24"/>
        </w:rPr>
        <w:t>Section 15(1) of The Trademarks Act, 1999</w:t>
      </w:r>
      <w:r>
        <w:rPr>
          <w:rFonts w:ascii="Times New Roman" w:eastAsia="Times New Roman" w:hAnsi="Times New Roman" w:cs="Times New Roman"/>
          <w:color w:val="000000"/>
          <w:sz w:val="24"/>
          <w:szCs w:val="24"/>
        </w:rPr>
        <w:t xml:space="preserve"> when a proprietor of a trademark claims to be entitled to the exclusive use of any part thereof separately, he needs to apply to register the whole and the part as separate trademarks. </w:t>
      </w:r>
      <w:r>
        <w:rPr>
          <w:rFonts w:ascii="Times New Roman" w:eastAsia="Times New Roman" w:hAnsi="Times New Roman" w:cs="Times New Roman"/>
          <w:b/>
          <w:color w:val="000000"/>
          <w:sz w:val="24"/>
          <w:szCs w:val="24"/>
        </w:rPr>
        <w:t>Section 15(2)</w:t>
      </w:r>
      <w:r>
        <w:rPr>
          <w:rFonts w:ascii="Times New Roman" w:eastAsia="Times New Roman" w:hAnsi="Times New Roman" w:cs="Times New Roman"/>
          <w:color w:val="000000"/>
          <w:sz w:val="24"/>
          <w:szCs w:val="24"/>
        </w:rPr>
        <w:t xml:space="preserve"> further states that each separate trademark shall satisfy all the conditions applying to and have all the incidents of, an independent trade mark. It is also submitted that </w:t>
      </w:r>
      <w:r>
        <w:rPr>
          <w:rFonts w:ascii="Times New Roman" w:eastAsia="Times New Roman" w:hAnsi="Times New Roman" w:cs="Times New Roman"/>
          <w:b/>
          <w:color w:val="000000"/>
          <w:sz w:val="24"/>
          <w:szCs w:val="24"/>
        </w:rPr>
        <w:t>Section 17(1)</w:t>
      </w:r>
      <w:r>
        <w:rPr>
          <w:rFonts w:ascii="Times New Roman" w:eastAsia="Times New Roman" w:hAnsi="Times New Roman" w:cs="Times New Roman"/>
          <w:color w:val="000000"/>
          <w:sz w:val="24"/>
          <w:szCs w:val="24"/>
        </w:rPr>
        <w:t xml:space="preserve"> clearly states that when a trade mark consists of several matters, its registration shall confer on the proprietor the exclusive right to use the trade mark taken as a whole. Also, Section 17(2) states that when a trademark:</w:t>
      </w:r>
    </w:p>
    <w:p w:rsidR="007F341E" w:rsidRDefault="00DE38E9">
      <w:pPr>
        <w:pStyle w:val="normal0"/>
        <w:widowControl w:val="0"/>
        <w:numPr>
          <w:ilvl w:val="0"/>
          <w:numId w:val="16"/>
        </w:numPr>
        <w:pBdr>
          <w:top w:val="nil"/>
          <w:left w:val="nil"/>
          <w:bottom w:val="nil"/>
          <w:right w:val="nil"/>
          <w:between w:val="nil"/>
        </w:pBdr>
        <w:spacing w:after="0" w:line="360" w:lineRule="auto"/>
        <w:ind w:left="2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Contains any part </w:t>
      </w:r>
    </w:p>
    <w:p w:rsidR="007F341E" w:rsidRDefault="00DE38E9">
      <w:pPr>
        <w:pStyle w:val="normal0"/>
        <w:widowControl w:val="0"/>
        <w:numPr>
          <w:ilvl w:val="0"/>
          <w:numId w:val="17"/>
        </w:numPr>
        <w:pBdr>
          <w:top w:val="nil"/>
          <w:left w:val="nil"/>
          <w:bottom w:val="nil"/>
          <w:right w:val="nil"/>
          <w:between w:val="nil"/>
        </w:pBdr>
        <w:spacing w:after="0" w:line="360" w:lineRule="auto"/>
        <w:ind w:left="28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Which is not the subject of a separate application by the proprietor for registration as a trade mark: or </w:t>
      </w:r>
    </w:p>
    <w:p w:rsidR="007F341E" w:rsidRDefault="00DE38E9">
      <w:pPr>
        <w:pStyle w:val="normal0"/>
        <w:widowControl w:val="0"/>
        <w:numPr>
          <w:ilvl w:val="0"/>
          <w:numId w:val="17"/>
        </w:numPr>
        <w:pBdr>
          <w:top w:val="nil"/>
          <w:left w:val="nil"/>
          <w:bottom w:val="nil"/>
          <w:right w:val="nil"/>
          <w:between w:val="nil"/>
        </w:pBdr>
        <w:spacing w:after="0" w:line="360" w:lineRule="auto"/>
        <w:ind w:left="28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Which is not separately registered by the proprietor as a trade mark: or</w:t>
      </w:r>
    </w:p>
    <w:p w:rsidR="007F341E" w:rsidRDefault="00DE38E9">
      <w:pPr>
        <w:pStyle w:val="normal0"/>
        <w:widowControl w:val="0"/>
        <w:numPr>
          <w:ilvl w:val="0"/>
          <w:numId w:val="16"/>
        </w:numPr>
        <w:pBdr>
          <w:top w:val="nil"/>
          <w:left w:val="nil"/>
          <w:bottom w:val="nil"/>
          <w:right w:val="nil"/>
          <w:between w:val="nil"/>
        </w:pBdr>
        <w:spacing w:after="0" w:line="360" w:lineRule="auto"/>
        <w:ind w:left="2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Contain any matter which is common to the trade or is otherwise of a non-distinctive character.</w:t>
      </w:r>
    </w:p>
    <w:p w:rsidR="007F341E" w:rsidRDefault="00DE38E9">
      <w:pPr>
        <w:pStyle w:val="normal0"/>
        <w:widowControl w:val="0"/>
        <w:pBdr>
          <w:top w:val="nil"/>
          <w:left w:val="nil"/>
          <w:bottom w:val="nil"/>
          <w:right w:val="nil"/>
          <w:between w:val="nil"/>
        </w:pBdr>
        <w:spacing w:after="0" w:line="360" w:lineRule="auto"/>
        <w:ind w:left="1080" w:hanging="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The registration thereof shall not confer any exclusive right in the matter forming only a part of the whole of the trade mark so registered.</w:t>
      </w:r>
    </w:p>
    <w:p w:rsidR="007F341E" w:rsidRDefault="00DE38E9">
      <w:pPr>
        <w:pStyle w:val="normal0"/>
        <w:widowControl w:val="0"/>
        <w:numPr>
          <w:ilvl w:val="1"/>
          <w:numId w:val="11"/>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It is also very humbly submitted that the ongoing suit is not at all maintainable against both the defendants because the claims made by the plaintiff against the defendants stand null and void on the grounds that the plaintiff cannot claim action for passing off as the concept and principle on which passing off action is grounded is that “a man is not to sell his own goods under the pretence that they are the goods of another man”. In order to create a valid cause of action for passing off the following essentials are required:</w:t>
      </w:r>
    </w:p>
    <w:p w:rsidR="007F341E" w:rsidRDefault="00DE38E9">
      <w:pPr>
        <w:pStyle w:val="normal0"/>
        <w:widowControl w:val="0"/>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a misrepresentation,</w:t>
      </w:r>
    </w:p>
    <w:p w:rsidR="007F341E" w:rsidRDefault="00DE38E9">
      <w:pPr>
        <w:pStyle w:val="normal0"/>
        <w:widowControl w:val="0"/>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made by a trader in the course of trade,</w:t>
      </w:r>
    </w:p>
    <w:p w:rsidR="007F341E" w:rsidRDefault="00DE38E9">
      <w:pPr>
        <w:pStyle w:val="normal0"/>
        <w:widowControl w:val="0"/>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to prospective customers of his or ultimate customers of goods or services supplied by him which is calculated to injure the business or goodwill of </w:t>
      </w:r>
      <w:r>
        <w:rPr>
          <w:rFonts w:ascii="Times New Roman" w:eastAsia="Times New Roman" w:hAnsi="Times New Roman" w:cs="Times New Roman"/>
          <w:color w:val="000000"/>
          <w:sz w:val="24"/>
          <w:szCs w:val="24"/>
        </w:rPr>
        <w:lastRenderedPageBreak/>
        <w:t>another trader,</w:t>
      </w:r>
    </w:p>
    <w:p w:rsidR="007F341E" w:rsidRDefault="00DE38E9">
      <w:pPr>
        <w:pStyle w:val="normal0"/>
        <w:widowControl w:val="0"/>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which causes actual damage to a business or goodwill of the trader by whom the action is brought or in a quia timet action will do so. </w:t>
      </w:r>
    </w:p>
    <w:p w:rsidR="007F341E" w:rsidRDefault="00DE38E9">
      <w:pPr>
        <w:pStyle w:val="normal0"/>
        <w:widowControl w:val="0"/>
        <w:numPr>
          <w:ilvl w:val="1"/>
          <w:numId w:val="11"/>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In the instant case none of the above mentioned essentials of passing off are present and hence there can be no claim for action for passing off.</w:t>
      </w:r>
    </w:p>
    <w:p w:rsidR="007F341E" w:rsidRDefault="00DE38E9">
      <w:pPr>
        <w:pStyle w:val="normal0"/>
        <w:widowControl w:val="0"/>
        <w:pBdr>
          <w:top w:val="nil"/>
          <w:left w:val="nil"/>
          <w:bottom w:val="nil"/>
          <w:right w:val="nil"/>
          <w:between w:val="nil"/>
        </w:pBdr>
        <w:spacing w:after="0" w:line="360" w:lineRule="auto"/>
        <w:ind w:left="109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Secondly and more importantly there is no question of infringement of the plaintiff’s trademark as already mentioned above no one can claim for infringement of parts of trademark unless and until such parts are separately registered and in this case the parts are not separately registered. Also there can be no infringement because there are certain essentials to be proved in action for infringement of trademark and they are as follows:</w:t>
      </w:r>
    </w:p>
    <w:p w:rsidR="007F341E" w:rsidRDefault="00DE38E9">
      <w:pPr>
        <w:pStyle w:val="normal0"/>
        <w:widowControl w:val="0"/>
        <w:numPr>
          <w:ilvl w:val="0"/>
          <w:numId w:val="10"/>
        </w:numPr>
        <w:pBdr>
          <w:top w:val="nil"/>
          <w:left w:val="nil"/>
          <w:bottom w:val="nil"/>
          <w:right w:val="nil"/>
          <w:between w:val="nil"/>
        </w:pBdr>
        <w:spacing w:after="0" w:line="360" w:lineRule="auto"/>
        <w:ind w:left="1879"/>
        <w:rPr>
          <w:color w:val="000000"/>
          <w:sz w:val="24"/>
          <w:szCs w:val="24"/>
        </w:rPr>
      </w:pPr>
      <w:r>
        <w:rPr>
          <w:rFonts w:ascii="Times New Roman" w:eastAsia="Times New Roman" w:hAnsi="Times New Roman" w:cs="Times New Roman"/>
          <w:color w:val="000000"/>
          <w:sz w:val="24"/>
          <w:szCs w:val="24"/>
        </w:rPr>
        <w:t>The trademark should be registered in part A/B of the register as provided under section 28 of the TMM act.</w:t>
      </w:r>
    </w:p>
    <w:p w:rsidR="007F341E" w:rsidRDefault="00DE38E9">
      <w:pPr>
        <w:pStyle w:val="normal0"/>
        <w:widowControl w:val="0"/>
        <w:numPr>
          <w:ilvl w:val="0"/>
          <w:numId w:val="10"/>
        </w:numPr>
        <w:pBdr>
          <w:top w:val="nil"/>
          <w:left w:val="nil"/>
          <w:bottom w:val="nil"/>
          <w:right w:val="nil"/>
          <w:between w:val="nil"/>
        </w:pBdr>
        <w:spacing w:after="0" w:line="360" w:lineRule="auto"/>
        <w:ind w:left="1879"/>
        <w:rPr>
          <w:color w:val="000000"/>
          <w:sz w:val="24"/>
          <w:szCs w:val="24"/>
        </w:rPr>
      </w:pPr>
      <w:r>
        <w:rPr>
          <w:rFonts w:ascii="Times New Roman" w:eastAsia="Times New Roman" w:hAnsi="Times New Roman" w:cs="Times New Roman"/>
          <w:color w:val="000000"/>
          <w:sz w:val="24"/>
          <w:szCs w:val="24"/>
        </w:rPr>
        <w:t>The person infringing the trademark should not be registered proprietor of the trademark or a registered user thereof using the same by way of permitted use.</w:t>
      </w:r>
    </w:p>
    <w:p w:rsidR="007F341E" w:rsidRDefault="00DE38E9">
      <w:pPr>
        <w:pStyle w:val="normal0"/>
        <w:widowControl w:val="0"/>
        <w:numPr>
          <w:ilvl w:val="0"/>
          <w:numId w:val="10"/>
        </w:numPr>
        <w:pBdr>
          <w:top w:val="nil"/>
          <w:left w:val="nil"/>
          <w:bottom w:val="nil"/>
          <w:right w:val="nil"/>
          <w:between w:val="nil"/>
        </w:pBdr>
        <w:spacing w:after="0" w:line="360" w:lineRule="auto"/>
        <w:ind w:left="1879"/>
        <w:rPr>
          <w:color w:val="000000"/>
          <w:sz w:val="24"/>
          <w:szCs w:val="24"/>
        </w:rPr>
      </w:pPr>
      <w:r>
        <w:rPr>
          <w:rFonts w:ascii="Times New Roman" w:eastAsia="Times New Roman" w:hAnsi="Times New Roman" w:cs="Times New Roman"/>
          <w:color w:val="000000"/>
          <w:sz w:val="24"/>
          <w:szCs w:val="24"/>
        </w:rPr>
        <w:t>The person infringing the trademark should use a trademark which is identical with or deceptively similar to the registered trademark of the plaintiff in relation to any goods in respect of which the trademark is registered.</w:t>
      </w:r>
    </w:p>
    <w:p w:rsidR="007F341E" w:rsidRDefault="00DE38E9">
      <w:pPr>
        <w:pStyle w:val="normal0"/>
        <w:widowControl w:val="0"/>
        <w:pBdr>
          <w:top w:val="nil"/>
          <w:left w:val="nil"/>
          <w:bottom w:val="nil"/>
          <w:right w:val="nil"/>
          <w:between w:val="nil"/>
        </w:pBdr>
        <w:spacing w:after="0" w:line="360" w:lineRule="auto"/>
        <w:ind w:left="109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Out of these above mentioned essentials the plaintiff in the present case is unable to prove the 2</w:t>
      </w:r>
      <w:r>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and the 3</w:t>
      </w:r>
      <w:r>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essential hence there is no infringement.</w:t>
      </w:r>
    </w:p>
    <w:p w:rsidR="007F341E" w:rsidRDefault="00DE38E9">
      <w:pPr>
        <w:pStyle w:val="normal0"/>
        <w:widowControl w:val="0"/>
        <w:numPr>
          <w:ilvl w:val="1"/>
          <w:numId w:val="11"/>
        </w:numPr>
        <w:pBdr>
          <w:top w:val="nil"/>
          <w:left w:val="nil"/>
          <w:bottom w:val="nil"/>
          <w:right w:val="nil"/>
          <w:between w:val="nil"/>
        </w:pBdr>
        <w:spacing w:after="0" w:line="36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Finally, the ongoing suit is also not maintainable as Issue no.1, 2 and 3 validly and appropriately support this argument and prove that this ongoing suit is just based on apprehensions and false allegations hence this suit is not at all maintainable.    </w:t>
      </w:r>
    </w:p>
    <w:p w:rsidR="007F341E" w:rsidRDefault="007F341E">
      <w:pPr>
        <w:pStyle w:val="normal0"/>
        <w:spacing w:line="360" w:lineRule="auto"/>
        <w:ind w:left="1080"/>
        <w:jc w:val="both"/>
        <w:rPr>
          <w:rFonts w:ascii="Times New Roman" w:eastAsia="Times New Roman" w:hAnsi="Times New Roman" w:cs="Times New Roman"/>
          <w:b/>
          <w:sz w:val="24"/>
          <w:szCs w:val="24"/>
          <w:u w:val="single"/>
        </w:rPr>
      </w:pPr>
    </w:p>
    <w:p w:rsidR="007F341E" w:rsidRDefault="007F341E">
      <w:pPr>
        <w:pStyle w:val="normal0"/>
        <w:ind w:left="360"/>
        <w:rPr>
          <w:b/>
          <w:sz w:val="24"/>
          <w:szCs w:val="24"/>
          <w:u w:val="single"/>
        </w:rPr>
      </w:pPr>
    </w:p>
    <w:p w:rsidR="007F341E" w:rsidRDefault="007F341E">
      <w:pPr>
        <w:pStyle w:val="normal0"/>
        <w:ind w:left="360"/>
        <w:rPr>
          <w:b/>
          <w:sz w:val="24"/>
          <w:szCs w:val="24"/>
          <w:u w:val="single"/>
        </w:rPr>
      </w:pPr>
    </w:p>
    <w:p w:rsidR="007F341E" w:rsidRDefault="007F341E">
      <w:pPr>
        <w:pStyle w:val="normal0"/>
        <w:spacing w:line="360" w:lineRule="auto"/>
        <w:ind w:left="720"/>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7F341E">
      <w:pPr>
        <w:pStyle w:val="normal0"/>
        <w:spacing w:line="360" w:lineRule="auto"/>
        <w:jc w:val="center"/>
        <w:rPr>
          <w:rFonts w:ascii="Times New Roman" w:eastAsia="Times New Roman" w:hAnsi="Times New Roman" w:cs="Times New Roman"/>
          <w:b/>
          <w:sz w:val="24"/>
          <w:szCs w:val="24"/>
          <w:u w:val="single"/>
        </w:rPr>
      </w:pPr>
    </w:p>
    <w:p w:rsidR="007F341E" w:rsidRDefault="00DE38E9">
      <w:pPr>
        <w:pStyle w:val="normal0"/>
        <w:spacing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PRAYER</w:t>
      </w:r>
    </w:p>
    <w:p w:rsidR="007F341E" w:rsidRDefault="007F341E">
      <w:pPr>
        <w:pStyle w:val="normal0"/>
        <w:spacing w:line="360" w:lineRule="auto"/>
        <w:jc w:val="both"/>
        <w:rPr>
          <w:rFonts w:ascii="Times New Roman" w:eastAsia="Times New Roman" w:hAnsi="Times New Roman" w:cs="Times New Roman"/>
          <w:b/>
          <w:sz w:val="24"/>
          <w:szCs w:val="24"/>
        </w:rPr>
      </w:pP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humbly prayed that in light of the facts of the case, statutes referred, authorities cited and arguments advanced, this Hon’ble Supreme Court may be pleased to:</w:t>
      </w: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DE38E9">
      <w:pPr>
        <w:pStyle w:val="normal0"/>
        <w:numPr>
          <w:ilvl w:val="0"/>
          <w:numId w:val="7"/>
        </w:numPr>
        <w:spacing w:line="360" w:lineRule="auto"/>
        <w:jc w:val="both"/>
        <w:rPr>
          <w:sz w:val="24"/>
          <w:szCs w:val="24"/>
        </w:rPr>
      </w:pPr>
      <w:r>
        <w:rPr>
          <w:rFonts w:ascii="Times New Roman" w:eastAsia="Times New Roman" w:hAnsi="Times New Roman" w:cs="Times New Roman"/>
          <w:sz w:val="24"/>
          <w:szCs w:val="24"/>
        </w:rPr>
        <w:t>Dismiss the appeal filed by the Maha Surya Trust and Vrindavan Homes along with Stakeholders.</w:t>
      </w:r>
    </w:p>
    <w:p w:rsidR="007F341E" w:rsidRDefault="00DE38E9">
      <w:pPr>
        <w:pStyle w:val="normal0"/>
        <w:numPr>
          <w:ilvl w:val="0"/>
          <w:numId w:val="7"/>
        </w:numPr>
        <w:spacing w:line="360" w:lineRule="auto"/>
        <w:jc w:val="both"/>
        <w:rPr>
          <w:sz w:val="24"/>
          <w:szCs w:val="24"/>
        </w:rPr>
      </w:pPr>
      <w:r>
        <w:rPr>
          <w:rFonts w:ascii="Times New Roman" w:eastAsia="Times New Roman" w:hAnsi="Times New Roman" w:cs="Times New Roman"/>
          <w:sz w:val="24"/>
          <w:szCs w:val="24"/>
        </w:rPr>
        <w:t>Pass any orders or judgements that the Hon'ble court may see fit in the interest of justice</w:t>
      </w:r>
    </w:p>
    <w:p w:rsidR="007F341E" w:rsidRDefault="007F341E">
      <w:pPr>
        <w:pStyle w:val="normal0"/>
        <w:spacing w:line="360" w:lineRule="auto"/>
        <w:ind w:left="720"/>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FILED BY:</w:t>
      </w:r>
    </w:p>
    <w:p w:rsidR="007F341E" w:rsidRDefault="00DE38E9">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NEW DELHI</w:t>
      </w: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DE38E9">
      <w:pPr>
        <w:pStyle w:val="normal0"/>
        <w:spacing w:line="36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COUNSEL(s) FOR RESPONDANT</w:t>
      </w:r>
    </w:p>
    <w:p w:rsidR="007F341E" w:rsidRDefault="007F341E">
      <w:pPr>
        <w:pStyle w:val="normal0"/>
        <w:spacing w:line="360" w:lineRule="auto"/>
        <w:jc w:val="both"/>
        <w:rPr>
          <w:rFonts w:ascii="Times New Roman" w:eastAsia="Times New Roman" w:hAnsi="Times New Roman" w:cs="Times New Roman"/>
          <w:sz w:val="24"/>
          <w:szCs w:val="24"/>
        </w:rPr>
      </w:pPr>
    </w:p>
    <w:p w:rsidR="007F341E" w:rsidRDefault="007F341E">
      <w:pPr>
        <w:pStyle w:val="normal0"/>
      </w:pPr>
    </w:p>
    <w:sectPr w:rsidR="007F341E" w:rsidSect="007F341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DBD" w:rsidRDefault="006D4DBD" w:rsidP="007F341E">
      <w:pPr>
        <w:spacing w:after="0" w:line="240" w:lineRule="auto"/>
      </w:pPr>
      <w:r>
        <w:separator/>
      </w:r>
    </w:p>
  </w:endnote>
  <w:endnote w:type="continuationSeparator" w:id="1">
    <w:p w:rsidR="006D4DBD" w:rsidRDefault="006D4DBD" w:rsidP="007F34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06" w:rsidRDefault="006E57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06" w:rsidRDefault="00333A84">
    <w:pPr>
      <w:pStyle w:val="Footer"/>
    </w:pPr>
    <w:r>
      <w:rPr>
        <w:noProof/>
        <w:lang w:val="en-IN"/>
      </w:rPr>
      <w:drawing>
        <wp:anchor distT="0" distB="0" distL="114300" distR="114300" simplePos="0" relativeHeight="251659264" behindDoc="0" locked="0" layoutInCell="1" allowOverlap="1">
          <wp:simplePos x="0" y="0"/>
          <wp:positionH relativeFrom="margin">
            <wp:posOffset>2054584</wp:posOffset>
          </wp:positionH>
          <wp:positionV relativeFrom="margin">
            <wp:posOffset>8903583</wp:posOffset>
          </wp:positionV>
          <wp:extent cx="1427452" cy="381662"/>
          <wp:effectExtent l="19050" t="0" r="1298" b="0"/>
          <wp:wrapSquare wrapText="bothSides"/>
          <wp:docPr id="2" name="Picture 1" descr="logo_flat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lat_n.png"/>
                  <pic:cNvPicPr/>
                </pic:nvPicPr>
                <pic:blipFill>
                  <a:blip r:embed="rId1"/>
                  <a:stretch>
                    <a:fillRect/>
                  </a:stretch>
                </pic:blipFill>
                <pic:spPr>
                  <a:xfrm>
                    <a:off x="0" y="0"/>
                    <a:ext cx="1427452" cy="381662"/>
                  </a:xfrm>
                  <a:prstGeom prst="rect">
                    <a:avLst/>
                  </a:prstGeom>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06" w:rsidRDefault="006E5706">
    <w:pPr>
      <w:pStyle w:val="Footer"/>
    </w:pPr>
    <w:r>
      <w:rPr>
        <w:noProof/>
        <w:lang w:val="en-IN"/>
      </w:rPr>
      <w:drawing>
        <wp:anchor distT="0" distB="0" distL="114300" distR="114300" simplePos="0" relativeHeight="251658240" behindDoc="0" locked="0" layoutInCell="1" allowOverlap="1">
          <wp:simplePos x="0" y="0"/>
          <wp:positionH relativeFrom="margin">
            <wp:posOffset>2101850</wp:posOffset>
          </wp:positionH>
          <wp:positionV relativeFrom="margin">
            <wp:posOffset>8539480</wp:posOffset>
          </wp:positionV>
          <wp:extent cx="1426210" cy="381635"/>
          <wp:effectExtent l="19050" t="0" r="2540" b="0"/>
          <wp:wrapSquare wrapText="bothSides"/>
          <wp:docPr id="1" name="Picture 0" descr="logo_flat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lat_n.png"/>
                  <pic:cNvPicPr/>
                </pic:nvPicPr>
                <pic:blipFill>
                  <a:blip r:embed="rId1"/>
                  <a:stretch>
                    <a:fillRect/>
                  </a:stretch>
                </pic:blipFill>
                <pic:spPr>
                  <a:xfrm>
                    <a:off x="0" y="0"/>
                    <a:ext cx="1426210" cy="381635"/>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DBD" w:rsidRDefault="006D4DBD" w:rsidP="007F341E">
      <w:pPr>
        <w:spacing w:after="0" w:line="240" w:lineRule="auto"/>
      </w:pPr>
      <w:r>
        <w:separator/>
      </w:r>
    </w:p>
  </w:footnote>
  <w:footnote w:type="continuationSeparator" w:id="1">
    <w:p w:rsidR="006D4DBD" w:rsidRDefault="006D4DBD" w:rsidP="007F34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06" w:rsidRDefault="006E57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41E" w:rsidRDefault="00DE38E9">
    <w:pPr>
      <w:pStyle w:val="normal0"/>
      <w:pBdr>
        <w:top w:val="nil"/>
        <w:left w:val="nil"/>
        <w:bottom w:val="single" w:sz="4" w:space="1" w:color="D9D9D9"/>
        <w:right w:val="nil"/>
        <w:between w:val="nil"/>
      </w:pBdr>
      <w:tabs>
        <w:tab w:val="center" w:pos="4513"/>
        <w:tab w:val="right" w:pos="9026"/>
      </w:tabs>
      <w:jc w:val="right"/>
      <w:rPr>
        <w:b/>
        <w:color w:val="000000"/>
      </w:rPr>
    </w:pPr>
    <w:r>
      <w:rPr>
        <w:color w:val="7F7F7F"/>
      </w:rPr>
      <w:t>Memorial on Behalf of the Defendant</w:t>
    </w:r>
    <w:r>
      <w:rPr>
        <w:color w:val="000000"/>
      </w:rPr>
      <w:t xml:space="preserve"> | </w:t>
    </w:r>
    <w:r w:rsidR="0050080C">
      <w:rPr>
        <w:color w:val="000000"/>
      </w:rPr>
      <w:fldChar w:fldCharType="begin"/>
    </w:r>
    <w:r>
      <w:rPr>
        <w:color w:val="000000"/>
      </w:rPr>
      <w:instrText>PAGE</w:instrText>
    </w:r>
    <w:r w:rsidR="0050080C">
      <w:rPr>
        <w:color w:val="000000"/>
      </w:rPr>
      <w:fldChar w:fldCharType="separate"/>
    </w:r>
    <w:r w:rsidR="00333A84">
      <w:rPr>
        <w:noProof/>
        <w:color w:val="000000"/>
      </w:rPr>
      <w:t>1</w:t>
    </w:r>
    <w:r w:rsidR="0050080C">
      <w:rPr>
        <w:color w:val="000000"/>
      </w:rPr>
      <w:fldChar w:fldCharType="end"/>
    </w:r>
  </w:p>
  <w:p w:rsidR="007F341E" w:rsidRDefault="007F341E">
    <w:pPr>
      <w:pStyle w:val="normal0"/>
      <w:pBdr>
        <w:top w:val="nil"/>
        <w:left w:val="nil"/>
        <w:bottom w:val="nil"/>
        <w:right w:val="nil"/>
        <w:between w:val="nil"/>
      </w:pBdr>
      <w:tabs>
        <w:tab w:val="center" w:pos="4513"/>
        <w:tab w:val="right" w:pos="9026"/>
      </w:tabs>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41E" w:rsidRDefault="00DE38E9">
    <w:pPr>
      <w:pStyle w:val="normal0"/>
      <w:pBdr>
        <w:top w:val="nil"/>
        <w:left w:val="nil"/>
        <w:bottom w:val="nil"/>
        <w:right w:val="nil"/>
        <w:between w:val="nil"/>
      </w:pBdr>
      <w:tabs>
        <w:tab w:val="center" w:pos="4513"/>
        <w:tab w:val="right" w:pos="9026"/>
      </w:tabs>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D31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04F24"/>
    <w:multiLevelType w:val="multilevel"/>
    <w:tmpl w:val="9D32F3EA"/>
    <w:lvl w:ilvl="0">
      <w:start w:val="1"/>
      <w:numFmt w:val="bullet"/>
      <w:lvlText w:val="●"/>
      <w:lvlJc w:val="left"/>
      <w:pPr>
        <w:ind w:left="1504" w:hanging="360"/>
      </w:pPr>
      <w:rPr>
        <w:rFonts w:ascii="Noto Sans Symbols" w:eastAsia="Noto Sans Symbols" w:hAnsi="Noto Sans Symbols" w:cs="Noto Sans Symbols"/>
      </w:rPr>
    </w:lvl>
    <w:lvl w:ilvl="1">
      <w:start w:val="1"/>
      <w:numFmt w:val="bullet"/>
      <w:lvlText w:val="o"/>
      <w:lvlJc w:val="left"/>
      <w:pPr>
        <w:ind w:left="2224" w:hanging="360"/>
      </w:pPr>
      <w:rPr>
        <w:rFonts w:ascii="Courier New" w:eastAsia="Courier New" w:hAnsi="Courier New" w:cs="Courier New"/>
      </w:rPr>
    </w:lvl>
    <w:lvl w:ilvl="2">
      <w:start w:val="1"/>
      <w:numFmt w:val="bullet"/>
      <w:lvlText w:val="▪"/>
      <w:lvlJc w:val="left"/>
      <w:pPr>
        <w:ind w:left="2944" w:hanging="360"/>
      </w:pPr>
      <w:rPr>
        <w:rFonts w:ascii="Noto Sans Symbols" w:eastAsia="Noto Sans Symbols" w:hAnsi="Noto Sans Symbols" w:cs="Noto Sans Symbols"/>
      </w:rPr>
    </w:lvl>
    <w:lvl w:ilvl="3">
      <w:start w:val="1"/>
      <w:numFmt w:val="bullet"/>
      <w:lvlText w:val="●"/>
      <w:lvlJc w:val="left"/>
      <w:pPr>
        <w:ind w:left="3664" w:hanging="360"/>
      </w:pPr>
      <w:rPr>
        <w:rFonts w:ascii="Noto Sans Symbols" w:eastAsia="Noto Sans Symbols" w:hAnsi="Noto Sans Symbols" w:cs="Noto Sans Symbols"/>
      </w:rPr>
    </w:lvl>
    <w:lvl w:ilvl="4">
      <w:start w:val="1"/>
      <w:numFmt w:val="bullet"/>
      <w:lvlText w:val="o"/>
      <w:lvlJc w:val="left"/>
      <w:pPr>
        <w:ind w:left="4384" w:hanging="360"/>
      </w:pPr>
      <w:rPr>
        <w:rFonts w:ascii="Courier New" w:eastAsia="Courier New" w:hAnsi="Courier New" w:cs="Courier New"/>
      </w:rPr>
    </w:lvl>
    <w:lvl w:ilvl="5">
      <w:start w:val="1"/>
      <w:numFmt w:val="bullet"/>
      <w:lvlText w:val="▪"/>
      <w:lvlJc w:val="left"/>
      <w:pPr>
        <w:ind w:left="5104" w:hanging="360"/>
      </w:pPr>
      <w:rPr>
        <w:rFonts w:ascii="Noto Sans Symbols" w:eastAsia="Noto Sans Symbols" w:hAnsi="Noto Sans Symbols" w:cs="Noto Sans Symbols"/>
      </w:rPr>
    </w:lvl>
    <w:lvl w:ilvl="6">
      <w:start w:val="1"/>
      <w:numFmt w:val="bullet"/>
      <w:lvlText w:val="●"/>
      <w:lvlJc w:val="left"/>
      <w:pPr>
        <w:ind w:left="5824" w:hanging="360"/>
      </w:pPr>
      <w:rPr>
        <w:rFonts w:ascii="Noto Sans Symbols" w:eastAsia="Noto Sans Symbols" w:hAnsi="Noto Sans Symbols" w:cs="Noto Sans Symbols"/>
      </w:rPr>
    </w:lvl>
    <w:lvl w:ilvl="7">
      <w:start w:val="1"/>
      <w:numFmt w:val="bullet"/>
      <w:lvlText w:val="o"/>
      <w:lvlJc w:val="left"/>
      <w:pPr>
        <w:ind w:left="6544" w:hanging="360"/>
      </w:pPr>
      <w:rPr>
        <w:rFonts w:ascii="Courier New" w:eastAsia="Courier New" w:hAnsi="Courier New" w:cs="Courier New"/>
      </w:rPr>
    </w:lvl>
    <w:lvl w:ilvl="8">
      <w:start w:val="1"/>
      <w:numFmt w:val="bullet"/>
      <w:lvlText w:val="▪"/>
      <w:lvlJc w:val="left"/>
      <w:pPr>
        <w:ind w:left="7264" w:hanging="360"/>
      </w:pPr>
      <w:rPr>
        <w:rFonts w:ascii="Noto Sans Symbols" w:eastAsia="Noto Sans Symbols" w:hAnsi="Noto Sans Symbols" w:cs="Noto Sans Symbols"/>
      </w:rPr>
    </w:lvl>
  </w:abstractNum>
  <w:abstractNum w:abstractNumId="1">
    <w:nsid w:val="03E523DB"/>
    <w:multiLevelType w:val="multilevel"/>
    <w:tmpl w:val="60EA49A0"/>
    <w:lvl w:ilvl="0">
      <w:start w:val="1"/>
      <w:numFmt w:val="decimal"/>
      <w:lvlText w:val="%1."/>
      <w:lvlJc w:val="left"/>
      <w:pPr>
        <w:ind w:left="720" w:hanging="360"/>
      </w:pPr>
      <w:rPr>
        <w:u w:val="none"/>
      </w:rPr>
    </w:lvl>
    <w:lvl w:ilvl="1">
      <w:start w:val="1"/>
      <w:numFmt w:val="decimal"/>
      <w:lvlText w:val="%1.%2"/>
      <w:lvlJc w:val="left"/>
      <w:pPr>
        <w:ind w:left="900" w:hanging="360"/>
      </w:pPr>
      <w:rPr>
        <w:b w:val="0"/>
        <w:u w:val="none"/>
      </w:rPr>
    </w:lvl>
    <w:lvl w:ilvl="2">
      <w:start w:val="1"/>
      <w:numFmt w:val="decimal"/>
      <w:lvlText w:val="%1.%2.%3"/>
      <w:lvlJc w:val="left"/>
      <w:pPr>
        <w:ind w:left="1080" w:hanging="720"/>
      </w:pPr>
      <w:rPr>
        <w:b w:val="0"/>
        <w:u w:val="none"/>
      </w:rPr>
    </w:lvl>
    <w:lvl w:ilvl="3">
      <w:start w:val="1"/>
      <w:numFmt w:val="decimal"/>
      <w:lvlText w:val="%1.%2.%3.%4"/>
      <w:lvlJc w:val="left"/>
      <w:pPr>
        <w:ind w:left="1080" w:hanging="720"/>
      </w:pPr>
      <w:rPr>
        <w:b w:val="0"/>
        <w:u w:val="none"/>
      </w:rPr>
    </w:lvl>
    <w:lvl w:ilvl="4">
      <w:start w:val="1"/>
      <w:numFmt w:val="decimal"/>
      <w:lvlText w:val="%1.%2.%3.%4.%5"/>
      <w:lvlJc w:val="left"/>
      <w:pPr>
        <w:ind w:left="1440" w:hanging="1080"/>
      </w:pPr>
      <w:rPr>
        <w:b w:val="0"/>
        <w:u w:val="none"/>
      </w:rPr>
    </w:lvl>
    <w:lvl w:ilvl="5">
      <w:start w:val="1"/>
      <w:numFmt w:val="decimal"/>
      <w:lvlText w:val="%1.%2.%3.%4.%5.%6"/>
      <w:lvlJc w:val="left"/>
      <w:pPr>
        <w:ind w:left="1440" w:hanging="1080"/>
      </w:pPr>
      <w:rPr>
        <w:b w:val="0"/>
        <w:u w:val="none"/>
      </w:rPr>
    </w:lvl>
    <w:lvl w:ilvl="6">
      <w:start w:val="1"/>
      <w:numFmt w:val="decimal"/>
      <w:lvlText w:val="%1.%2.%3.%4.%5.%6.%7"/>
      <w:lvlJc w:val="left"/>
      <w:pPr>
        <w:ind w:left="1800" w:hanging="1440"/>
      </w:pPr>
      <w:rPr>
        <w:b w:val="0"/>
        <w:u w:val="none"/>
      </w:rPr>
    </w:lvl>
    <w:lvl w:ilvl="7">
      <w:start w:val="1"/>
      <w:numFmt w:val="decimal"/>
      <w:lvlText w:val="%1.%2.%3.%4.%5.%6.%7.%8"/>
      <w:lvlJc w:val="left"/>
      <w:pPr>
        <w:ind w:left="1800" w:hanging="1440"/>
      </w:pPr>
      <w:rPr>
        <w:b w:val="0"/>
        <w:u w:val="none"/>
      </w:rPr>
    </w:lvl>
    <w:lvl w:ilvl="8">
      <w:start w:val="1"/>
      <w:numFmt w:val="decimal"/>
      <w:lvlText w:val="%1.%2.%3.%4.%5.%6.%7.%8.%9"/>
      <w:lvlJc w:val="left"/>
      <w:pPr>
        <w:ind w:left="2160" w:hanging="1800"/>
      </w:pPr>
      <w:rPr>
        <w:b w:val="0"/>
        <w:u w:val="none"/>
      </w:rPr>
    </w:lvl>
  </w:abstractNum>
  <w:abstractNum w:abstractNumId="2">
    <w:nsid w:val="063B3A75"/>
    <w:multiLevelType w:val="multilevel"/>
    <w:tmpl w:val="A67C87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5101BE"/>
    <w:multiLevelType w:val="multilevel"/>
    <w:tmpl w:val="01C65892"/>
    <w:lvl w:ilvl="0">
      <w:start w:val="1"/>
      <w:numFmt w:val="decimal"/>
      <w:lvlText w:val="%1."/>
      <w:lvlJc w:val="left"/>
      <w:pPr>
        <w:ind w:left="1080" w:hanging="360"/>
      </w:pPr>
    </w:lvl>
    <w:lvl w:ilvl="1">
      <w:start w:val="1"/>
      <w:numFmt w:val="upperLetter"/>
      <w:lvlText w:val="%2."/>
      <w:lvlJc w:val="left"/>
      <w:pPr>
        <w:ind w:left="1095" w:hanging="375"/>
      </w:pPr>
      <w:rPr>
        <w:b/>
        <w:i w:val="0"/>
        <w:sz w:val="22"/>
        <w:szCs w:val="22"/>
      </w:rPr>
    </w:lvl>
    <w:lvl w:ilvl="2">
      <w:start w:val="1"/>
      <w:numFmt w:val="decimal"/>
      <w:lvlText w:val="%1.%2.%3"/>
      <w:lvlJc w:val="left"/>
      <w:pPr>
        <w:ind w:left="1440" w:hanging="720"/>
      </w:pPr>
      <w:rPr>
        <w:rFonts w:ascii="Calibri" w:eastAsia="Calibri" w:hAnsi="Calibri" w:cs="Calibri"/>
        <w:b/>
        <w:sz w:val="22"/>
        <w:szCs w:val="22"/>
      </w:rPr>
    </w:lvl>
    <w:lvl w:ilvl="3">
      <w:start w:val="1"/>
      <w:numFmt w:val="decimal"/>
      <w:lvlText w:val="%1.%2.%3.%4"/>
      <w:lvlJc w:val="left"/>
      <w:pPr>
        <w:ind w:left="1440" w:hanging="720"/>
      </w:pPr>
      <w:rPr>
        <w:rFonts w:ascii="Calibri" w:eastAsia="Calibri" w:hAnsi="Calibri" w:cs="Calibri"/>
        <w:b/>
        <w:sz w:val="22"/>
        <w:szCs w:val="22"/>
      </w:rPr>
    </w:lvl>
    <w:lvl w:ilvl="4">
      <w:start w:val="1"/>
      <w:numFmt w:val="decimal"/>
      <w:lvlText w:val="%1.%2.%3.%4.%5"/>
      <w:lvlJc w:val="left"/>
      <w:pPr>
        <w:ind w:left="1800" w:hanging="1080"/>
      </w:pPr>
      <w:rPr>
        <w:rFonts w:ascii="Calibri" w:eastAsia="Calibri" w:hAnsi="Calibri" w:cs="Calibri"/>
        <w:b/>
        <w:sz w:val="22"/>
        <w:szCs w:val="22"/>
      </w:rPr>
    </w:lvl>
    <w:lvl w:ilvl="5">
      <w:start w:val="1"/>
      <w:numFmt w:val="decimal"/>
      <w:lvlText w:val="%1.%2.%3.%4.%5.%6"/>
      <w:lvlJc w:val="left"/>
      <w:pPr>
        <w:ind w:left="1800" w:hanging="1080"/>
      </w:pPr>
      <w:rPr>
        <w:rFonts w:ascii="Calibri" w:eastAsia="Calibri" w:hAnsi="Calibri" w:cs="Calibri"/>
        <w:b/>
        <w:sz w:val="22"/>
        <w:szCs w:val="22"/>
      </w:rPr>
    </w:lvl>
    <w:lvl w:ilvl="6">
      <w:start w:val="1"/>
      <w:numFmt w:val="decimal"/>
      <w:lvlText w:val="%1.%2.%3.%4.%5.%6.%7"/>
      <w:lvlJc w:val="left"/>
      <w:pPr>
        <w:ind w:left="2160" w:hanging="1440"/>
      </w:pPr>
      <w:rPr>
        <w:rFonts w:ascii="Calibri" w:eastAsia="Calibri" w:hAnsi="Calibri" w:cs="Calibri"/>
        <w:b/>
        <w:sz w:val="22"/>
        <w:szCs w:val="22"/>
      </w:rPr>
    </w:lvl>
    <w:lvl w:ilvl="7">
      <w:start w:val="1"/>
      <w:numFmt w:val="decimal"/>
      <w:lvlText w:val="%1.%2.%3.%4.%5.%6.%7.%8"/>
      <w:lvlJc w:val="left"/>
      <w:pPr>
        <w:ind w:left="2160" w:hanging="1440"/>
      </w:pPr>
      <w:rPr>
        <w:rFonts w:ascii="Calibri" w:eastAsia="Calibri" w:hAnsi="Calibri" w:cs="Calibri"/>
        <w:b/>
        <w:sz w:val="22"/>
        <w:szCs w:val="22"/>
      </w:rPr>
    </w:lvl>
    <w:lvl w:ilvl="8">
      <w:start w:val="1"/>
      <w:numFmt w:val="decimal"/>
      <w:lvlText w:val="%1.%2.%3.%4.%5.%6.%7.%8.%9"/>
      <w:lvlJc w:val="left"/>
      <w:pPr>
        <w:ind w:left="2520" w:hanging="1800"/>
      </w:pPr>
      <w:rPr>
        <w:rFonts w:ascii="Calibri" w:eastAsia="Calibri" w:hAnsi="Calibri" w:cs="Calibri"/>
        <w:b/>
        <w:sz w:val="22"/>
        <w:szCs w:val="22"/>
      </w:rPr>
    </w:lvl>
  </w:abstractNum>
  <w:abstractNum w:abstractNumId="4">
    <w:nsid w:val="0F166307"/>
    <w:multiLevelType w:val="multilevel"/>
    <w:tmpl w:val="A7C23AA2"/>
    <w:lvl w:ilvl="0">
      <w:start w:val="1"/>
      <w:numFmt w:val="decimal"/>
      <w:lvlText w:val="%1."/>
      <w:lvlJc w:val="left"/>
      <w:pPr>
        <w:ind w:left="765" w:hanging="360"/>
      </w:pPr>
      <w:rPr>
        <w:b/>
      </w:r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5">
    <w:nsid w:val="15EB0855"/>
    <w:multiLevelType w:val="multilevel"/>
    <w:tmpl w:val="C734CDD2"/>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1DFB645B"/>
    <w:multiLevelType w:val="multilevel"/>
    <w:tmpl w:val="990AB418"/>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30112BB0"/>
    <w:multiLevelType w:val="multilevel"/>
    <w:tmpl w:val="8BC6CA7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nsid w:val="361032A2"/>
    <w:multiLevelType w:val="multilevel"/>
    <w:tmpl w:val="78305A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BAE2F31"/>
    <w:multiLevelType w:val="multilevel"/>
    <w:tmpl w:val="4E267B3E"/>
    <w:lvl w:ilvl="0">
      <w:start w:val="1"/>
      <w:numFmt w:val="bullet"/>
      <w:lvlText w:val="●"/>
      <w:lvlJc w:val="left"/>
      <w:pPr>
        <w:ind w:left="1047" w:hanging="360"/>
      </w:pPr>
      <w:rPr>
        <w:rFonts w:ascii="Noto Sans Symbols" w:eastAsia="Noto Sans Symbols" w:hAnsi="Noto Sans Symbols" w:cs="Noto Sans Symbols"/>
      </w:rPr>
    </w:lvl>
    <w:lvl w:ilvl="1">
      <w:start w:val="1"/>
      <w:numFmt w:val="bullet"/>
      <w:lvlText w:val="o"/>
      <w:lvlJc w:val="left"/>
      <w:pPr>
        <w:ind w:left="1767" w:hanging="360"/>
      </w:pPr>
      <w:rPr>
        <w:rFonts w:ascii="Courier New" w:eastAsia="Courier New" w:hAnsi="Courier New" w:cs="Courier New"/>
      </w:rPr>
    </w:lvl>
    <w:lvl w:ilvl="2">
      <w:start w:val="1"/>
      <w:numFmt w:val="bullet"/>
      <w:lvlText w:val="▪"/>
      <w:lvlJc w:val="left"/>
      <w:pPr>
        <w:ind w:left="2487" w:hanging="360"/>
      </w:pPr>
      <w:rPr>
        <w:rFonts w:ascii="Noto Sans Symbols" w:eastAsia="Noto Sans Symbols" w:hAnsi="Noto Sans Symbols" w:cs="Noto Sans Symbols"/>
      </w:rPr>
    </w:lvl>
    <w:lvl w:ilvl="3">
      <w:start w:val="1"/>
      <w:numFmt w:val="bullet"/>
      <w:lvlText w:val="●"/>
      <w:lvlJc w:val="left"/>
      <w:pPr>
        <w:ind w:left="3207" w:hanging="360"/>
      </w:pPr>
      <w:rPr>
        <w:rFonts w:ascii="Noto Sans Symbols" w:eastAsia="Noto Sans Symbols" w:hAnsi="Noto Sans Symbols" w:cs="Noto Sans Symbols"/>
      </w:rPr>
    </w:lvl>
    <w:lvl w:ilvl="4">
      <w:start w:val="1"/>
      <w:numFmt w:val="bullet"/>
      <w:lvlText w:val="o"/>
      <w:lvlJc w:val="left"/>
      <w:pPr>
        <w:ind w:left="3927" w:hanging="360"/>
      </w:pPr>
      <w:rPr>
        <w:rFonts w:ascii="Courier New" w:eastAsia="Courier New" w:hAnsi="Courier New" w:cs="Courier New"/>
      </w:rPr>
    </w:lvl>
    <w:lvl w:ilvl="5">
      <w:start w:val="1"/>
      <w:numFmt w:val="bullet"/>
      <w:lvlText w:val="▪"/>
      <w:lvlJc w:val="left"/>
      <w:pPr>
        <w:ind w:left="4647" w:hanging="360"/>
      </w:pPr>
      <w:rPr>
        <w:rFonts w:ascii="Noto Sans Symbols" w:eastAsia="Noto Sans Symbols" w:hAnsi="Noto Sans Symbols" w:cs="Noto Sans Symbols"/>
      </w:rPr>
    </w:lvl>
    <w:lvl w:ilvl="6">
      <w:start w:val="1"/>
      <w:numFmt w:val="bullet"/>
      <w:lvlText w:val="●"/>
      <w:lvlJc w:val="left"/>
      <w:pPr>
        <w:ind w:left="5367" w:hanging="360"/>
      </w:pPr>
      <w:rPr>
        <w:rFonts w:ascii="Noto Sans Symbols" w:eastAsia="Noto Sans Symbols" w:hAnsi="Noto Sans Symbols" w:cs="Noto Sans Symbols"/>
      </w:rPr>
    </w:lvl>
    <w:lvl w:ilvl="7">
      <w:start w:val="1"/>
      <w:numFmt w:val="bullet"/>
      <w:lvlText w:val="o"/>
      <w:lvlJc w:val="left"/>
      <w:pPr>
        <w:ind w:left="6087" w:hanging="360"/>
      </w:pPr>
      <w:rPr>
        <w:rFonts w:ascii="Courier New" w:eastAsia="Courier New" w:hAnsi="Courier New" w:cs="Courier New"/>
      </w:rPr>
    </w:lvl>
    <w:lvl w:ilvl="8">
      <w:start w:val="1"/>
      <w:numFmt w:val="bullet"/>
      <w:lvlText w:val="▪"/>
      <w:lvlJc w:val="left"/>
      <w:pPr>
        <w:ind w:left="6807" w:hanging="360"/>
      </w:pPr>
      <w:rPr>
        <w:rFonts w:ascii="Noto Sans Symbols" w:eastAsia="Noto Sans Symbols" w:hAnsi="Noto Sans Symbols" w:cs="Noto Sans Symbols"/>
      </w:rPr>
    </w:lvl>
  </w:abstractNum>
  <w:abstractNum w:abstractNumId="10">
    <w:nsid w:val="48716740"/>
    <w:multiLevelType w:val="multilevel"/>
    <w:tmpl w:val="BB8C8536"/>
    <w:lvl w:ilvl="0">
      <w:start w:val="1"/>
      <w:numFmt w:val="bullet"/>
      <w:lvlText w:val="●"/>
      <w:lvlJc w:val="left"/>
      <w:pPr>
        <w:ind w:left="1623" w:hanging="360"/>
      </w:pPr>
      <w:rPr>
        <w:rFonts w:ascii="Noto Sans Symbols" w:eastAsia="Noto Sans Symbols" w:hAnsi="Noto Sans Symbols" w:cs="Noto Sans Symbols"/>
      </w:rPr>
    </w:lvl>
    <w:lvl w:ilvl="1">
      <w:start w:val="1"/>
      <w:numFmt w:val="bullet"/>
      <w:lvlText w:val="o"/>
      <w:lvlJc w:val="left"/>
      <w:pPr>
        <w:ind w:left="2343" w:hanging="360"/>
      </w:pPr>
      <w:rPr>
        <w:rFonts w:ascii="Courier New" w:eastAsia="Courier New" w:hAnsi="Courier New" w:cs="Courier New"/>
      </w:rPr>
    </w:lvl>
    <w:lvl w:ilvl="2">
      <w:start w:val="1"/>
      <w:numFmt w:val="bullet"/>
      <w:lvlText w:val="▪"/>
      <w:lvlJc w:val="left"/>
      <w:pPr>
        <w:ind w:left="3063" w:hanging="360"/>
      </w:pPr>
      <w:rPr>
        <w:rFonts w:ascii="Noto Sans Symbols" w:eastAsia="Noto Sans Symbols" w:hAnsi="Noto Sans Symbols" w:cs="Noto Sans Symbols"/>
      </w:rPr>
    </w:lvl>
    <w:lvl w:ilvl="3">
      <w:start w:val="1"/>
      <w:numFmt w:val="bullet"/>
      <w:lvlText w:val="●"/>
      <w:lvlJc w:val="left"/>
      <w:pPr>
        <w:ind w:left="3783" w:hanging="360"/>
      </w:pPr>
      <w:rPr>
        <w:rFonts w:ascii="Noto Sans Symbols" w:eastAsia="Noto Sans Symbols" w:hAnsi="Noto Sans Symbols" w:cs="Noto Sans Symbols"/>
      </w:rPr>
    </w:lvl>
    <w:lvl w:ilvl="4">
      <w:start w:val="1"/>
      <w:numFmt w:val="bullet"/>
      <w:lvlText w:val="o"/>
      <w:lvlJc w:val="left"/>
      <w:pPr>
        <w:ind w:left="4503" w:hanging="360"/>
      </w:pPr>
      <w:rPr>
        <w:rFonts w:ascii="Courier New" w:eastAsia="Courier New" w:hAnsi="Courier New" w:cs="Courier New"/>
      </w:rPr>
    </w:lvl>
    <w:lvl w:ilvl="5">
      <w:start w:val="1"/>
      <w:numFmt w:val="bullet"/>
      <w:lvlText w:val="▪"/>
      <w:lvlJc w:val="left"/>
      <w:pPr>
        <w:ind w:left="5223" w:hanging="360"/>
      </w:pPr>
      <w:rPr>
        <w:rFonts w:ascii="Noto Sans Symbols" w:eastAsia="Noto Sans Symbols" w:hAnsi="Noto Sans Symbols" w:cs="Noto Sans Symbols"/>
      </w:rPr>
    </w:lvl>
    <w:lvl w:ilvl="6">
      <w:start w:val="1"/>
      <w:numFmt w:val="bullet"/>
      <w:lvlText w:val="●"/>
      <w:lvlJc w:val="left"/>
      <w:pPr>
        <w:ind w:left="5943" w:hanging="360"/>
      </w:pPr>
      <w:rPr>
        <w:rFonts w:ascii="Noto Sans Symbols" w:eastAsia="Noto Sans Symbols" w:hAnsi="Noto Sans Symbols" w:cs="Noto Sans Symbols"/>
      </w:rPr>
    </w:lvl>
    <w:lvl w:ilvl="7">
      <w:start w:val="1"/>
      <w:numFmt w:val="bullet"/>
      <w:lvlText w:val="o"/>
      <w:lvlJc w:val="left"/>
      <w:pPr>
        <w:ind w:left="6663" w:hanging="360"/>
      </w:pPr>
      <w:rPr>
        <w:rFonts w:ascii="Courier New" w:eastAsia="Courier New" w:hAnsi="Courier New" w:cs="Courier New"/>
      </w:rPr>
    </w:lvl>
    <w:lvl w:ilvl="8">
      <w:start w:val="1"/>
      <w:numFmt w:val="bullet"/>
      <w:lvlText w:val="▪"/>
      <w:lvlJc w:val="left"/>
      <w:pPr>
        <w:ind w:left="7383" w:hanging="360"/>
      </w:pPr>
      <w:rPr>
        <w:rFonts w:ascii="Noto Sans Symbols" w:eastAsia="Noto Sans Symbols" w:hAnsi="Noto Sans Symbols" w:cs="Noto Sans Symbols"/>
      </w:rPr>
    </w:lvl>
  </w:abstractNum>
  <w:abstractNum w:abstractNumId="11">
    <w:nsid w:val="4D31125D"/>
    <w:multiLevelType w:val="multilevel"/>
    <w:tmpl w:val="729AF7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7A07012"/>
    <w:multiLevelType w:val="multilevel"/>
    <w:tmpl w:val="72E8BF9A"/>
    <w:lvl w:ilvl="0">
      <w:start w:val="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7976014"/>
    <w:multiLevelType w:val="multilevel"/>
    <w:tmpl w:val="6852A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A725706"/>
    <w:multiLevelType w:val="multilevel"/>
    <w:tmpl w:val="B5CE4566"/>
    <w:lvl w:ilvl="0">
      <w:start w:val="1"/>
      <w:numFmt w:val="upp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nsid w:val="722A05EB"/>
    <w:multiLevelType w:val="multilevel"/>
    <w:tmpl w:val="69F2FF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2B714CC"/>
    <w:multiLevelType w:val="multilevel"/>
    <w:tmpl w:val="01F43FC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4"/>
  </w:num>
  <w:num w:numId="3">
    <w:abstractNumId w:val="13"/>
  </w:num>
  <w:num w:numId="4">
    <w:abstractNumId w:val="11"/>
  </w:num>
  <w:num w:numId="5">
    <w:abstractNumId w:val="8"/>
  </w:num>
  <w:num w:numId="6">
    <w:abstractNumId w:val="7"/>
  </w:num>
  <w:num w:numId="7">
    <w:abstractNumId w:val="9"/>
  </w:num>
  <w:num w:numId="8">
    <w:abstractNumId w:val="10"/>
  </w:num>
  <w:num w:numId="9">
    <w:abstractNumId w:val="15"/>
  </w:num>
  <w:num w:numId="10">
    <w:abstractNumId w:val="0"/>
  </w:num>
  <w:num w:numId="11">
    <w:abstractNumId w:val="3"/>
  </w:num>
  <w:num w:numId="12">
    <w:abstractNumId w:val="6"/>
  </w:num>
  <w:num w:numId="13">
    <w:abstractNumId w:val="12"/>
  </w:num>
  <w:num w:numId="14">
    <w:abstractNumId w:val="1"/>
  </w:num>
  <w:num w:numId="15">
    <w:abstractNumId w:val="14"/>
  </w:num>
  <w:num w:numId="16">
    <w:abstractNumId w:val="16"/>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4098"/>
  </w:hdrShapeDefaults>
  <w:footnotePr>
    <w:footnote w:id="0"/>
    <w:footnote w:id="1"/>
  </w:footnotePr>
  <w:endnotePr>
    <w:endnote w:id="0"/>
    <w:endnote w:id="1"/>
  </w:endnotePr>
  <w:compat/>
  <w:rsids>
    <w:rsidRoot w:val="007F341E"/>
    <w:rsid w:val="00333A84"/>
    <w:rsid w:val="0050080C"/>
    <w:rsid w:val="006D4DBD"/>
    <w:rsid w:val="006E5706"/>
    <w:rsid w:val="007F341E"/>
    <w:rsid w:val="00DE38E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SG"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80C"/>
  </w:style>
  <w:style w:type="paragraph" w:styleId="Heading1">
    <w:name w:val="heading 1"/>
    <w:basedOn w:val="normal0"/>
    <w:next w:val="normal0"/>
    <w:rsid w:val="007F341E"/>
    <w:pPr>
      <w:keepNext/>
      <w:keepLines/>
      <w:spacing w:before="480" w:after="120"/>
      <w:outlineLvl w:val="0"/>
    </w:pPr>
    <w:rPr>
      <w:b/>
      <w:sz w:val="48"/>
      <w:szCs w:val="48"/>
    </w:rPr>
  </w:style>
  <w:style w:type="paragraph" w:styleId="Heading2">
    <w:name w:val="heading 2"/>
    <w:basedOn w:val="normal0"/>
    <w:next w:val="normal0"/>
    <w:rsid w:val="007F341E"/>
    <w:pPr>
      <w:keepNext/>
      <w:keepLines/>
      <w:spacing w:before="360" w:after="80"/>
      <w:outlineLvl w:val="1"/>
    </w:pPr>
    <w:rPr>
      <w:b/>
      <w:sz w:val="36"/>
      <w:szCs w:val="36"/>
    </w:rPr>
  </w:style>
  <w:style w:type="paragraph" w:styleId="Heading3">
    <w:name w:val="heading 3"/>
    <w:basedOn w:val="normal0"/>
    <w:next w:val="normal0"/>
    <w:rsid w:val="007F341E"/>
    <w:pPr>
      <w:keepNext/>
      <w:keepLines/>
      <w:spacing w:before="280" w:after="80"/>
      <w:outlineLvl w:val="2"/>
    </w:pPr>
    <w:rPr>
      <w:b/>
      <w:sz w:val="28"/>
      <w:szCs w:val="28"/>
    </w:rPr>
  </w:style>
  <w:style w:type="paragraph" w:styleId="Heading4">
    <w:name w:val="heading 4"/>
    <w:basedOn w:val="normal0"/>
    <w:next w:val="normal0"/>
    <w:rsid w:val="007F341E"/>
    <w:pPr>
      <w:keepNext/>
      <w:keepLines/>
      <w:spacing w:before="240" w:after="40"/>
      <w:outlineLvl w:val="3"/>
    </w:pPr>
    <w:rPr>
      <w:b/>
      <w:sz w:val="24"/>
      <w:szCs w:val="24"/>
    </w:rPr>
  </w:style>
  <w:style w:type="paragraph" w:styleId="Heading5">
    <w:name w:val="heading 5"/>
    <w:basedOn w:val="normal0"/>
    <w:next w:val="normal0"/>
    <w:rsid w:val="007F341E"/>
    <w:pPr>
      <w:keepNext/>
      <w:keepLines/>
      <w:spacing w:before="220" w:after="40"/>
      <w:outlineLvl w:val="4"/>
    </w:pPr>
    <w:rPr>
      <w:b/>
    </w:rPr>
  </w:style>
  <w:style w:type="paragraph" w:styleId="Heading6">
    <w:name w:val="heading 6"/>
    <w:basedOn w:val="normal0"/>
    <w:next w:val="normal0"/>
    <w:rsid w:val="007F341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F341E"/>
  </w:style>
  <w:style w:type="paragraph" w:styleId="Title">
    <w:name w:val="Title"/>
    <w:basedOn w:val="normal0"/>
    <w:next w:val="normal0"/>
    <w:rsid w:val="007F341E"/>
    <w:pPr>
      <w:spacing w:after="0" w:line="240" w:lineRule="auto"/>
      <w:jc w:val="center"/>
    </w:pPr>
    <w:rPr>
      <w:rFonts w:ascii="Times New Roman" w:eastAsia="Times New Roman" w:hAnsi="Times New Roman" w:cs="Times New Roman"/>
      <w:b/>
      <w:sz w:val="24"/>
      <w:szCs w:val="24"/>
      <w:u w:val="single"/>
    </w:rPr>
  </w:style>
  <w:style w:type="paragraph" w:styleId="Subtitle">
    <w:name w:val="Subtitle"/>
    <w:basedOn w:val="normal0"/>
    <w:next w:val="normal0"/>
    <w:rsid w:val="007F341E"/>
    <w:pPr>
      <w:keepNext/>
      <w:keepLines/>
      <w:spacing w:before="360" w:after="80"/>
    </w:pPr>
    <w:rPr>
      <w:rFonts w:ascii="Georgia" w:eastAsia="Georgia" w:hAnsi="Georgia" w:cs="Georgia"/>
      <w:i/>
      <w:color w:val="666666"/>
      <w:sz w:val="48"/>
      <w:szCs w:val="48"/>
    </w:rPr>
  </w:style>
  <w:style w:type="table" w:customStyle="1" w:styleId="a">
    <w:basedOn w:val="TableNormal"/>
    <w:rsid w:val="007F341E"/>
    <w:tblPr>
      <w:tblStyleRowBandSize w:val="1"/>
      <w:tblStyleColBandSize w:val="1"/>
      <w:tblInd w:w="0" w:type="dxa"/>
      <w:tblCellMar>
        <w:top w:w="0" w:type="dxa"/>
        <w:left w:w="115" w:type="dxa"/>
        <w:bottom w:w="0" w:type="dxa"/>
        <w:right w:w="115" w:type="dxa"/>
      </w:tblCellMar>
    </w:tblPr>
  </w:style>
  <w:style w:type="paragraph" w:styleId="Header">
    <w:name w:val="header"/>
    <w:basedOn w:val="Normal"/>
    <w:link w:val="HeaderChar"/>
    <w:uiPriority w:val="99"/>
    <w:semiHidden/>
    <w:unhideWhenUsed/>
    <w:rsid w:val="006E570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E5706"/>
  </w:style>
  <w:style w:type="paragraph" w:styleId="Footer">
    <w:name w:val="footer"/>
    <w:basedOn w:val="Normal"/>
    <w:link w:val="FooterChar"/>
    <w:uiPriority w:val="99"/>
    <w:semiHidden/>
    <w:unhideWhenUsed/>
    <w:rsid w:val="006E570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E5706"/>
  </w:style>
  <w:style w:type="paragraph" w:styleId="BalloonText">
    <w:name w:val="Balloon Text"/>
    <w:basedOn w:val="Normal"/>
    <w:link w:val="BalloonTextChar"/>
    <w:uiPriority w:val="99"/>
    <w:semiHidden/>
    <w:unhideWhenUsed/>
    <w:rsid w:val="006E57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7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F00FF-16CA-4DA7-92F1-879782E41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4715</Words>
  <Characters>26876</Characters>
  <Application>Microsoft Office Word</Application>
  <DocSecurity>0</DocSecurity>
  <Lines>223</Lines>
  <Paragraphs>63</Paragraphs>
  <ScaleCrop>false</ScaleCrop>
  <Company/>
  <LinksUpToDate>false</LinksUpToDate>
  <CharactersWithSpaces>31528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2019-01-08T05:35:00Z</dcterms:created>
  <dcterms:modified xsi:type="dcterms:W3CDTF">2019-01-08T05:38:00Z</dcterms:modified>
</cp:coreProperties>
</file>