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B6A" w:rsidRPr="00A74B6A" w:rsidRDefault="00A74B6A" w:rsidP="00A74B6A">
      <w:pPr>
        <w:jc w:val="center"/>
        <w:rPr>
          <w:rFonts w:ascii="Mangal" w:hAnsi="Mangal" w:cs="Mangal"/>
          <w:b/>
          <w:color w:val="000000"/>
          <w:sz w:val="40"/>
          <w:szCs w:val="40"/>
          <w:u w:val="single"/>
          <w:shd w:val="clear" w:color="auto" w:fill="FFFFFF"/>
        </w:rPr>
      </w:pPr>
      <w:r w:rsidRPr="00A74B6A">
        <w:rPr>
          <w:rFonts w:ascii="Mangal" w:hAnsi="Mangal" w:cs="Mangal"/>
          <w:b/>
          <w:color w:val="000000"/>
          <w:sz w:val="40"/>
          <w:szCs w:val="40"/>
          <w:u w:val="single"/>
          <w:shd w:val="clear" w:color="auto" w:fill="FFFFFF"/>
        </w:rPr>
        <w:t>LAW NOTES ON</w:t>
      </w:r>
    </w:p>
    <w:p w:rsidR="00D7160B" w:rsidRPr="00A74B6A" w:rsidRDefault="00A74B6A" w:rsidP="00A74B6A">
      <w:pPr>
        <w:jc w:val="center"/>
        <w:rPr>
          <w:rFonts w:ascii="Mangal" w:hAnsi="Mangal" w:cs="Mangal"/>
          <w:b/>
          <w:sz w:val="40"/>
          <w:szCs w:val="40"/>
          <w:u w:val="single"/>
        </w:rPr>
      </w:pPr>
      <w:r w:rsidRPr="00A74B6A">
        <w:rPr>
          <w:rFonts w:ascii="Mangal" w:hAnsi="Mangal" w:cs="Mangal"/>
          <w:b/>
          <w:color w:val="000000"/>
          <w:sz w:val="40"/>
          <w:szCs w:val="40"/>
          <w:u w:val="single"/>
          <w:shd w:val="clear" w:color="auto" w:fill="FFFFFF"/>
        </w:rPr>
        <w:t>The Scheduled Castes and the Scheduled Tribes (Prevention of Atrocities) Act,</w:t>
      </w:r>
    </w:p>
    <w:p w:rsidR="00D7160B" w:rsidRPr="00A74B6A" w:rsidRDefault="00A74B6A" w:rsidP="00A74B6A">
      <w:pPr>
        <w:pStyle w:val="NoSpacing"/>
        <w:jc w:val="center"/>
        <w:rPr>
          <w:rFonts w:ascii="Mangal" w:hAnsi="Mangal" w:cs="Mangal"/>
          <w:b/>
        </w:rPr>
      </w:pPr>
      <w:r w:rsidRPr="00A74B6A">
        <w:rPr>
          <w:rFonts w:ascii="Mangal" w:hAnsi="Mangal" w:cs="Mangal"/>
          <w:b/>
        </w:rPr>
        <w:t>BY</w:t>
      </w:r>
    </w:p>
    <w:p w:rsidR="00A74B6A" w:rsidRPr="00A74B6A" w:rsidRDefault="00A74B6A" w:rsidP="00A74B6A">
      <w:pPr>
        <w:pStyle w:val="NoSpacing"/>
        <w:jc w:val="center"/>
        <w:rPr>
          <w:rFonts w:ascii="Mangal" w:hAnsi="Mangal" w:cs="Mangal"/>
        </w:rPr>
      </w:pPr>
      <w:proofErr w:type="gramStart"/>
      <w:r w:rsidRPr="00A74B6A">
        <w:rPr>
          <w:rFonts w:ascii="Mangal" w:hAnsi="Mangal" w:cs="Mangal"/>
          <w:b/>
        </w:rPr>
        <w:t>BISWARANJAN PANDA</w:t>
      </w:r>
      <w:r w:rsidRPr="00A74B6A">
        <w:rPr>
          <w:rFonts w:ascii="Mangal" w:hAnsi="Mangal" w:cs="Mangal"/>
        </w:rPr>
        <w:t xml:space="preserve"> (M.B.A., LL.M.)</w:t>
      </w:r>
      <w:proofErr w:type="gramEnd"/>
    </w:p>
    <w:p w:rsidR="00A74B6A" w:rsidRPr="00A74B6A" w:rsidRDefault="00A74B6A" w:rsidP="00A74B6A">
      <w:pPr>
        <w:pStyle w:val="NoSpacing"/>
        <w:jc w:val="center"/>
        <w:rPr>
          <w:rFonts w:ascii="Mangal" w:hAnsi="Mangal" w:cs="Mangal"/>
        </w:rPr>
      </w:pPr>
      <w:r w:rsidRPr="00A74B6A">
        <w:rPr>
          <w:rFonts w:ascii="Mangal" w:hAnsi="Mangal" w:cs="Mangal"/>
        </w:rPr>
        <w:t>ADVOCATE</w:t>
      </w:r>
    </w:p>
    <w:p w:rsidR="00A74B6A" w:rsidRPr="00A74B6A" w:rsidRDefault="00A74B6A" w:rsidP="00A74B6A">
      <w:pPr>
        <w:pStyle w:val="NoSpacing"/>
        <w:jc w:val="center"/>
        <w:rPr>
          <w:rFonts w:ascii="Mangal" w:hAnsi="Mangal" w:cs="Mangal"/>
        </w:rPr>
      </w:pPr>
      <w:r w:rsidRPr="00A74B6A">
        <w:rPr>
          <w:rFonts w:ascii="Mangal" w:hAnsi="Mangal" w:cs="Mangal"/>
        </w:rPr>
        <w:t>DISTRICT BAR ASSOCIATION, KEONJHAR</w:t>
      </w:r>
      <w:proofErr w:type="gramStart"/>
      <w:r w:rsidRPr="00A74B6A">
        <w:rPr>
          <w:rFonts w:ascii="Mangal" w:hAnsi="Mangal" w:cs="Mangal"/>
        </w:rPr>
        <w:t>,ODISHA</w:t>
      </w:r>
      <w:proofErr w:type="gramEnd"/>
    </w:p>
    <w:p w:rsidR="00A74B6A" w:rsidRPr="00A74B6A" w:rsidRDefault="00A74B6A" w:rsidP="00A74B6A">
      <w:pPr>
        <w:pStyle w:val="NoSpacing"/>
        <w:jc w:val="center"/>
        <w:rPr>
          <w:rFonts w:ascii="Mangal" w:hAnsi="Mangal" w:cs="Mangal"/>
        </w:rPr>
      </w:pPr>
      <w:r w:rsidRPr="00A74B6A">
        <w:rPr>
          <w:rFonts w:ascii="Mangal" w:hAnsi="Mangal" w:cs="Mangal"/>
        </w:rPr>
        <w:t>MAIL</w:t>
      </w:r>
      <w:proofErr w:type="gramStart"/>
      <w:r w:rsidRPr="00A74B6A">
        <w:rPr>
          <w:rFonts w:ascii="Mangal" w:hAnsi="Mangal" w:cs="Mangal"/>
        </w:rPr>
        <w:t xml:space="preserve">-  </w:t>
      </w:r>
      <w:proofErr w:type="gramEnd"/>
      <w:r w:rsidRPr="00A74B6A">
        <w:rPr>
          <w:rFonts w:ascii="Mangal" w:hAnsi="Mangal" w:cs="Mangal"/>
        </w:rPr>
        <w:fldChar w:fldCharType="begin"/>
      </w:r>
      <w:r w:rsidRPr="00A74B6A">
        <w:rPr>
          <w:rFonts w:ascii="Mangal" w:hAnsi="Mangal" w:cs="Mangal"/>
        </w:rPr>
        <w:instrText xml:space="preserve"> HYPERLINK "mailto:brpandaadv@gmail.com" </w:instrText>
      </w:r>
      <w:r w:rsidRPr="00A74B6A">
        <w:rPr>
          <w:rFonts w:ascii="Mangal" w:hAnsi="Mangal" w:cs="Mangal"/>
        </w:rPr>
        <w:fldChar w:fldCharType="separate"/>
      </w:r>
      <w:r w:rsidRPr="00A74B6A">
        <w:rPr>
          <w:rStyle w:val="Hyperlink"/>
          <w:rFonts w:ascii="Mangal" w:hAnsi="Mangal" w:cs="Mangal"/>
          <w:b/>
          <w:sz w:val="26"/>
          <w:szCs w:val="26"/>
        </w:rPr>
        <w:t>brpandaadv@gmail.com</w:t>
      </w:r>
      <w:r w:rsidRPr="00A74B6A">
        <w:rPr>
          <w:rFonts w:ascii="Mangal" w:hAnsi="Mangal" w:cs="Mangal"/>
        </w:rPr>
        <w:fldChar w:fldCharType="end"/>
      </w:r>
    </w:p>
    <w:p w:rsidR="00A74B6A" w:rsidRPr="00A74B6A" w:rsidRDefault="00A74B6A" w:rsidP="00A74B6A">
      <w:pPr>
        <w:pStyle w:val="NoSpacing"/>
        <w:jc w:val="center"/>
        <w:rPr>
          <w:rFonts w:ascii="Mangal" w:hAnsi="Mangal" w:cs="Mangal"/>
        </w:rPr>
      </w:pPr>
      <w:r w:rsidRPr="00A74B6A">
        <w:rPr>
          <w:rFonts w:ascii="Mangal" w:hAnsi="Mangal" w:cs="Mangal"/>
        </w:rPr>
        <w:t>Mob-9438632339</w:t>
      </w:r>
    </w:p>
    <w:p w:rsidR="00D7160B" w:rsidRDefault="00D7160B" w:rsidP="00593ED3">
      <w:pPr>
        <w:rPr>
          <w:rFonts w:ascii="Mangal" w:hAnsi="Mangal" w:cs="Mangal"/>
          <w:b/>
          <w:sz w:val="26"/>
          <w:szCs w:val="26"/>
          <w:u w:val="single"/>
        </w:rPr>
      </w:pPr>
    </w:p>
    <w:p w:rsidR="00D7160B" w:rsidRDefault="005B2296" w:rsidP="00593ED3">
      <w:pPr>
        <w:rPr>
          <w:rFonts w:ascii="Mangal" w:hAnsi="Mangal" w:cs="Mangal"/>
          <w:b/>
          <w:sz w:val="26"/>
          <w:szCs w:val="26"/>
          <w:u w:val="single"/>
        </w:rPr>
      </w:pPr>
      <w:r>
        <w:rPr>
          <w:rFonts w:ascii="Mangal" w:hAnsi="Mangal" w:cs="Mangal"/>
          <w:b/>
          <w:sz w:val="26"/>
          <w:szCs w:val="26"/>
          <w:u w:val="single"/>
        </w:rPr>
        <w:t>===================================================</w:t>
      </w:r>
    </w:p>
    <w:p w:rsidR="00593ED3" w:rsidRPr="003518DF" w:rsidRDefault="00593ED3" w:rsidP="00593ED3">
      <w:pPr>
        <w:rPr>
          <w:rFonts w:ascii="Mangal" w:hAnsi="Mangal" w:cs="Mangal"/>
          <w:b/>
          <w:sz w:val="28"/>
          <w:szCs w:val="28"/>
          <w:u w:val="single"/>
        </w:rPr>
      </w:pPr>
      <w:r w:rsidRPr="003518DF">
        <w:rPr>
          <w:rFonts w:ascii="Mangal" w:hAnsi="Mangal" w:cs="Mangal"/>
          <w:b/>
          <w:sz w:val="28"/>
          <w:szCs w:val="28"/>
          <w:u w:val="single"/>
        </w:rPr>
        <w:t>SPECIAL COURT AND EXCLUSIVE SPECIAL COURT</w:t>
      </w:r>
    </w:p>
    <w:p w:rsidR="00593ED3" w:rsidRPr="003518DF" w:rsidRDefault="00593ED3" w:rsidP="00593ED3">
      <w:pPr>
        <w:rPr>
          <w:rFonts w:ascii="Mangal" w:hAnsi="Mangal" w:cs="Mangal"/>
          <w:b/>
          <w:sz w:val="28"/>
          <w:szCs w:val="28"/>
          <w:u w:val="single"/>
        </w:rPr>
      </w:pPr>
      <w:r w:rsidRPr="003518DF">
        <w:rPr>
          <w:rFonts w:ascii="Mangal" w:hAnsi="Mangal" w:cs="Mangal"/>
          <w:color w:val="000000"/>
          <w:sz w:val="28"/>
          <w:szCs w:val="28"/>
          <w:shd w:val="clear" w:color="auto" w:fill="FFFFFF"/>
        </w:rPr>
        <w:t>The Scheduled Castes and the Scheduled Tribes (Prevention of Atrocities) Amendment Act, 2015 has been notified to be enforced with effect from January 26, 2016....</w:t>
      </w:r>
    </w:p>
    <w:p w:rsidR="00593ED3" w:rsidRPr="003518DF" w:rsidRDefault="00593ED3" w:rsidP="00D7160B">
      <w:pPr>
        <w:shd w:val="clear" w:color="auto" w:fill="FFFFFF"/>
        <w:spacing w:after="390" w:line="390" w:lineRule="atLeast"/>
        <w:jc w:val="both"/>
        <w:rPr>
          <w:rFonts w:ascii="Mangal" w:eastAsia="Times New Roman" w:hAnsi="Mangal" w:cs="Mangal"/>
          <w:color w:val="222222"/>
          <w:sz w:val="28"/>
          <w:szCs w:val="28"/>
        </w:rPr>
      </w:pPr>
      <w:r w:rsidRPr="009F1202">
        <w:rPr>
          <w:rFonts w:ascii="Mangal" w:eastAsia="Times New Roman" w:hAnsi="Mangal" w:cs="Mangal"/>
          <w:color w:val="222222"/>
          <w:sz w:val="28"/>
          <w:szCs w:val="28"/>
        </w:rPr>
        <w:t>The amendments to the act also authorize establishment of exclusive Special Courts and appointment of Exclusive Special Public Prosecutors to try the offences under this act. This is made to enable speedy justice and immediate disposal of cases.</w:t>
      </w:r>
    </w:p>
    <w:p w:rsidR="00593ED3" w:rsidRPr="003518DF" w:rsidRDefault="00593ED3" w:rsidP="00593ED3">
      <w:pPr>
        <w:rPr>
          <w:rFonts w:ascii="Mangal" w:hAnsi="Mangal" w:cs="Mangal"/>
          <w:sz w:val="28"/>
          <w:szCs w:val="28"/>
        </w:rPr>
      </w:pPr>
      <w:r w:rsidRPr="003518DF">
        <w:rPr>
          <w:rFonts w:ascii="Mangal" w:hAnsi="Mangal" w:cs="Mangal"/>
          <w:sz w:val="28"/>
          <w:szCs w:val="28"/>
        </w:rPr>
        <w:t xml:space="preserve"> </w:t>
      </w:r>
      <w:r w:rsidRPr="003518DF">
        <w:rPr>
          <w:rFonts w:cs="Mangal"/>
          <w:sz w:val="28"/>
          <w:szCs w:val="28"/>
        </w:rPr>
        <w:t>―</w:t>
      </w:r>
      <w:r w:rsidRPr="003518DF">
        <w:rPr>
          <w:rFonts w:ascii="Mangal" w:hAnsi="Mangal" w:cs="Mangal"/>
          <w:sz w:val="28"/>
          <w:szCs w:val="28"/>
        </w:rPr>
        <w:t>Special Court</w:t>
      </w:r>
      <w:r w:rsidRPr="003518DF">
        <w:rPr>
          <w:rFonts w:cs="Mangal"/>
          <w:sz w:val="28"/>
          <w:szCs w:val="28"/>
        </w:rPr>
        <w:t>‖</w:t>
      </w:r>
      <w:r w:rsidRPr="003518DF">
        <w:rPr>
          <w:rFonts w:ascii="Mangal" w:hAnsi="Mangal" w:cs="Mangal"/>
          <w:sz w:val="28"/>
          <w:szCs w:val="28"/>
        </w:rPr>
        <w:t xml:space="preserve"> means a Court of Session specified as a Special Court in section 14; [sec-2(a)(d)]</w:t>
      </w:r>
    </w:p>
    <w:p w:rsidR="00593ED3" w:rsidRPr="003518DF" w:rsidRDefault="00593ED3" w:rsidP="00593ED3">
      <w:pPr>
        <w:rPr>
          <w:rFonts w:ascii="Mangal" w:hAnsi="Mangal" w:cs="Mangal"/>
          <w:b/>
          <w:sz w:val="28"/>
          <w:szCs w:val="28"/>
          <w:u w:val="single"/>
        </w:rPr>
      </w:pPr>
      <w:r w:rsidRPr="003518DF">
        <w:rPr>
          <w:rFonts w:cs="Mangal"/>
          <w:sz w:val="28"/>
          <w:szCs w:val="28"/>
        </w:rPr>
        <w:lastRenderedPageBreak/>
        <w:t>―</w:t>
      </w:r>
      <w:r w:rsidRPr="003518DF">
        <w:rPr>
          <w:rFonts w:ascii="Mangal" w:hAnsi="Mangal" w:cs="Mangal"/>
          <w:sz w:val="28"/>
          <w:szCs w:val="28"/>
        </w:rPr>
        <w:t>Exclusive Special Court</w:t>
      </w:r>
      <w:r w:rsidRPr="003518DF">
        <w:rPr>
          <w:rFonts w:cs="Mangal"/>
          <w:sz w:val="28"/>
          <w:szCs w:val="28"/>
        </w:rPr>
        <w:t>‖</w:t>
      </w:r>
      <w:r w:rsidRPr="003518DF">
        <w:rPr>
          <w:rFonts w:ascii="Mangal" w:hAnsi="Mangal" w:cs="Mangal"/>
          <w:sz w:val="28"/>
          <w:szCs w:val="28"/>
        </w:rPr>
        <w:t xml:space="preserve"> means the Exclusive Special Court established under sub-section (1) of section 14 exclusively to try the offences under this Act; [sec-2(1)(</w:t>
      </w:r>
      <w:proofErr w:type="spellStart"/>
      <w:r w:rsidRPr="003518DF">
        <w:rPr>
          <w:rFonts w:ascii="Mangal" w:hAnsi="Mangal" w:cs="Mangal"/>
          <w:sz w:val="28"/>
          <w:szCs w:val="28"/>
        </w:rPr>
        <w:t>bd</w:t>
      </w:r>
      <w:proofErr w:type="spellEnd"/>
      <w:r w:rsidRPr="003518DF">
        <w:rPr>
          <w:rFonts w:ascii="Mangal" w:hAnsi="Mangal" w:cs="Mangal"/>
          <w:sz w:val="28"/>
          <w:szCs w:val="28"/>
        </w:rPr>
        <w:t>) Ins. by Act 1 of 2016</w:t>
      </w:r>
    </w:p>
    <w:p w:rsidR="00A74B6A" w:rsidRPr="003518DF" w:rsidRDefault="00A74B6A" w:rsidP="00593ED3">
      <w:pPr>
        <w:rPr>
          <w:rFonts w:ascii="Mangal" w:hAnsi="Mangal" w:cs="Mangal"/>
          <w:sz w:val="28"/>
          <w:szCs w:val="28"/>
        </w:rPr>
      </w:pPr>
    </w:p>
    <w:p w:rsidR="00593ED3" w:rsidRPr="003518DF" w:rsidRDefault="00593ED3" w:rsidP="00593ED3">
      <w:pPr>
        <w:rPr>
          <w:rFonts w:ascii="Mangal" w:hAnsi="Mangal" w:cs="Mangal"/>
          <w:sz w:val="28"/>
          <w:szCs w:val="28"/>
        </w:rPr>
      </w:pPr>
      <w:r w:rsidRPr="003518DF">
        <w:rPr>
          <w:rFonts w:ascii="Mangal" w:hAnsi="Mangal" w:cs="Mangal"/>
          <w:sz w:val="28"/>
          <w:szCs w:val="28"/>
        </w:rPr>
        <w:t>CHAPTER IV of the act provide the provision about SPECIAL COURTS</w:t>
      </w:r>
    </w:p>
    <w:p w:rsidR="00593ED3" w:rsidRPr="003518DF" w:rsidRDefault="00593ED3" w:rsidP="00593ED3">
      <w:pPr>
        <w:rPr>
          <w:rFonts w:ascii="Mangal" w:hAnsi="Mangal" w:cs="Mangal"/>
          <w:sz w:val="28"/>
          <w:szCs w:val="28"/>
          <w:u w:val="single"/>
        </w:rPr>
      </w:pPr>
      <w:r w:rsidRPr="003518DF">
        <w:rPr>
          <w:rFonts w:ascii="Mangal" w:hAnsi="Mangal" w:cs="Mangal"/>
          <w:sz w:val="28"/>
          <w:szCs w:val="28"/>
          <w:u w:val="single"/>
        </w:rPr>
        <w:t>According to sec-14 of the act</w:t>
      </w:r>
    </w:p>
    <w:p w:rsidR="00593ED3" w:rsidRPr="003518DF" w:rsidRDefault="00593ED3" w:rsidP="00593ED3">
      <w:pPr>
        <w:rPr>
          <w:rFonts w:ascii="Mangal" w:hAnsi="Mangal" w:cs="Mangal"/>
          <w:sz w:val="28"/>
          <w:szCs w:val="28"/>
        </w:rPr>
      </w:pPr>
      <w:r w:rsidRPr="003518DF">
        <w:rPr>
          <w:rFonts w:ascii="Mangal" w:hAnsi="Mangal" w:cs="Mangal"/>
          <w:sz w:val="28"/>
          <w:szCs w:val="28"/>
        </w:rPr>
        <w:t>For the purpose of providing for speedy trial,</w:t>
      </w:r>
    </w:p>
    <w:p w:rsidR="00593ED3" w:rsidRPr="003518DF" w:rsidRDefault="00593ED3" w:rsidP="00593ED3">
      <w:pPr>
        <w:rPr>
          <w:rFonts w:ascii="Mangal" w:hAnsi="Mangal" w:cs="Mangal"/>
          <w:sz w:val="28"/>
          <w:szCs w:val="28"/>
        </w:rPr>
      </w:pPr>
      <w:proofErr w:type="gramStart"/>
      <w:r w:rsidRPr="003518DF">
        <w:rPr>
          <w:rFonts w:ascii="Mangal" w:hAnsi="Mangal" w:cs="Mangal"/>
          <w:sz w:val="28"/>
          <w:szCs w:val="28"/>
        </w:rPr>
        <w:t>the</w:t>
      </w:r>
      <w:proofErr w:type="gramEnd"/>
      <w:r w:rsidRPr="003518DF">
        <w:rPr>
          <w:rFonts w:ascii="Mangal" w:hAnsi="Mangal" w:cs="Mangal"/>
          <w:sz w:val="28"/>
          <w:szCs w:val="28"/>
        </w:rPr>
        <w:t xml:space="preserve"> State Government shall, with the concurrence of the Chief Justice of the High Court, by notification in the Official Gazette,</w:t>
      </w:r>
    </w:p>
    <w:p w:rsidR="00D7160B" w:rsidRPr="003518DF" w:rsidRDefault="00593ED3" w:rsidP="00D7160B">
      <w:pPr>
        <w:pStyle w:val="ListParagraph"/>
        <w:numPr>
          <w:ilvl w:val="0"/>
          <w:numId w:val="19"/>
        </w:numPr>
        <w:rPr>
          <w:rFonts w:ascii="Mangal" w:hAnsi="Mangal" w:cs="Mangal"/>
          <w:sz w:val="28"/>
          <w:szCs w:val="28"/>
        </w:rPr>
      </w:pPr>
      <w:r w:rsidRPr="003518DF">
        <w:rPr>
          <w:rFonts w:ascii="Mangal" w:hAnsi="Mangal" w:cs="Mangal"/>
          <w:sz w:val="28"/>
          <w:szCs w:val="28"/>
        </w:rPr>
        <w:t>establish an Exclusive Special Court for one or more Districts</w:t>
      </w:r>
    </w:p>
    <w:p w:rsidR="00593ED3" w:rsidRPr="003518DF" w:rsidRDefault="00593ED3" w:rsidP="00D7160B">
      <w:pPr>
        <w:pStyle w:val="ListParagraph"/>
        <w:numPr>
          <w:ilvl w:val="0"/>
          <w:numId w:val="19"/>
        </w:numPr>
        <w:rPr>
          <w:rFonts w:ascii="Mangal" w:hAnsi="Mangal" w:cs="Mangal"/>
          <w:sz w:val="28"/>
          <w:szCs w:val="28"/>
        </w:rPr>
      </w:pPr>
      <w:r w:rsidRPr="003518DF">
        <w:rPr>
          <w:rFonts w:ascii="Mangal" w:hAnsi="Mangal" w:cs="Mangal"/>
          <w:sz w:val="28"/>
          <w:szCs w:val="28"/>
        </w:rPr>
        <w:t xml:space="preserve"> specify for such Districts, the Court of Session to be a Special Court to try the offences under this Act ( in Districts where less number of cases under this Act is recorded)</w:t>
      </w:r>
    </w:p>
    <w:p w:rsidR="00593ED3" w:rsidRPr="003518DF" w:rsidRDefault="00593ED3" w:rsidP="00593ED3">
      <w:pPr>
        <w:pStyle w:val="NoSpacing"/>
        <w:numPr>
          <w:ilvl w:val="0"/>
          <w:numId w:val="19"/>
        </w:numPr>
        <w:rPr>
          <w:rFonts w:ascii="Mangal" w:hAnsi="Mangal" w:cs="Mangal"/>
          <w:sz w:val="28"/>
          <w:szCs w:val="28"/>
        </w:rPr>
      </w:pPr>
      <w:r w:rsidRPr="003518DF">
        <w:rPr>
          <w:rFonts w:ascii="Mangal" w:hAnsi="Mangal" w:cs="Mangal"/>
          <w:sz w:val="28"/>
          <w:szCs w:val="28"/>
        </w:rPr>
        <w:t xml:space="preserve">The </w:t>
      </w:r>
      <w:proofErr w:type="gramStart"/>
      <w:r w:rsidRPr="003518DF">
        <w:rPr>
          <w:rFonts w:ascii="Mangal" w:hAnsi="Mangal" w:cs="Mangal"/>
          <w:sz w:val="28"/>
          <w:szCs w:val="28"/>
        </w:rPr>
        <w:t>section  Provided</w:t>
      </w:r>
      <w:proofErr w:type="gramEnd"/>
      <w:r w:rsidRPr="003518DF">
        <w:rPr>
          <w:rFonts w:ascii="Mangal" w:hAnsi="Mangal" w:cs="Mangal"/>
          <w:sz w:val="28"/>
          <w:szCs w:val="28"/>
        </w:rPr>
        <w:t xml:space="preserve"> further that the Courts so established or specified shall have power to directly take cognizance of offences under this Act. </w:t>
      </w:r>
    </w:p>
    <w:p w:rsidR="00593ED3" w:rsidRPr="003518DF" w:rsidRDefault="00593ED3" w:rsidP="00593ED3">
      <w:pPr>
        <w:pStyle w:val="NoSpacing"/>
        <w:numPr>
          <w:ilvl w:val="0"/>
          <w:numId w:val="19"/>
        </w:numPr>
        <w:rPr>
          <w:rFonts w:ascii="Mangal" w:hAnsi="Mangal" w:cs="Mangal"/>
          <w:sz w:val="28"/>
          <w:szCs w:val="28"/>
        </w:rPr>
      </w:pPr>
      <w:r w:rsidRPr="003518DF">
        <w:rPr>
          <w:rFonts w:ascii="Mangal" w:hAnsi="Mangal" w:cs="Mangal"/>
          <w:sz w:val="28"/>
          <w:szCs w:val="28"/>
        </w:rPr>
        <w:t xml:space="preserve">It shall be the duty of the State Government to establish adequate number of Courts to ensure that cases under this Act are disposed of within a period of two months, as far as possible. </w:t>
      </w:r>
    </w:p>
    <w:p w:rsidR="00593ED3" w:rsidRPr="003518DF" w:rsidRDefault="00593ED3" w:rsidP="00593ED3">
      <w:pPr>
        <w:pStyle w:val="ListParagraph"/>
        <w:numPr>
          <w:ilvl w:val="0"/>
          <w:numId w:val="19"/>
        </w:numPr>
        <w:rPr>
          <w:rFonts w:ascii="Mangal" w:hAnsi="Mangal" w:cs="Mangal"/>
          <w:sz w:val="28"/>
          <w:szCs w:val="28"/>
        </w:rPr>
      </w:pPr>
      <w:r w:rsidRPr="003518DF">
        <w:rPr>
          <w:rFonts w:ascii="Mangal" w:hAnsi="Mangal" w:cs="Mangal"/>
          <w:sz w:val="28"/>
          <w:szCs w:val="28"/>
        </w:rPr>
        <w:t xml:space="preserve">In every trial in the Special Court or the Exclusive Special Court, the proceedings shall be continued from day-to-day </w:t>
      </w:r>
      <w:r w:rsidRPr="003518DF">
        <w:rPr>
          <w:rFonts w:ascii="Mangal" w:hAnsi="Mangal" w:cs="Mangal"/>
          <w:sz w:val="28"/>
          <w:szCs w:val="28"/>
        </w:rPr>
        <w:lastRenderedPageBreak/>
        <w:t>until all the witnesses in attendance have been examined, unless the Special Court or the Exclusive Special Court finds the adjournment of the same beyond the following day to be necessary for reasons to be recorded in writing</w:t>
      </w:r>
    </w:p>
    <w:p w:rsidR="00593ED3" w:rsidRPr="003518DF" w:rsidRDefault="00593ED3" w:rsidP="00593ED3">
      <w:pPr>
        <w:pStyle w:val="ListParagraph"/>
        <w:numPr>
          <w:ilvl w:val="0"/>
          <w:numId w:val="19"/>
        </w:numPr>
        <w:rPr>
          <w:rFonts w:ascii="Mangal" w:hAnsi="Mangal" w:cs="Mangal"/>
          <w:sz w:val="28"/>
          <w:szCs w:val="28"/>
        </w:rPr>
      </w:pPr>
      <w:r w:rsidRPr="003518DF">
        <w:rPr>
          <w:rFonts w:ascii="Mangal" w:hAnsi="Mangal" w:cs="Mangal"/>
          <w:sz w:val="28"/>
          <w:szCs w:val="28"/>
        </w:rPr>
        <w:t>Provided that when the trial relates to an offence under this Act, the trial shall, as far as possible, be completed within a period of two months from the date of filing of the charge sheet.]</w:t>
      </w:r>
    </w:p>
    <w:p w:rsidR="003518DF" w:rsidRPr="003518DF" w:rsidRDefault="003518DF" w:rsidP="00593ED3">
      <w:pPr>
        <w:rPr>
          <w:rFonts w:ascii="Mangal" w:hAnsi="Mangal" w:cs="Mangal"/>
          <w:sz w:val="28"/>
          <w:szCs w:val="28"/>
        </w:rPr>
      </w:pPr>
    </w:p>
    <w:p w:rsidR="00593ED3" w:rsidRPr="003518DF" w:rsidRDefault="00593ED3" w:rsidP="00593ED3">
      <w:pPr>
        <w:rPr>
          <w:rFonts w:ascii="Mangal" w:hAnsi="Mangal" w:cs="Mangal"/>
          <w:sz w:val="28"/>
          <w:szCs w:val="28"/>
        </w:rPr>
      </w:pPr>
      <w:proofErr w:type="gramStart"/>
      <w:r w:rsidRPr="003518DF">
        <w:rPr>
          <w:rFonts w:ascii="Mangal" w:hAnsi="Mangal" w:cs="Mangal"/>
          <w:sz w:val="28"/>
          <w:szCs w:val="28"/>
        </w:rPr>
        <w:t xml:space="preserve">Sec-15 of the Act </w:t>
      </w:r>
      <w:r w:rsidR="003518DF" w:rsidRPr="003518DF">
        <w:rPr>
          <w:rFonts w:ascii="Mangal" w:hAnsi="Mangal" w:cs="Mangal"/>
          <w:sz w:val="28"/>
          <w:szCs w:val="28"/>
        </w:rPr>
        <w:t>provideed Special</w:t>
      </w:r>
      <w:r w:rsidRPr="003518DF">
        <w:rPr>
          <w:rFonts w:ascii="Mangal" w:hAnsi="Mangal" w:cs="Mangal"/>
          <w:sz w:val="28"/>
          <w:szCs w:val="28"/>
        </w:rPr>
        <w:t xml:space="preserve"> Public Prosecutor and Exclusive Public Prosecutor.</w:t>
      </w:r>
      <w:proofErr w:type="gramEnd"/>
    </w:p>
    <w:p w:rsidR="00593ED3" w:rsidRPr="003518DF" w:rsidRDefault="00593ED3" w:rsidP="00593ED3">
      <w:pPr>
        <w:rPr>
          <w:rFonts w:ascii="Mangal" w:hAnsi="Mangal" w:cs="Mangal"/>
          <w:sz w:val="28"/>
          <w:szCs w:val="28"/>
        </w:rPr>
      </w:pPr>
      <w:r w:rsidRPr="003518DF">
        <w:rPr>
          <w:rFonts w:ascii="Mangal" w:hAnsi="Mangal" w:cs="Mangal"/>
          <w:sz w:val="28"/>
          <w:szCs w:val="28"/>
        </w:rPr>
        <w:t xml:space="preserve"> </w:t>
      </w:r>
      <w:proofErr w:type="gramStart"/>
      <w:r w:rsidRPr="003518DF">
        <w:rPr>
          <w:rFonts w:ascii="Mangal" w:hAnsi="Mangal" w:cs="Mangal"/>
          <w:sz w:val="28"/>
          <w:szCs w:val="28"/>
        </w:rPr>
        <w:t>the</w:t>
      </w:r>
      <w:proofErr w:type="gramEnd"/>
      <w:r w:rsidRPr="003518DF">
        <w:rPr>
          <w:rFonts w:ascii="Mangal" w:hAnsi="Mangal" w:cs="Mangal"/>
          <w:sz w:val="28"/>
          <w:szCs w:val="28"/>
        </w:rPr>
        <w:t xml:space="preserve"> State Government shall, by notification in the Official Gazette, specify</w:t>
      </w:r>
    </w:p>
    <w:p w:rsidR="00593ED3" w:rsidRPr="003518DF" w:rsidRDefault="00593ED3" w:rsidP="00593ED3">
      <w:pPr>
        <w:pStyle w:val="ListParagraph"/>
        <w:numPr>
          <w:ilvl w:val="0"/>
          <w:numId w:val="20"/>
        </w:numPr>
        <w:rPr>
          <w:rFonts w:ascii="Mangal" w:hAnsi="Mangal" w:cs="Mangal"/>
          <w:sz w:val="28"/>
          <w:szCs w:val="28"/>
        </w:rPr>
      </w:pPr>
      <w:r w:rsidRPr="003518DF">
        <w:rPr>
          <w:rFonts w:ascii="Mangal" w:hAnsi="Mangal" w:cs="Mangal"/>
          <w:sz w:val="28"/>
          <w:szCs w:val="28"/>
        </w:rPr>
        <w:t>a Public Prosecutor or appoint an advocate who has been in practice as an advocate for not less than seven years, as a Special Public Prosecutor for the purpose of conducting cases  For every Special Court</w:t>
      </w:r>
    </w:p>
    <w:p w:rsidR="00593ED3" w:rsidRPr="003518DF" w:rsidRDefault="00593ED3" w:rsidP="00D7160B">
      <w:pPr>
        <w:pStyle w:val="ListParagraph"/>
        <w:numPr>
          <w:ilvl w:val="0"/>
          <w:numId w:val="20"/>
        </w:numPr>
        <w:rPr>
          <w:rFonts w:ascii="Mangal" w:hAnsi="Mangal" w:cs="Mangal"/>
          <w:sz w:val="28"/>
          <w:szCs w:val="28"/>
        </w:rPr>
      </w:pPr>
      <w:r w:rsidRPr="003518DF">
        <w:rPr>
          <w:rFonts w:ascii="Mangal" w:hAnsi="Mangal" w:cs="Mangal"/>
          <w:sz w:val="28"/>
          <w:szCs w:val="28"/>
        </w:rPr>
        <w:t xml:space="preserve">an Exclusive Special Public Prosecutor or appoint an advocate who has been in practice as an advocate for not less than </w:t>
      </w:r>
      <w:r w:rsidR="00D7160B" w:rsidRPr="003518DF">
        <w:rPr>
          <w:rFonts w:ascii="Mangal" w:hAnsi="Mangal" w:cs="Mangal"/>
          <w:sz w:val="28"/>
          <w:szCs w:val="28"/>
        </w:rPr>
        <w:t xml:space="preserve"> seven years, as an Exclusive Special Public Prosecutor for the purpose of conducting cases</w:t>
      </w:r>
      <w:r w:rsidRPr="003518DF">
        <w:rPr>
          <w:rFonts w:ascii="Mangal" w:hAnsi="Mangal" w:cs="Mangal"/>
          <w:sz w:val="28"/>
          <w:szCs w:val="28"/>
        </w:rPr>
        <w:t xml:space="preserve">  For every Exclusive Special</w:t>
      </w:r>
    </w:p>
    <w:p w:rsidR="00593ED3" w:rsidRPr="005B2296" w:rsidRDefault="005B2296" w:rsidP="00971B44">
      <w:pPr>
        <w:pStyle w:val="NormalWeb"/>
        <w:shd w:val="clear" w:color="auto" w:fill="FFFFFF"/>
        <w:spacing w:before="0" w:beforeAutospacing="0" w:after="390" w:afterAutospacing="0" w:line="600" w:lineRule="atLeast"/>
        <w:jc w:val="both"/>
        <w:rPr>
          <w:rFonts w:ascii="Mangal" w:hAnsi="Mangal" w:cs="Mangal"/>
          <w:i/>
          <w:iCs/>
          <w:caps/>
          <w:sz w:val="28"/>
          <w:szCs w:val="28"/>
        </w:rPr>
      </w:pPr>
      <w:r>
        <w:rPr>
          <w:rFonts w:ascii="Mangal" w:hAnsi="Mangal" w:cs="Mangal"/>
          <w:i/>
          <w:iCs/>
          <w:caps/>
          <w:sz w:val="28"/>
          <w:szCs w:val="28"/>
        </w:rPr>
        <w:t>==================================================</w:t>
      </w:r>
    </w:p>
    <w:p w:rsidR="00971B44" w:rsidRPr="003518DF" w:rsidRDefault="00971B44" w:rsidP="003518DF">
      <w:pPr>
        <w:jc w:val="center"/>
        <w:rPr>
          <w:rFonts w:ascii="Mangal" w:hAnsi="Mangal" w:cs="Mangal"/>
          <w:b/>
          <w:sz w:val="28"/>
          <w:szCs w:val="28"/>
          <w:u w:val="single"/>
        </w:rPr>
      </w:pPr>
      <w:r w:rsidRPr="003518DF">
        <w:rPr>
          <w:rFonts w:ascii="Mangal" w:hAnsi="Mangal" w:cs="Mangal"/>
          <w:b/>
          <w:sz w:val="28"/>
          <w:szCs w:val="28"/>
          <w:u w:val="single"/>
        </w:rPr>
        <w:lastRenderedPageBreak/>
        <w:t>THE SALIENT FEATURES OF THE ACT ARE,</w:t>
      </w:r>
    </w:p>
    <w:p w:rsidR="00181CEA" w:rsidRPr="003518DF" w:rsidRDefault="00181CEA" w:rsidP="003518DF">
      <w:pPr>
        <w:pStyle w:val="ListParagraph"/>
        <w:numPr>
          <w:ilvl w:val="0"/>
          <w:numId w:val="21"/>
        </w:numPr>
        <w:rPr>
          <w:rFonts w:ascii="Mangal" w:hAnsi="Mangal" w:cs="Mangal"/>
          <w:sz w:val="28"/>
          <w:szCs w:val="28"/>
        </w:rPr>
      </w:pPr>
      <w:r w:rsidRPr="003518DF">
        <w:rPr>
          <w:rFonts w:ascii="Mangal" w:hAnsi="Mangal" w:cs="Mangal"/>
          <w:color w:val="2A2E2E"/>
          <w:sz w:val="28"/>
          <w:szCs w:val="28"/>
        </w:rPr>
        <w:t>The Scheduled Castes and the Scheduled Tribes (Prevention of Atrocities) Act</w:t>
      </w:r>
      <w:proofErr w:type="gramStart"/>
      <w:r w:rsidRPr="003518DF">
        <w:rPr>
          <w:rFonts w:ascii="Mangal" w:hAnsi="Mangal" w:cs="Mangal"/>
          <w:color w:val="2A2E2E"/>
          <w:sz w:val="28"/>
          <w:szCs w:val="28"/>
        </w:rPr>
        <w:t>,1989</w:t>
      </w:r>
      <w:proofErr w:type="gramEnd"/>
      <w:r w:rsidRPr="003518DF">
        <w:rPr>
          <w:rFonts w:ascii="Mangal" w:hAnsi="Mangal" w:cs="Mangal"/>
          <w:color w:val="2A2E2E"/>
          <w:sz w:val="28"/>
          <w:szCs w:val="28"/>
        </w:rPr>
        <w:t xml:space="preserve"> was acknowledged as a landmark legislation in preventing atrocities against the members Scheduled Castes (SCs) and Scheduled Tribes (STs).</w:t>
      </w:r>
    </w:p>
    <w:p w:rsidR="00971B44" w:rsidRDefault="00971B44" w:rsidP="003518DF">
      <w:pPr>
        <w:pStyle w:val="ListParagraph"/>
        <w:numPr>
          <w:ilvl w:val="0"/>
          <w:numId w:val="21"/>
        </w:numPr>
        <w:rPr>
          <w:rFonts w:ascii="Mangal" w:hAnsi="Mangal" w:cs="Mangal"/>
          <w:color w:val="222222"/>
          <w:sz w:val="28"/>
          <w:szCs w:val="28"/>
        </w:rPr>
      </w:pPr>
      <w:r w:rsidRPr="003518DF">
        <w:rPr>
          <w:rFonts w:ascii="Mangal" w:hAnsi="Mangal" w:cs="Mangal"/>
          <w:color w:val="222222"/>
          <w:sz w:val="28"/>
          <w:szCs w:val="28"/>
        </w:rPr>
        <w:t>Creation of new types of offences not in the Indian Penal Code (IPC) or in the Protection of Civil Rights Act 1955 (PCRA).</w:t>
      </w:r>
    </w:p>
    <w:p w:rsidR="002451C4" w:rsidRPr="002451C4" w:rsidRDefault="002451C4" w:rsidP="003518DF">
      <w:pPr>
        <w:pStyle w:val="ListParagraph"/>
        <w:numPr>
          <w:ilvl w:val="0"/>
          <w:numId w:val="21"/>
        </w:numPr>
        <w:rPr>
          <w:rFonts w:ascii="Mangal" w:hAnsi="Mangal" w:cs="Mangal"/>
          <w:b/>
          <w:color w:val="222222"/>
          <w:sz w:val="24"/>
          <w:szCs w:val="24"/>
        </w:rPr>
      </w:pPr>
      <w:r w:rsidRPr="002451C4">
        <w:rPr>
          <w:rFonts w:ascii="Mangal" w:hAnsi="Mangal" w:cs="Mangal"/>
          <w:b/>
          <w:sz w:val="24"/>
          <w:szCs w:val="24"/>
        </w:rPr>
        <w:t>Enlarges the area of criminal liability by identifying new types of offences, thereby including several acts of omission and commission not covered under either the IPC or PCR Act.</w:t>
      </w:r>
    </w:p>
    <w:p w:rsidR="002451C4" w:rsidRPr="002451C4" w:rsidRDefault="002451C4" w:rsidP="003518DF">
      <w:pPr>
        <w:pStyle w:val="ListParagraph"/>
        <w:numPr>
          <w:ilvl w:val="0"/>
          <w:numId w:val="21"/>
        </w:numPr>
        <w:rPr>
          <w:rFonts w:ascii="Mangal" w:hAnsi="Mangal" w:cs="Mangal"/>
          <w:b/>
          <w:color w:val="222222"/>
          <w:sz w:val="24"/>
          <w:szCs w:val="24"/>
        </w:rPr>
      </w:pPr>
      <w:r w:rsidRPr="002451C4">
        <w:rPr>
          <w:rFonts w:ascii="Mangal" w:hAnsi="Mangal" w:cs="Mangal"/>
          <w:b/>
          <w:sz w:val="24"/>
          <w:szCs w:val="24"/>
        </w:rPr>
        <w:t>Protects SCs &amp; STs from various kinds of atrocities relating to social disabilities, property, malicious persecution, political rights and economic exploitation.</w:t>
      </w:r>
    </w:p>
    <w:p w:rsidR="002451C4" w:rsidRPr="002451C4" w:rsidRDefault="002451C4" w:rsidP="003518DF">
      <w:pPr>
        <w:pStyle w:val="ListParagraph"/>
        <w:numPr>
          <w:ilvl w:val="0"/>
          <w:numId w:val="21"/>
        </w:numPr>
        <w:rPr>
          <w:rFonts w:ascii="Mangal" w:hAnsi="Mangal" w:cs="Mangal"/>
          <w:b/>
          <w:color w:val="222222"/>
          <w:sz w:val="28"/>
          <w:szCs w:val="28"/>
        </w:rPr>
      </w:pPr>
      <w:r w:rsidRPr="002451C4">
        <w:rPr>
          <w:rFonts w:ascii="Mangal" w:hAnsi="Mangal" w:cs="Mangal"/>
          <w:sz w:val="28"/>
          <w:szCs w:val="28"/>
        </w:rPr>
        <w:t xml:space="preserve">Defines an atrocity crime by sole reference to caste identification of the offender (non-SCs &amp; STs </w:t>
      </w:r>
      <w:proofErr w:type="gramStart"/>
      <w:r w:rsidRPr="002451C4">
        <w:rPr>
          <w:rFonts w:ascii="Mangal" w:hAnsi="Mangal" w:cs="Mangal"/>
          <w:sz w:val="28"/>
          <w:szCs w:val="28"/>
        </w:rPr>
        <w:t>member</w:t>
      </w:r>
      <w:proofErr w:type="gramEnd"/>
      <w:r w:rsidRPr="002451C4">
        <w:rPr>
          <w:rFonts w:ascii="Mangal" w:hAnsi="Mangal" w:cs="Mangal"/>
          <w:sz w:val="28"/>
          <w:szCs w:val="28"/>
        </w:rPr>
        <w:t>) and the victim (SCs &amp; STs member).</w:t>
      </w:r>
    </w:p>
    <w:p w:rsidR="003518DF" w:rsidRPr="003518DF" w:rsidRDefault="00971B44" w:rsidP="003518DF">
      <w:pPr>
        <w:pStyle w:val="ListParagraph"/>
        <w:numPr>
          <w:ilvl w:val="0"/>
          <w:numId w:val="21"/>
        </w:numPr>
        <w:rPr>
          <w:rFonts w:ascii="Mangal" w:hAnsi="Mangal" w:cs="Mangal"/>
          <w:color w:val="222222"/>
          <w:sz w:val="28"/>
          <w:szCs w:val="28"/>
        </w:rPr>
      </w:pPr>
      <w:r w:rsidRPr="003518DF">
        <w:rPr>
          <w:rFonts w:ascii="Mangal" w:hAnsi="Mangal" w:cs="Mangal"/>
          <w:color w:val="222222"/>
          <w:sz w:val="28"/>
          <w:szCs w:val="28"/>
        </w:rPr>
        <w:t>Commission of offences only by specified persons i.e. can be committed only by non-SCs and non-STs on members of the SC or ST communities. Crimes among SCs and STs or between STs and SCs do not come under the purview of this Act.</w:t>
      </w:r>
    </w:p>
    <w:p w:rsidR="003518DF" w:rsidRPr="002451C4" w:rsidRDefault="00971B44" w:rsidP="002451C4">
      <w:pPr>
        <w:pStyle w:val="ListParagraph"/>
        <w:numPr>
          <w:ilvl w:val="0"/>
          <w:numId w:val="21"/>
        </w:numPr>
        <w:rPr>
          <w:rFonts w:ascii="Mangal" w:hAnsi="Mangal" w:cs="Mangal"/>
          <w:color w:val="222222"/>
          <w:sz w:val="28"/>
          <w:szCs w:val="28"/>
        </w:rPr>
      </w:pPr>
      <w:r w:rsidRPr="002451C4">
        <w:rPr>
          <w:rFonts w:ascii="Mangal" w:hAnsi="Mangal" w:cs="Mangal"/>
          <w:color w:val="222222"/>
          <w:sz w:val="28"/>
          <w:szCs w:val="28"/>
        </w:rPr>
        <w:t xml:space="preserve">Defines various types of atrocities against SCs/STs. </w:t>
      </w:r>
    </w:p>
    <w:p w:rsidR="004F6A5A" w:rsidRPr="003518DF" w:rsidRDefault="00971B44" w:rsidP="003518DF">
      <w:pPr>
        <w:pStyle w:val="ListParagraph"/>
        <w:numPr>
          <w:ilvl w:val="0"/>
          <w:numId w:val="22"/>
        </w:numPr>
        <w:rPr>
          <w:rFonts w:ascii="Mangal" w:hAnsi="Mangal" w:cs="Mangal"/>
          <w:color w:val="222222"/>
          <w:sz w:val="28"/>
          <w:szCs w:val="28"/>
        </w:rPr>
      </w:pPr>
      <w:r w:rsidRPr="003518DF">
        <w:rPr>
          <w:rFonts w:ascii="Mangal" w:hAnsi="Mangal" w:cs="Mangal"/>
          <w:color w:val="222222"/>
          <w:sz w:val="28"/>
          <w:szCs w:val="28"/>
        </w:rPr>
        <w:t xml:space="preserve">Prescribes strict punishment for such atrocities </w:t>
      </w:r>
    </w:p>
    <w:p w:rsidR="003518DF" w:rsidRPr="003518DF" w:rsidRDefault="00971B44" w:rsidP="003518DF">
      <w:pPr>
        <w:pStyle w:val="ListParagraph"/>
        <w:numPr>
          <w:ilvl w:val="0"/>
          <w:numId w:val="22"/>
        </w:numPr>
        <w:rPr>
          <w:rFonts w:ascii="Mangal" w:hAnsi="Mangal" w:cs="Mangal"/>
          <w:color w:val="222222"/>
          <w:sz w:val="28"/>
          <w:szCs w:val="28"/>
        </w:rPr>
      </w:pPr>
      <w:r w:rsidRPr="003518DF">
        <w:rPr>
          <w:rFonts w:ascii="Mangal" w:hAnsi="Mangal" w:cs="Mangal"/>
          <w:color w:val="222222"/>
          <w:sz w:val="28"/>
          <w:szCs w:val="28"/>
        </w:rPr>
        <w:t xml:space="preserve">Enhanced the quality of punishment for some offences </w:t>
      </w:r>
    </w:p>
    <w:p w:rsidR="00971B44" w:rsidRPr="003518DF" w:rsidRDefault="00971B44" w:rsidP="003518DF">
      <w:pPr>
        <w:pStyle w:val="ListParagraph"/>
        <w:numPr>
          <w:ilvl w:val="0"/>
          <w:numId w:val="22"/>
        </w:numPr>
        <w:rPr>
          <w:rFonts w:ascii="Mangal" w:hAnsi="Mangal" w:cs="Mangal"/>
          <w:color w:val="222222"/>
          <w:sz w:val="28"/>
          <w:szCs w:val="28"/>
        </w:rPr>
      </w:pPr>
      <w:r w:rsidRPr="003518DF">
        <w:rPr>
          <w:rFonts w:ascii="Mangal" w:hAnsi="Mangal" w:cs="Mangal"/>
          <w:color w:val="222222"/>
          <w:sz w:val="28"/>
          <w:szCs w:val="28"/>
        </w:rPr>
        <w:lastRenderedPageBreak/>
        <w:t xml:space="preserve">Enhanced minimum punishment for public servants </w:t>
      </w:r>
    </w:p>
    <w:p w:rsidR="00971B44" w:rsidRPr="003518DF" w:rsidRDefault="00971B44" w:rsidP="003518DF">
      <w:pPr>
        <w:pStyle w:val="ListParagraph"/>
        <w:numPr>
          <w:ilvl w:val="0"/>
          <w:numId w:val="22"/>
        </w:numPr>
        <w:rPr>
          <w:rFonts w:ascii="Mangal" w:hAnsi="Mangal" w:cs="Mangal"/>
          <w:color w:val="222222"/>
          <w:sz w:val="28"/>
          <w:szCs w:val="28"/>
        </w:rPr>
      </w:pPr>
      <w:r w:rsidRPr="003518DF">
        <w:rPr>
          <w:rFonts w:ascii="Mangal" w:hAnsi="Mangal" w:cs="Mangal"/>
          <w:color w:val="222222"/>
          <w:sz w:val="28"/>
          <w:szCs w:val="28"/>
        </w:rPr>
        <w:t xml:space="preserve">Penalty for delinquency of duties by a public servant </w:t>
      </w:r>
    </w:p>
    <w:p w:rsidR="003518DF" w:rsidRPr="003518DF" w:rsidRDefault="00971B44" w:rsidP="003518DF">
      <w:pPr>
        <w:pStyle w:val="ListParagraph"/>
        <w:numPr>
          <w:ilvl w:val="0"/>
          <w:numId w:val="22"/>
        </w:numPr>
        <w:rPr>
          <w:rFonts w:ascii="Mangal" w:hAnsi="Mangal" w:cs="Mangal"/>
          <w:color w:val="222222"/>
          <w:sz w:val="28"/>
          <w:szCs w:val="28"/>
        </w:rPr>
      </w:pPr>
      <w:r w:rsidRPr="003518DF">
        <w:rPr>
          <w:rFonts w:ascii="Mangal" w:hAnsi="Mangal" w:cs="Mangal"/>
          <w:color w:val="222222"/>
          <w:sz w:val="28"/>
          <w:szCs w:val="28"/>
        </w:rPr>
        <w:t xml:space="preserve">Attachment and forfeiture of property </w:t>
      </w:r>
    </w:p>
    <w:p w:rsidR="003518DF" w:rsidRPr="003518DF" w:rsidRDefault="00971B44" w:rsidP="003518DF">
      <w:pPr>
        <w:pStyle w:val="ListParagraph"/>
        <w:numPr>
          <w:ilvl w:val="0"/>
          <w:numId w:val="22"/>
        </w:numPr>
        <w:rPr>
          <w:rFonts w:ascii="Mangal" w:hAnsi="Mangal" w:cs="Mangal"/>
          <w:color w:val="222222"/>
          <w:sz w:val="28"/>
          <w:szCs w:val="28"/>
        </w:rPr>
      </w:pPr>
      <w:proofErr w:type="spellStart"/>
      <w:r w:rsidRPr="003518DF">
        <w:rPr>
          <w:rFonts w:ascii="Mangal" w:hAnsi="Mangal" w:cs="Mangal"/>
          <w:color w:val="222222"/>
          <w:sz w:val="28"/>
          <w:szCs w:val="28"/>
        </w:rPr>
        <w:t>Externment</w:t>
      </w:r>
      <w:proofErr w:type="spellEnd"/>
      <w:r w:rsidRPr="003518DF">
        <w:rPr>
          <w:rFonts w:ascii="Mangal" w:hAnsi="Mangal" w:cs="Mangal"/>
          <w:color w:val="222222"/>
          <w:sz w:val="28"/>
          <w:szCs w:val="28"/>
        </w:rPr>
        <w:t xml:space="preserve"> of potential offenders </w:t>
      </w:r>
    </w:p>
    <w:p w:rsidR="002451C4" w:rsidRPr="002451C4" w:rsidRDefault="002451C4" w:rsidP="003518DF">
      <w:pPr>
        <w:pStyle w:val="ListParagraph"/>
        <w:numPr>
          <w:ilvl w:val="0"/>
          <w:numId w:val="22"/>
        </w:numPr>
        <w:rPr>
          <w:rFonts w:ascii="Mangal" w:hAnsi="Mangal" w:cs="Mangal"/>
          <w:color w:val="222222"/>
          <w:sz w:val="28"/>
          <w:szCs w:val="28"/>
        </w:rPr>
      </w:pPr>
      <w:r w:rsidRPr="002451C4">
        <w:rPr>
          <w:rFonts w:ascii="Mangal" w:hAnsi="Mangal" w:cs="Mangal"/>
          <w:sz w:val="28"/>
          <w:szCs w:val="28"/>
        </w:rPr>
        <w:t>Makes arrangements for setting up Special Courts and grants special powers to them to ensure speedy trials of atrocity cases, and for Special Public Prosecutors to conduct the cases.</w:t>
      </w:r>
    </w:p>
    <w:p w:rsidR="00971B44" w:rsidRPr="003518DF" w:rsidRDefault="00971B44" w:rsidP="003518DF">
      <w:pPr>
        <w:pStyle w:val="ListParagraph"/>
        <w:numPr>
          <w:ilvl w:val="0"/>
          <w:numId w:val="22"/>
        </w:numPr>
        <w:rPr>
          <w:rFonts w:ascii="Mangal" w:hAnsi="Mangal" w:cs="Mangal"/>
          <w:color w:val="222222"/>
          <w:sz w:val="28"/>
          <w:szCs w:val="28"/>
        </w:rPr>
      </w:pPr>
      <w:r w:rsidRPr="003518DF">
        <w:rPr>
          <w:rFonts w:ascii="Mangal" w:hAnsi="Mangal" w:cs="Mangal"/>
          <w:color w:val="222222"/>
          <w:sz w:val="28"/>
          <w:szCs w:val="28"/>
        </w:rPr>
        <w:t xml:space="preserve">Empowers the government to impose collective fines </w:t>
      </w:r>
    </w:p>
    <w:p w:rsidR="002451C4" w:rsidRDefault="005B2296" w:rsidP="003518DF">
      <w:pPr>
        <w:jc w:val="center"/>
        <w:rPr>
          <w:rFonts w:ascii="Mangal" w:eastAsia="Times New Roman" w:hAnsi="Mangal" w:cs="Mangal"/>
          <w:b/>
          <w:sz w:val="24"/>
          <w:szCs w:val="24"/>
          <w:u w:val="single"/>
        </w:rPr>
      </w:pPr>
      <w:r>
        <w:rPr>
          <w:rFonts w:ascii="Mangal" w:eastAsia="Times New Roman" w:hAnsi="Mangal" w:cs="Mangal"/>
          <w:b/>
          <w:sz w:val="24"/>
          <w:szCs w:val="24"/>
          <w:u w:val="single"/>
        </w:rPr>
        <w:t>================================================</w:t>
      </w: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5B2296" w:rsidRDefault="005B2296" w:rsidP="003518DF">
      <w:pPr>
        <w:jc w:val="center"/>
        <w:rPr>
          <w:rFonts w:ascii="Mangal" w:eastAsia="Times New Roman" w:hAnsi="Mangal" w:cs="Mangal"/>
          <w:b/>
          <w:sz w:val="24"/>
          <w:szCs w:val="24"/>
          <w:u w:val="single"/>
        </w:rPr>
      </w:pPr>
    </w:p>
    <w:p w:rsidR="00721EF6" w:rsidRPr="003518DF" w:rsidRDefault="00721EF6" w:rsidP="003518DF">
      <w:pPr>
        <w:jc w:val="center"/>
        <w:rPr>
          <w:rFonts w:ascii="Mangal" w:eastAsia="Times New Roman" w:hAnsi="Mangal" w:cs="Mangal"/>
          <w:b/>
          <w:sz w:val="24"/>
          <w:szCs w:val="24"/>
          <w:u w:val="single"/>
        </w:rPr>
      </w:pPr>
      <w:r w:rsidRPr="003518DF">
        <w:rPr>
          <w:rFonts w:ascii="Mangal" w:eastAsia="Times New Roman" w:hAnsi="Mangal" w:cs="Mangal"/>
          <w:b/>
          <w:sz w:val="24"/>
          <w:szCs w:val="24"/>
          <w:u w:val="single"/>
        </w:rPr>
        <w:lastRenderedPageBreak/>
        <w:t>AMENDMENT IN SC AND THE ST (PREVENTION OF ATROCITIES) ACT, 1989</w:t>
      </w:r>
    </w:p>
    <w:p w:rsidR="003518DF" w:rsidRDefault="003518DF" w:rsidP="003518DF">
      <w:pPr>
        <w:rPr>
          <w:rFonts w:ascii="Mangal" w:hAnsi="Mangal" w:cs="Mangal"/>
          <w:color w:val="9D1717"/>
          <w:sz w:val="24"/>
          <w:szCs w:val="24"/>
          <w:bdr w:val="single" w:sz="2" w:space="0" w:color="auto" w:frame="1"/>
          <w:shd w:val="clear" w:color="auto" w:fill="FFFFFF"/>
        </w:rPr>
      </w:pPr>
    </w:p>
    <w:p w:rsidR="00A04BA5" w:rsidRPr="00B1171B" w:rsidRDefault="00A04BA5" w:rsidP="003518DF">
      <w:pPr>
        <w:rPr>
          <w:rFonts w:ascii="Mangal" w:hAnsi="Mangal" w:cs="Mangal"/>
          <w:b/>
          <w:sz w:val="28"/>
          <w:szCs w:val="28"/>
          <w:u w:val="single"/>
        </w:rPr>
      </w:pPr>
      <w:r w:rsidRPr="00B1171B">
        <w:rPr>
          <w:rFonts w:ascii="Mangal" w:hAnsi="Mangal" w:cs="Mangal"/>
          <w:color w:val="9D1717"/>
          <w:sz w:val="28"/>
          <w:szCs w:val="28"/>
          <w:bdr w:val="single" w:sz="2" w:space="0" w:color="auto" w:frame="1"/>
          <w:shd w:val="clear" w:color="auto" w:fill="FFFFFF"/>
        </w:rPr>
        <w:t>T</w:t>
      </w:r>
      <w:r w:rsidRPr="00B1171B">
        <w:rPr>
          <w:rFonts w:ascii="Mangal" w:hAnsi="Mangal" w:cs="Mangal"/>
          <w:color w:val="000000"/>
          <w:sz w:val="28"/>
          <w:szCs w:val="28"/>
          <w:shd w:val="clear" w:color="auto" w:fill="FFFFFF"/>
        </w:rPr>
        <w:t>he Scheduled Castes (SCs) and the Scheduled Tribes (STs) Prevention of Atrocities (</w:t>
      </w:r>
      <w:proofErr w:type="spellStart"/>
      <w:r w:rsidRPr="00B1171B">
        <w:rPr>
          <w:rFonts w:ascii="Mangal" w:hAnsi="Mangal" w:cs="Mangal"/>
          <w:color w:val="000000"/>
          <w:sz w:val="28"/>
          <w:szCs w:val="28"/>
          <w:shd w:val="clear" w:color="auto" w:fill="FFFFFF"/>
        </w:rPr>
        <w:t>PoA</w:t>
      </w:r>
      <w:proofErr w:type="spellEnd"/>
      <w:r w:rsidRPr="00B1171B">
        <w:rPr>
          <w:rFonts w:ascii="Mangal" w:hAnsi="Mangal" w:cs="Mangal"/>
          <w:color w:val="000000"/>
          <w:sz w:val="28"/>
          <w:szCs w:val="28"/>
          <w:shd w:val="clear" w:color="auto" w:fill="FFFFFF"/>
        </w:rPr>
        <w:t>) Act, 1989 was </w:t>
      </w:r>
      <w:hyperlink r:id="rId5" w:tgtFrame="_blank" w:history="1">
        <w:r w:rsidRPr="00B1171B">
          <w:rPr>
            <w:rStyle w:val="Hyperlink"/>
            <w:rFonts w:ascii="Mangal" w:hAnsi="Mangal" w:cs="Mangal"/>
            <w:color w:val="000000"/>
            <w:sz w:val="28"/>
            <w:szCs w:val="28"/>
            <w:bdr w:val="single" w:sz="2" w:space="0" w:color="auto" w:frame="1"/>
            <w:shd w:val="clear" w:color="auto" w:fill="FFFFFF"/>
          </w:rPr>
          <w:t>amended</w:t>
        </w:r>
      </w:hyperlink>
      <w:r w:rsidRPr="00B1171B">
        <w:rPr>
          <w:rFonts w:ascii="Mangal" w:hAnsi="Mangal" w:cs="Mangal"/>
          <w:color w:val="000000"/>
          <w:sz w:val="28"/>
          <w:szCs w:val="28"/>
          <w:shd w:val="clear" w:color="auto" w:fill="FFFFFF"/>
        </w:rPr>
        <w:t> recently to include new offences and to ensure speedy justice to victims.</w:t>
      </w:r>
    </w:p>
    <w:p w:rsidR="001425E6" w:rsidRPr="00B1171B" w:rsidRDefault="00721EF6" w:rsidP="003518DF">
      <w:pPr>
        <w:rPr>
          <w:rFonts w:ascii="Mangal" w:hAnsi="Mangal" w:cs="Mangal"/>
          <w:sz w:val="28"/>
          <w:szCs w:val="28"/>
        </w:rPr>
      </w:pPr>
      <w:r w:rsidRPr="00B1171B">
        <w:rPr>
          <w:rFonts w:ascii="Mangal" w:hAnsi="Mangal" w:cs="Mangal"/>
          <w:sz w:val="28"/>
          <w:szCs w:val="28"/>
        </w:rPr>
        <w:t>Key features</w:t>
      </w:r>
      <w:r w:rsidR="003518DF" w:rsidRPr="00B1171B">
        <w:rPr>
          <w:rFonts w:ascii="Mangal" w:hAnsi="Mangal" w:cs="Mangal"/>
          <w:sz w:val="28"/>
          <w:szCs w:val="28"/>
        </w:rPr>
        <w:t xml:space="preserve"> of </w:t>
      </w:r>
      <w:proofErr w:type="gramStart"/>
      <w:r w:rsidR="003518DF" w:rsidRPr="00B1171B">
        <w:rPr>
          <w:rFonts w:ascii="Mangal" w:hAnsi="Mangal" w:cs="Mangal"/>
          <w:sz w:val="28"/>
          <w:szCs w:val="28"/>
        </w:rPr>
        <w:t xml:space="preserve">the  </w:t>
      </w:r>
      <w:proofErr w:type="spellStart"/>
      <w:r w:rsidR="003518DF" w:rsidRPr="00B1171B">
        <w:rPr>
          <w:rFonts w:ascii="Mangal" w:hAnsi="Mangal" w:cs="Mangal"/>
          <w:color w:val="000000"/>
          <w:sz w:val="28"/>
          <w:szCs w:val="28"/>
          <w:shd w:val="clear" w:color="auto" w:fill="FFFFFF"/>
        </w:rPr>
        <w:t>The</w:t>
      </w:r>
      <w:proofErr w:type="spellEnd"/>
      <w:proofErr w:type="gramEnd"/>
      <w:r w:rsidR="003518DF" w:rsidRPr="00B1171B">
        <w:rPr>
          <w:rFonts w:ascii="Mangal" w:hAnsi="Mangal" w:cs="Mangal"/>
          <w:color w:val="000000"/>
          <w:sz w:val="28"/>
          <w:szCs w:val="28"/>
          <w:shd w:val="clear" w:color="auto" w:fill="FFFFFF"/>
        </w:rPr>
        <w:t xml:space="preserve"> Scheduled Castes and the Scheduled Tribes (Prevention of Atrocities) Amendment Act, 2015</w:t>
      </w:r>
    </w:p>
    <w:p w:rsidR="00C540F7" w:rsidRPr="00151B6F" w:rsidRDefault="00A04BA5" w:rsidP="003518DF">
      <w:pPr>
        <w:rPr>
          <w:rFonts w:ascii="Mangal" w:eastAsia="Times New Roman" w:hAnsi="Mangal" w:cs="Mangal"/>
          <w:b/>
          <w:sz w:val="28"/>
          <w:szCs w:val="28"/>
          <w:u w:val="single"/>
        </w:rPr>
      </w:pPr>
      <w:r w:rsidRPr="00151B6F">
        <w:rPr>
          <w:rFonts w:ascii="Mangal" w:eastAsia="Times New Roman" w:hAnsi="Mangal" w:cs="Mangal"/>
          <w:b/>
          <w:sz w:val="28"/>
          <w:szCs w:val="28"/>
          <w:u w:val="single"/>
        </w:rPr>
        <w:t>The following new offences have been added to the list of atrocitie</w:t>
      </w:r>
      <w:r w:rsidR="003518DF" w:rsidRPr="00151B6F">
        <w:rPr>
          <w:rFonts w:ascii="Mangal" w:eastAsia="Times New Roman" w:hAnsi="Mangal" w:cs="Mangal"/>
          <w:b/>
          <w:sz w:val="28"/>
          <w:szCs w:val="28"/>
          <w:u w:val="single"/>
        </w:rPr>
        <w:t>s</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Tonsuring of head, moustache, or similar acts which are derogatory to the dignity of members of SCs &amp; STs</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 xml:space="preserve">Garlanding with </w:t>
      </w:r>
      <w:proofErr w:type="spellStart"/>
      <w:r w:rsidRPr="00151B6F">
        <w:rPr>
          <w:rFonts w:ascii="Mangal" w:eastAsia="Times New Roman" w:hAnsi="Mangal" w:cs="Mangal"/>
          <w:sz w:val="28"/>
          <w:szCs w:val="28"/>
        </w:rPr>
        <w:t>Chappals</w:t>
      </w:r>
      <w:proofErr w:type="spellEnd"/>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Denying access to irrigation facilities or forest rights</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Dispose or carry human or animal carcasses, or to dig graves, using or permitting manual scavenging</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 xml:space="preserve">Dedicating a SC/ST woman as </w:t>
      </w:r>
      <w:proofErr w:type="spellStart"/>
      <w:r w:rsidRPr="00151B6F">
        <w:rPr>
          <w:rFonts w:ascii="Mangal" w:eastAsia="Times New Roman" w:hAnsi="Mangal" w:cs="Mangal"/>
          <w:sz w:val="28"/>
          <w:szCs w:val="28"/>
        </w:rPr>
        <w:t>Devadasi</w:t>
      </w:r>
      <w:proofErr w:type="spellEnd"/>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Abusing in caste name, perpetrating witchcraft atrocities</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Imposing social or economic boycott</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Preventing SC/ST candidates from filing of nomination to contest elections</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Hurting a SC/ST woman by removing her garments</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Forcing a member of SC/ST to leave house , village or residence</w:t>
      </w:r>
    </w:p>
    <w:p w:rsidR="00A04BA5"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lastRenderedPageBreak/>
        <w:t>Defiling objects sacred to members SCs/STs</w:t>
      </w:r>
    </w:p>
    <w:p w:rsidR="009F1202" w:rsidRPr="00151B6F" w:rsidRDefault="00A04BA5" w:rsidP="003518DF">
      <w:pPr>
        <w:pStyle w:val="ListParagraph"/>
        <w:numPr>
          <w:ilvl w:val="0"/>
          <w:numId w:val="23"/>
        </w:numPr>
        <w:rPr>
          <w:rFonts w:ascii="Mangal" w:eastAsia="Times New Roman" w:hAnsi="Mangal" w:cs="Mangal"/>
          <w:sz w:val="28"/>
          <w:szCs w:val="28"/>
        </w:rPr>
      </w:pPr>
      <w:r w:rsidRPr="00151B6F">
        <w:rPr>
          <w:rFonts w:ascii="Mangal" w:eastAsia="Times New Roman" w:hAnsi="Mangal" w:cs="Mangal"/>
          <w:sz w:val="28"/>
          <w:szCs w:val="28"/>
        </w:rPr>
        <w:t>Touching or using words, acts or gestures of a sexual nature against members of SCs/STs</w:t>
      </w:r>
    </w:p>
    <w:p w:rsidR="003518DF" w:rsidRPr="005B2296" w:rsidRDefault="009F1202" w:rsidP="003518DF">
      <w:pPr>
        <w:rPr>
          <w:rFonts w:ascii="Mangal" w:eastAsia="Times New Roman" w:hAnsi="Mangal" w:cs="Mangal"/>
          <w:sz w:val="24"/>
          <w:szCs w:val="24"/>
          <w:u w:val="single"/>
        </w:rPr>
      </w:pPr>
      <w:r w:rsidRPr="005B2296">
        <w:rPr>
          <w:rFonts w:ascii="Mangal" w:eastAsia="Times New Roman" w:hAnsi="Mangal" w:cs="Mangal"/>
          <w:sz w:val="24"/>
          <w:szCs w:val="24"/>
          <w:u w:val="single"/>
        </w:rPr>
        <w:t>EXCLUSIVE SPECIAL COURT FOR SPEEDY JUSTICE</w:t>
      </w:r>
    </w:p>
    <w:p w:rsidR="009F1202" w:rsidRPr="00B1171B" w:rsidRDefault="009F1202" w:rsidP="003518DF">
      <w:pPr>
        <w:rPr>
          <w:rFonts w:ascii="Mangal" w:eastAsia="Times New Roman" w:hAnsi="Mangal" w:cs="Mangal"/>
          <w:sz w:val="28"/>
          <w:szCs w:val="28"/>
          <w:u w:val="single"/>
        </w:rPr>
      </w:pPr>
      <w:r w:rsidRPr="00B1171B">
        <w:rPr>
          <w:rFonts w:ascii="Mangal" w:eastAsia="Times New Roman" w:hAnsi="Mangal" w:cs="Mangal"/>
          <w:color w:val="222222"/>
          <w:sz w:val="28"/>
          <w:szCs w:val="28"/>
        </w:rPr>
        <w:t>The amendments to the act also authorize establishment of exclusive Special Courts and appointment of Exclusive Special Public Prosecutors to try the offences under this act. This is made to enable speedy justice and immediate disposal of cases.</w:t>
      </w:r>
    </w:p>
    <w:p w:rsidR="009F1202" w:rsidRPr="00B1171B" w:rsidRDefault="009F1202" w:rsidP="003518DF">
      <w:pPr>
        <w:rPr>
          <w:rFonts w:ascii="Mangal" w:eastAsia="Times New Roman" w:hAnsi="Mangal" w:cs="Mangal"/>
          <w:color w:val="222222"/>
          <w:sz w:val="28"/>
          <w:szCs w:val="28"/>
        </w:rPr>
      </w:pPr>
      <w:r w:rsidRPr="00B1171B">
        <w:rPr>
          <w:rFonts w:ascii="Mangal" w:eastAsia="Times New Roman" w:hAnsi="Mangal" w:cs="Mangal"/>
          <w:color w:val="222222"/>
          <w:sz w:val="28"/>
          <w:szCs w:val="28"/>
        </w:rPr>
        <w:t>The Special Courts have been mandated to take direct cognizance of offence and as far as possible, completion of trial of the case within two months, from the date of filing of the charge sheet.</w:t>
      </w:r>
    </w:p>
    <w:p w:rsidR="009F1202" w:rsidRPr="00B1171B" w:rsidRDefault="009F1202" w:rsidP="003518DF">
      <w:pPr>
        <w:rPr>
          <w:rFonts w:ascii="Mangal" w:eastAsia="Times New Roman" w:hAnsi="Mangal" w:cs="Mangal"/>
          <w:color w:val="222222"/>
          <w:sz w:val="28"/>
          <w:szCs w:val="28"/>
        </w:rPr>
      </w:pPr>
      <w:r w:rsidRPr="00B1171B">
        <w:rPr>
          <w:rFonts w:ascii="Mangal" w:eastAsia="Times New Roman" w:hAnsi="Mangal" w:cs="Mangal"/>
          <w:color w:val="222222"/>
          <w:sz w:val="28"/>
          <w:szCs w:val="28"/>
        </w:rPr>
        <w:t>The State Governments have been asked to prepare a panel of senior advocates who have been in practice for not less than seven years for each District, for conducting the cases filed under this act. The State Governments have also been asked to review the performance of these advocates at least twice in a calendar year. They are also asked to review various reports received, investigation made and preventive steps taken by the District Magistrate, Sub-Divisional Magistrate and Superintendent of Police, relief and rehabilitation facilities provided to the victims etc.</w:t>
      </w:r>
    </w:p>
    <w:p w:rsidR="00B1171B" w:rsidRDefault="00B1171B" w:rsidP="003518DF">
      <w:pPr>
        <w:rPr>
          <w:rFonts w:ascii="Mangal" w:hAnsi="Mangal" w:cs="Mangal"/>
          <w:b/>
          <w:bCs/>
          <w:sz w:val="28"/>
          <w:szCs w:val="28"/>
          <w:u w:val="single"/>
        </w:rPr>
      </w:pPr>
    </w:p>
    <w:p w:rsidR="009F1202" w:rsidRPr="00B1171B" w:rsidRDefault="009F1202" w:rsidP="003518DF">
      <w:pPr>
        <w:rPr>
          <w:rFonts w:ascii="Mangal" w:hAnsi="Mangal" w:cs="Mangal"/>
          <w:sz w:val="28"/>
          <w:szCs w:val="28"/>
          <w:u w:val="single"/>
        </w:rPr>
      </w:pPr>
      <w:r w:rsidRPr="00B1171B">
        <w:rPr>
          <w:rFonts w:ascii="Mangal" w:hAnsi="Mangal" w:cs="Mangal"/>
          <w:b/>
          <w:bCs/>
          <w:sz w:val="28"/>
          <w:szCs w:val="28"/>
          <w:u w:val="single"/>
        </w:rPr>
        <w:lastRenderedPageBreak/>
        <w:t>ENHANCEMENT IN RELIEF AMOUNT</w:t>
      </w:r>
    </w:p>
    <w:p w:rsidR="009F1202" w:rsidRPr="005B2296" w:rsidRDefault="009F1202" w:rsidP="003518DF">
      <w:pPr>
        <w:rPr>
          <w:rFonts w:ascii="Mangal" w:hAnsi="Mangal" w:cs="Mangal"/>
          <w:color w:val="222222"/>
          <w:sz w:val="24"/>
          <w:szCs w:val="24"/>
        </w:rPr>
      </w:pPr>
      <w:r w:rsidRPr="005B2296">
        <w:rPr>
          <w:rFonts w:ascii="Mangal" w:hAnsi="Mangal" w:cs="Mangal"/>
          <w:color w:val="222222"/>
          <w:sz w:val="24"/>
          <w:szCs w:val="24"/>
        </w:rPr>
        <w:t>The standard for relief amount has also been justified including enhancement of the relief amount for certain offences.  Relief amount in case of certain offences are</w:t>
      </w:r>
    </w:p>
    <w:p w:rsidR="009F1202" w:rsidRPr="005B2296" w:rsidRDefault="009F1202" w:rsidP="003518DF">
      <w:pPr>
        <w:rPr>
          <w:rFonts w:ascii="Mangal" w:hAnsi="Mangal" w:cs="Mangal"/>
          <w:color w:val="222222"/>
          <w:sz w:val="24"/>
          <w:szCs w:val="24"/>
        </w:rPr>
      </w:pPr>
      <w:proofErr w:type="gramStart"/>
      <w:r w:rsidRPr="005B2296">
        <w:rPr>
          <w:rFonts w:ascii="Mangal" w:hAnsi="Mangal" w:cs="Mangal"/>
          <w:color w:val="222222"/>
          <w:sz w:val="24"/>
          <w:szCs w:val="24"/>
        </w:rPr>
        <w:t xml:space="preserve">Rs 85,000 to the victim in case of offences like avoiding from voting, filing nomination, Forcing, obstructing a holder of office of </w:t>
      </w:r>
      <w:proofErr w:type="spellStart"/>
      <w:r w:rsidRPr="005B2296">
        <w:rPr>
          <w:rFonts w:ascii="Mangal" w:hAnsi="Mangal" w:cs="Mangal"/>
          <w:color w:val="222222"/>
          <w:sz w:val="24"/>
          <w:szCs w:val="24"/>
        </w:rPr>
        <w:t>Panchayat</w:t>
      </w:r>
      <w:proofErr w:type="spellEnd"/>
      <w:r w:rsidRPr="005B2296">
        <w:rPr>
          <w:rFonts w:ascii="Mangal" w:hAnsi="Mangal" w:cs="Mangal"/>
          <w:color w:val="222222"/>
          <w:sz w:val="24"/>
          <w:szCs w:val="24"/>
        </w:rPr>
        <w:t xml:space="preserve"> or Municipality from performing duties etc.</w:t>
      </w:r>
      <w:proofErr w:type="gramEnd"/>
    </w:p>
    <w:p w:rsidR="009F1202" w:rsidRPr="005B2296" w:rsidRDefault="009F1202" w:rsidP="003518DF">
      <w:pPr>
        <w:rPr>
          <w:rFonts w:ascii="Mangal" w:hAnsi="Mangal" w:cs="Mangal"/>
          <w:color w:val="222222"/>
          <w:sz w:val="24"/>
          <w:szCs w:val="24"/>
        </w:rPr>
      </w:pPr>
      <w:r w:rsidRPr="005B2296">
        <w:rPr>
          <w:rFonts w:ascii="Mangal" w:hAnsi="Mangal" w:cs="Mangal"/>
          <w:color w:val="222222"/>
          <w:sz w:val="24"/>
          <w:szCs w:val="24"/>
        </w:rPr>
        <w:t>Rs 5,00,000 to the victim in case of rape and Rs 8,25,000 in case of gang rape</w:t>
      </w:r>
    </w:p>
    <w:p w:rsidR="009F1202" w:rsidRPr="005B2296" w:rsidRDefault="009F1202" w:rsidP="003518DF">
      <w:pPr>
        <w:rPr>
          <w:rFonts w:ascii="Mangal" w:hAnsi="Mangal" w:cs="Mangal"/>
          <w:color w:val="222222"/>
          <w:sz w:val="24"/>
          <w:szCs w:val="24"/>
        </w:rPr>
      </w:pPr>
      <w:r w:rsidRPr="005B2296">
        <w:rPr>
          <w:rFonts w:ascii="Mangal" w:hAnsi="Mangal" w:cs="Mangal"/>
          <w:color w:val="222222"/>
          <w:sz w:val="24"/>
          <w:szCs w:val="24"/>
        </w:rPr>
        <w:t>Rs 8</w:t>
      </w:r>
      <w:proofErr w:type="gramStart"/>
      <w:r w:rsidRPr="005B2296">
        <w:rPr>
          <w:rFonts w:ascii="Mangal" w:hAnsi="Mangal" w:cs="Mangal"/>
          <w:color w:val="222222"/>
          <w:sz w:val="24"/>
          <w:szCs w:val="24"/>
        </w:rPr>
        <w:t>,25,000</w:t>
      </w:r>
      <w:proofErr w:type="gramEnd"/>
      <w:r w:rsidRPr="005B2296">
        <w:rPr>
          <w:rFonts w:ascii="Mangal" w:hAnsi="Mangal" w:cs="Mangal"/>
          <w:color w:val="222222"/>
          <w:sz w:val="24"/>
          <w:szCs w:val="24"/>
        </w:rPr>
        <w:t xml:space="preserve"> in case of murder</w:t>
      </w:r>
    </w:p>
    <w:p w:rsidR="009F1202" w:rsidRPr="005B2296" w:rsidRDefault="009F1202" w:rsidP="003518DF">
      <w:pPr>
        <w:rPr>
          <w:rFonts w:ascii="Mangal" w:hAnsi="Mangal" w:cs="Mangal"/>
          <w:color w:val="222222"/>
          <w:sz w:val="24"/>
          <w:szCs w:val="24"/>
        </w:rPr>
      </w:pPr>
      <w:r w:rsidRPr="005B2296">
        <w:rPr>
          <w:rFonts w:ascii="Mangal" w:hAnsi="Mangal" w:cs="Mangal"/>
          <w:color w:val="222222"/>
          <w:sz w:val="24"/>
          <w:szCs w:val="24"/>
        </w:rPr>
        <w:t>Rs 1</w:t>
      </w:r>
      <w:proofErr w:type="gramStart"/>
      <w:r w:rsidRPr="005B2296">
        <w:rPr>
          <w:rFonts w:ascii="Mangal" w:hAnsi="Mangal" w:cs="Mangal"/>
          <w:color w:val="222222"/>
          <w:sz w:val="24"/>
          <w:szCs w:val="24"/>
        </w:rPr>
        <w:t>,00,000</w:t>
      </w:r>
      <w:proofErr w:type="gramEnd"/>
      <w:r w:rsidRPr="005B2296">
        <w:rPr>
          <w:rFonts w:ascii="Mangal" w:hAnsi="Mangal" w:cs="Mangal"/>
          <w:color w:val="222222"/>
          <w:sz w:val="24"/>
          <w:szCs w:val="24"/>
        </w:rPr>
        <w:t xml:space="preserve"> in case of deception or threatening a social or economic boycott</w:t>
      </w:r>
    </w:p>
    <w:p w:rsidR="00B1171B" w:rsidRPr="005B2296" w:rsidRDefault="009F1202" w:rsidP="003518DF">
      <w:pPr>
        <w:rPr>
          <w:rFonts w:ascii="Mangal" w:hAnsi="Mangal" w:cs="Mangal"/>
          <w:color w:val="222222"/>
          <w:sz w:val="24"/>
          <w:szCs w:val="24"/>
        </w:rPr>
      </w:pPr>
      <w:r w:rsidRPr="005B2296">
        <w:rPr>
          <w:rFonts w:ascii="Mangal" w:hAnsi="Mangal" w:cs="Mangal"/>
          <w:color w:val="222222"/>
          <w:sz w:val="24"/>
          <w:szCs w:val="24"/>
        </w:rPr>
        <w:t>Rs 1</w:t>
      </w:r>
      <w:proofErr w:type="gramStart"/>
      <w:r w:rsidRPr="005B2296">
        <w:rPr>
          <w:rFonts w:ascii="Mangal" w:hAnsi="Mangal" w:cs="Mangal"/>
          <w:color w:val="222222"/>
          <w:sz w:val="24"/>
          <w:szCs w:val="24"/>
        </w:rPr>
        <w:t>,00,000</w:t>
      </w:r>
      <w:proofErr w:type="gramEnd"/>
      <w:r w:rsidRPr="005B2296">
        <w:rPr>
          <w:rFonts w:ascii="Mangal" w:hAnsi="Mangal" w:cs="Mangal"/>
          <w:color w:val="222222"/>
          <w:sz w:val="24"/>
          <w:szCs w:val="24"/>
        </w:rPr>
        <w:t xml:space="preserve"> in case of preventing a SC/ST entering any place of worship which is open to the public etc</w:t>
      </w:r>
    </w:p>
    <w:p w:rsidR="009F1202" w:rsidRPr="005B2296" w:rsidRDefault="009F1202" w:rsidP="003518DF">
      <w:pPr>
        <w:rPr>
          <w:rFonts w:ascii="Mangal" w:hAnsi="Mangal" w:cs="Mangal"/>
          <w:color w:val="222222"/>
          <w:sz w:val="24"/>
          <w:szCs w:val="24"/>
        </w:rPr>
      </w:pPr>
      <w:r w:rsidRPr="005B2296">
        <w:rPr>
          <w:rFonts w:ascii="Mangal" w:hAnsi="Mangal" w:cs="Mangal"/>
          <w:color w:val="222222"/>
          <w:sz w:val="24"/>
          <w:szCs w:val="24"/>
        </w:rPr>
        <w:t>A new chapter on the ‘Rights of Victims and Witnesses’ has also been added to the act. The term ‘</w:t>
      </w:r>
      <w:proofErr w:type="spellStart"/>
      <w:r w:rsidRPr="005B2296">
        <w:rPr>
          <w:rFonts w:ascii="Mangal" w:hAnsi="Mangal" w:cs="Mangal"/>
          <w:color w:val="222222"/>
          <w:sz w:val="24"/>
          <w:szCs w:val="24"/>
        </w:rPr>
        <w:t>willful</w:t>
      </w:r>
      <w:proofErr w:type="spellEnd"/>
      <w:r w:rsidRPr="005B2296">
        <w:rPr>
          <w:rFonts w:ascii="Mangal" w:hAnsi="Mangal" w:cs="Mangal"/>
          <w:color w:val="222222"/>
          <w:sz w:val="24"/>
          <w:szCs w:val="24"/>
        </w:rPr>
        <w:t xml:space="preserve"> negligence’ of public servants at all levels, starting from the registration of complaint, and covering aspects of dereliction of duty under this Act has been clearly defined.</w:t>
      </w:r>
    </w:p>
    <w:p w:rsidR="009F1202" w:rsidRPr="005B2296" w:rsidRDefault="009F1202" w:rsidP="003518DF">
      <w:pPr>
        <w:rPr>
          <w:rFonts w:ascii="Mangal" w:hAnsi="Mangal" w:cs="Mangal"/>
          <w:color w:val="222222"/>
          <w:sz w:val="24"/>
          <w:szCs w:val="24"/>
        </w:rPr>
      </w:pPr>
      <w:r w:rsidRPr="005B2296">
        <w:rPr>
          <w:rFonts w:ascii="Mangal" w:hAnsi="Mangal" w:cs="Mangal"/>
          <w:color w:val="222222"/>
          <w:sz w:val="24"/>
          <w:szCs w:val="24"/>
        </w:rPr>
        <w:t xml:space="preserve">Presumption to the offences has been added to the act, i.e., If the accused was acquainted with the victim or his family, </w:t>
      </w:r>
      <w:proofErr w:type="spellStart"/>
      <w:r w:rsidRPr="005B2296">
        <w:rPr>
          <w:rFonts w:ascii="Mangal" w:hAnsi="Mangal" w:cs="Mangal"/>
          <w:color w:val="222222"/>
          <w:sz w:val="24"/>
          <w:szCs w:val="24"/>
        </w:rPr>
        <w:t>thecourt</w:t>
      </w:r>
      <w:proofErr w:type="spellEnd"/>
      <w:r w:rsidRPr="005B2296">
        <w:rPr>
          <w:rFonts w:ascii="Mangal" w:hAnsi="Mangal" w:cs="Mangal"/>
          <w:color w:val="222222"/>
          <w:sz w:val="24"/>
          <w:szCs w:val="24"/>
        </w:rPr>
        <w:t xml:space="preserve"> will presume that the accused was aware of the caste or tribal identity of the victim unless proved otherwise.</w:t>
      </w:r>
    </w:p>
    <w:p w:rsidR="00B1171B" w:rsidRPr="005B2296" w:rsidRDefault="005B2296" w:rsidP="003518DF">
      <w:pPr>
        <w:rPr>
          <w:rFonts w:ascii="Mangal" w:hAnsi="Mangal" w:cs="Mangal"/>
          <w:color w:val="222222"/>
          <w:sz w:val="24"/>
          <w:szCs w:val="24"/>
        </w:rPr>
      </w:pPr>
      <w:r>
        <w:rPr>
          <w:rFonts w:ascii="Mangal" w:hAnsi="Mangal" w:cs="Mangal"/>
          <w:color w:val="222222"/>
          <w:sz w:val="24"/>
          <w:szCs w:val="24"/>
        </w:rPr>
        <w:t>================================================------</w:t>
      </w:r>
    </w:p>
    <w:p w:rsidR="00CC2EDE" w:rsidRPr="005B2296" w:rsidRDefault="00CC2EDE" w:rsidP="00CC2EDE">
      <w:pPr>
        <w:jc w:val="center"/>
        <w:rPr>
          <w:rFonts w:ascii="Mangal" w:hAnsi="Mangal" w:cs="Mangal"/>
          <w:b/>
          <w:sz w:val="24"/>
          <w:szCs w:val="24"/>
          <w:u w:val="single"/>
        </w:rPr>
      </w:pPr>
    </w:p>
    <w:p w:rsidR="00CC2EDE" w:rsidRDefault="00CC2EDE" w:rsidP="005B2296">
      <w:pPr>
        <w:rPr>
          <w:rFonts w:ascii="Mangal" w:hAnsi="Mangal" w:cs="Mangal"/>
          <w:b/>
          <w:sz w:val="24"/>
          <w:szCs w:val="24"/>
          <w:u w:val="single"/>
        </w:rPr>
      </w:pPr>
    </w:p>
    <w:p w:rsidR="00CC2EDE" w:rsidRDefault="00CC2EDE" w:rsidP="00CC2EDE">
      <w:pPr>
        <w:jc w:val="center"/>
        <w:rPr>
          <w:rFonts w:ascii="Mangal" w:hAnsi="Mangal" w:cs="Mangal"/>
          <w:b/>
          <w:sz w:val="24"/>
          <w:szCs w:val="24"/>
          <w:u w:val="single"/>
        </w:rPr>
      </w:pPr>
    </w:p>
    <w:p w:rsidR="00CC2EDE" w:rsidRPr="005B2296" w:rsidRDefault="00CC2EDE" w:rsidP="00CC2EDE">
      <w:pPr>
        <w:jc w:val="center"/>
        <w:rPr>
          <w:rFonts w:ascii="Mangal" w:hAnsi="Mangal" w:cs="Mangal"/>
          <w:b/>
          <w:sz w:val="36"/>
          <w:szCs w:val="36"/>
          <w:u w:val="single"/>
        </w:rPr>
      </w:pPr>
    </w:p>
    <w:p w:rsidR="00B1171B" w:rsidRPr="005B2296" w:rsidRDefault="00A0672B" w:rsidP="00CC2EDE">
      <w:pPr>
        <w:jc w:val="center"/>
        <w:rPr>
          <w:rFonts w:ascii="Mangal" w:hAnsi="Mangal" w:cs="Mangal"/>
          <w:b/>
          <w:sz w:val="36"/>
          <w:szCs w:val="36"/>
          <w:u w:val="single"/>
        </w:rPr>
      </w:pPr>
      <w:r w:rsidRPr="005B2296">
        <w:rPr>
          <w:rFonts w:ascii="Mangal" w:hAnsi="Mangal" w:cs="Mangal"/>
          <w:b/>
          <w:sz w:val="36"/>
          <w:szCs w:val="36"/>
          <w:u w:val="single"/>
        </w:rPr>
        <w:t>Atrocity</w:t>
      </w:r>
    </w:p>
    <w:p w:rsidR="00A0672B" w:rsidRPr="00CC2EDE" w:rsidRDefault="00A0672B" w:rsidP="00A0672B">
      <w:pPr>
        <w:rPr>
          <w:rFonts w:ascii="Mangal" w:hAnsi="Mangal" w:cs="Mangal"/>
          <w:sz w:val="24"/>
          <w:szCs w:val="24"/>
        </w:rPr>
      </w:pPr>
      <w:proofErr w:type="gramStart"/>
      <w:r w:rsidRPr="00CC2EDE">
        <w:rPr>
          <w:rFonts w:ascii="Mangal" w:hAnsi="Mangal" w:cs="Mangal"/>
          <w:sz w:val="24"/>
          <w:szCs w:val="24"/>
        </w:rPr>
        <w:t>atrocity</w:t>
      </w:r>
      <w:proofErr w:type="gramEnd"/>
      <w:r w:rsidRPr="00CC2EDE">
        <w:rPr>
          <w:rFonts w:cs="Mangal"/>
          <w:sz w:val="24"/>
          <w:szCs w:val="24"/>
        </w:rPr>
        <w:t>‖</w:t>
      </w:r>
      <w:r w:rsidRPr="00CC2EDE">
        <w:rPr>
          <w:rFonts w:ascii="Mangal" w:hAnsi="Mangal" w:cs="Mangal"/>
          <w:sz w:val="24"/>
          <w:szCs w:val="24"/>
        </w:rPr>
        <w:t xml:space="preserve"> means an offence punishable under section 3; [sec-2(1) (a)]</w:t>
      </w:r>
    </w:p>
    <w:p w:rsidR="00767CD6" w:rsidRPr="00CC2EDE" w:rsidRDefault="00767CD6" w:rsidP="00A0672B">
      <w:pPr>
        <w:rPr>
          <w:rFonts w:ascii="Mangal" w:hAnsi="Mangal" w:cs="Mangal"/>
          <w:sz w:val="24"/>
          <w:szCs w:val="24"/>
        </w:rPr>
      </w:pPr>
      <w:proofErr w:type="gramStart"/>
      <w:r w:rsidRPr="00CC2EDE">
        <w:rPr>
          <w:rFonts w:ascii="Mangal" w:hAnsi="Mangal" w:cs="Mangal"/>
          <w:sz w:val="24"/>
          <w:szCs w:val="24"/>
        </w:rPr>
        <w:t>sec-3</w:t>
      </w:r>
      <w:proofErr w:type="gramEnd"/>
      <w:r w:rsidRPr="00CC2EDE">
        <w:rPr>
          <w:rFonts w:ascii="Mangal" w:hAnsi="Mangal" w:cs="Mangal"/>
          <w:sz w:val="24"/>
          <w:szCs w:val="24"/>
        </w:rPr>
        <w:t xml:space="preserve"> of the Act Provides punishment for  offences of Atrocities </w:t>
      </w:r>
    </w:p>
    <w:p w:rsidR="00767CD6" w:rsidRPr="00CC2EDE" w:rsidRDefault="00767CD6" w:rsidP="00767CD6">
      <w:pPr>
        <w:rPr>
          <w:rFonts w:ascii="Mangal" w:hAnsi="Mangal" w:cs="Mangal"/>
          <w:b/>
          <w:color w:val="222222"/>
          <w:sz w:val="24"/>
          <w:szCs w:val="24"/>
        </w:rPr>
      </w:pPr>
      <w:r w:rsidRPr="00CC2EDE">
        <w:rPr>
          <w:rFonts w:ascii="Mangal" w:hAnsi="Mangal" w:cs="Mangal"/>
          <w:sz w:val="24"/>
          <w:szCs w:val="24"/>
        </w:rPr>
        <w:t>According to sec-</w:t>
      </w:r>
      <w:proofErr w:type="gramStart"/>
      <w:r w:rsidRPr="00CC2EDE">
        <w:rPr>
          <w:rFonts w:ascii="Mangal" w:hAnsi="Mangal" w:cs="Mangal"/>
          <w:sz w:val="24"/>
          <w:szCs w:val="24"/>
        </w:rPr>
        <w:t>3  an</w:t>
      </w:r>
      <w:proofErr w:type="gramEnd"/>
      <w:r w:rsidRPr="00CC2EDE">
        <w:rPr>
          <w:rFonts w:ascii="Mangal" w:hAnsi="Mangal" w:cs="Mangal"/>
          <w:sz w:val="24"/>
          <w:szCs w:val="24"/>
        </w:rPr>
        <w:t xml:space="preserve"> atrocity crime by sole reference to caste identification of the offender (non-SCs &amp; STs member) and the victim (SCs &amp; STs member).</w:t>
      </w:r>
    </w:p>
    <w:p w:rsidR="00767CD6" w:rsidRPr="00CC2EDE" w:rsidRDefault="00767CD6" w:rsidP="00767CD6">
      <w:pPr>
        <w:rPr>
          <w:rFonts w:ascii="Mangal" w:hAnsi="Mangal" w:cs="Mangal"/>
          <w:color w:val="222222"/>
          <w:sz w:val="24"/>
          <w:szCs w:val="24"/>
        </w:rPr>
      </w:pPr>
      <w:r w:rsidRPr="00CC2EDE">
        <w:rPr>
          <w:rFonts w:ascii="Mangal" w:hAnsi="Mangal" w:cs="Mangal"/>
          <w:color w:val="222222"/>
          <w:sz w:val="24"/>
          <w:szCs w:val="24"/>
        </w:rPr>
        <w:t>Commission of offences only by specified persons i.e. can be committed only by non-SCs and non-STs on members of the SC or ST communities. Crimes among SCs and STs or between STs and SCs do not come under the purview of this Act.</w:t>
      </w:r>
    </w:p>
    <w:p w:rsidR="00CC2EDE" w:rsidRPr="00CC2EDE" w:rsidRDefault="00CC2EDE" w:rsidP="00767CD6">
      <w:pPr>
        <w:rPr>
          <w:rFonts w:ascii="Mangal" w:hAnsi="Mangal" w:cs="Mangal"/>
          <w:b/>
          <w:color w:val="222222"/>
          <w:sz w:val="24"/>
          <w:szCs w:val="24"/>
          <w:u w:val="single"/>
        </w:rPr>
      </w:pPr>
      <w:r w:rsidRPr="00CC2EDE">
        <w:rPr>
          <w:rFonts w:ascii="Mangal" w:hAnsi="Mangal" w:cs="Mangal"/>
          <w:b/>
          <w:color w:val="222222"/>
          <w:sz w:val="24"/>
          <w:szCs w:val="24"/>
          <w:u w:val="single"/>
        </w:rPr>
        <w:t xml:space="preserve">Offences of atrocity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Forcing to drink or eat any inedible or obnoxious substance.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Dumping excreta, waste matter, carcasses or any other obnoxious substance.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Removing clothes, parading naked, painting face or body or any similar act.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Occupying or cultivating any land.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Dispossessing from land, premises, interfering with rights over land, premises or water.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Compelling or enticing to do 'beggar or similar forms of forced or bonded labour.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Forcing or intimidating to vote or to vote to a particular candidate or to vote in a manner other than that provided by law.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lastRenderedPageBreak/>
        <w:t xml:space="preserve">Instituting false, malicious or vexatious suit or criminal or other legal proceedings.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Giving false or frivolous Information to any public servant.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Insulting or intimidating to humiliate in any place within public view.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Dishonouring or outraging the modesty of a woman.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To exploit a woman sexually.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Corrupting or fouling the water of any spring, reservoir.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Denying or obstructing any customary </w:t>
      </w:r>
      <w:proofErr w:type="spellStart"/>
      <w:r w:rsidRPr="00CC2EDE">
        <w:rPr>
          <w:rFonts w:ascii="Mangal" w:hAnsi="Mangal" w:cs="Mangal"/>
          <w:sz w:val="24"/>
          <w:szCs w:val="24"/>
        </w:rPr>
        <w:t>right</w:t>
      </w:r>
      <w:proofErr w:type="spellEnd"/>
      <w:r w:rsidRPr="00CC2EDE">
        <w:rPr>
          <w:rFonts w:ascii="Mangal" w:hAnsi="Mangal" w:cs="Mangal"/>
          <w:sz w:val="24"/>
          <w:szCs w:val="24"/>
        </w:rPr>
        <w:t xml:space="preserve"> of passage to a place of public resort. </w:t>
      </w:r>
    </w:p>
    <w:p w:rsidR="00E2548D"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Forcing or causing to leave house, village or place of residence.</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Gives or fabricates false evidence.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Mischief by fire or any explosive substance to cause damage to any property.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Commits mischief by fire or any explosive substance to cause destruction of any building used as a place or worship, for human dwelling, custody of the property.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Commits offence under the IPC punishable with imprisonment for 10 years or more.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 xml:space="preserve">Causes any evidence of the commission of that offence to disappear. </w:t>
      </w:r>
    </w:p>
    <w:p w:rsidR="00E2548D"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Being a public servant, co</w:t>
      </w:r>
      <w:r w:rsidR="00E2548D" w:rsidRPr="00CC2EDE">
        <w:rPr>
          <w:rFonts w:ascii="Mangal" w:hAnsi="Mangal" w:cs="Mangal"/>
          <w:sz w:val="24"/>
          <w:szCs w:val="24"/>
        </w:rPr>
        <w:t xml:space="preserve">mmits offence under Section 3. </w:t>
      </w:r>
    </w:p>
    <w:p w:rsidR="002451C4" w:rsidRPr="00CC2EDE" w:rsidRDefault="002451C4" w:rsidP="00E2548D">
      <w:pPr>
        <w:pStyle w:val="ListParagraph"/>
        <w:numPr>
          <w:ilvl w:val="0"/>
          <w:numId w:val="24"/>
        </w:numPr>
        <w:rPr>
          <w:rFonts w:ascii="Mangal" w:hAnsi="Mangal" w:cs="Mangal"/>
          <w:sz w:val="24"/>
          <w:szCs w:val="24"/>
        </w:rPr>
      </w:pPr>
      <w:r w:rsidRPr="00CC2EDE">
        <w:rPr>
          <w:rFonts w:ascii="Mangal" w:hAnsi="Mangal" w:cs="Mangal"/>
          <w:sz w:val="24"/>
          <w:szCs w:val="24"/>
        </w:rPr>
        <w:t>Wilful Negligence by public servant. [Sec 4]</w:t>
      </w:r>
    </w:p>
    <w:p w:rsidR="00A0672B" w:rsidRDefault="00A0672B" w:rsidP="003518DF">
      <w:pPr>
        <w:rPr>
          <w:rFonts w:ascii="Mangal" w:hAnsi="Mangal" w:cs="Mangal"/>
          <w:color w:val="3B3835"/>
          <w:sz w:val="28"/>
          <w:szCs w:val="28"/>
          <w:shd w:val="clear" w:color="auto" w:fill="EEEEEE"/>
        </w:rPr>
      </w:pPr>
    </w:p>
    <w:p w:rsidR="00346ABF" w:rsidRDefault="00346ABF" w:rsidP="003518DF">
      <w:pPr>
        <w:rPr>
          <w:rFonts w:ascii="Mangal" w:hAnsi="Mangal" w:cs="Mangal"/>
          <w:color w:val="3B3835"/>
          <w:sz w:val="28"/>
          <w:szCs w:val="28"/>
          <w:shd w:val="clear" w:color="auto" w:fill="EEEEEE"/>
        </w:rPr>
      </w:pPr>
    </w:p>
    <w:p w:rsidR="00346ABF" w:rsidRDefault="005B2296" w:rsidP="003518DF">
      <w:pPr>
        <w:rPr>
          <w:rFonts w:ascii="Mangal" w:hAnsi="Mangal" w:cs="Mangal"/>
          <w:color w:val="3B3835"/>
          <w:sz w:val="28"/>
          <w:szCs w:val="28"/>
          <w:shd w:val="clear" w:color="auto" w:fill="EEEEEE"/>
        </w:rPr>
      </w:pPr>
      <w:r>
        <w:rPr>
          <w:rFonts w:ascii="Mangal" w:hAnsi="Mangal" w:cs="Mangal"/>
          <w:color w:val="3B3835"/>
          <w:sz w:val="28"/>
          <w:szCs w:val="28"/>
          <w:shd w:val="clear" w:color="auto" w:fill="EEEEEE"/>
        </w:rPr>
        <w:t>================================================</w:t>
      </w:r>
    </w:p>
    <w:p w:rsidR="00346ABF" w:rsidRDefault="00346ABF" w:rsidP="003518DF">
      <w:pPr>
        <w:rPr>
          <w:rFonts w:ascii="Mangal" w:hAnsi="Mangal" w:cs="Mangal"/>
          <w:color w:val="3B3835"/>
          <w:sz w:val="28"/>
          <w:szCs w:val="28"/>
          <w:shd w:val="clear" w:color="auto" w:fill="EEEEEE"/>
        </w:rPr>
      </w:pPr>
    </w:p>
    <w:p w:rsidR="00346ABF" w:rsidRDefault="00346ABF" w:rsidP="003518DF">
      <w:pPr>
        <w:rPr>
          <w:rFonts w:ascii="Mangal" w:hAnsi="Mangal" w:cs="Mangal"/>
          <w:color w:val="3B3835"/>
          <w:sz w:val="28"/>
          <w:szCs w:val="28"/>
          <w:shd w:val="clear" w:color="auto" w:fill="EEEEEE"/>
        </w:rPr>
      </w:pPr>
    </w:p>
    <w:p w:rsidR="00346ABF" w:rsidRDefault="00346ABF" w:rsidP="003518DF">
      <w:pPr>
        <w:rPr>
          <w:rFonts w:ascii="Mangal" w:hAnsi="Mangal" w:cs="Mangal"/>
          <w:color w:val="3B3835"/>
          <w:sz w:val="28"/>
          <w:szCs w:val="28"/>
          <w:shd w:val="clear" w:color="auto" w:fill="EEEEEE"/>
        </w:rPr>
      </w:pPr>
    </w:p>
    <w:p w:rsidR="00346ABF" w:rsidRDefault="00346ABF" w:rsidP="003518DF">
      <w:pPr>
        <w:rPr>
          <w:rFonts w:ascii="Mangal" w:hAnsi="Mangal" w:cs="Mangal"/>
          <w:color w:val="3B3835"/>
          <w:sz w:val="24"/>
          <w:szCs w:val="24"/>
          <w:shd w:val="clear" w:color="auto" w:fill="EEEEEE"/>
        </w:rPr>
      </w:pPr>
    </w:p>
    <w:p w:rsidR="00A0672B" w:rsidRDefault="00A0672B" w:rsidP="003518DF">
      <w:pPr>
        <w:rPr>
          <w:rFonts w:ascii="Mangal" w:hAnsi="Mangal" w:cs="Mangal"/>
          <w:color w:val="3B3835"/>
          <w:sz w:val="24"/>
          <w:szCs w:val="24"/>
          <w:shd w:val="clear" w:color="auto" w:fill="EEEEEE"/>
        </w:rPr>
      </w:pPr>
    </w:p>
    <w:p w:rsidR="00721EF6" w:rsidRPr="00346ABF" w:rsidRDefault="00181CEA" w:rsidP="003518DF">
      <w:pPr>
        <w:rPr>
          <w:rFonts w:ascii="Mangal" w:hAnsi="Mangal" w:cs="Mangal"/>
          <w:sz w:val="28"/>
          <w:szCs w:val="28"/>
          <w:shd w:val="clear" w:color="auto" w:fill="EEEEEE"/>
        </w:rPr>
      </w:pPr>
      <w:r w:rsidRPr="00346ABF">
        <w:rPr>
          <w:rFonts w:ascii="Mangal" w:hAnsi="Mangal" w:cs="Mangal"/>
          <w:sz w:val="28"/>
          <w:szCs w:val="28"/>
          <w:shd w:val="clear" w:color="auto" w:fill="EEEEEE"/>
        </w:rPr>
        <w:t>Question</w:t>
      </w:r>
      <w:proofErr w:type="gramStart"/>
      <w:r w:rsidRPr="00346ABF">
        <w:rPr>
          <w:rFonts w:ascii="Mangal" w:hAnsi="Mangal" w:cs="Mangal"/>
          <w:sz w:val="28"/>
          <w:szCs w:val="28"/>
          <w:shd w:val="clear" w:color="auto" w:fill="EEEEEE"/>
        </w:rPr>
        <w:t>:-</w:t>
      </w:r>
      <w:proofErr w:type="gramEnd"/>
      <w:r w:rsidRPr="00346ABF">
        <w:rPr>
          <w:rFonts w:ascii="Mangal" w:hAnsi="Mangal" w:cs="Mangal"/>
          <w:sz w:val="28"/>
          <w:szCs w:val="28"/>
          <w:shd w:val="clear" w:color="auto" w:fill="EEEEEE"/>
        </w:rPr>
        <w:t xml:space="preserve"> If the offence is punishable under the Protection of Children from Sexual Offences Act, 2012 (hereinafter referred as 'the POCSO Act')and also under the Scheduled Caste/Scheduled Tribes (Prevention of Atrocities) Act, 1989, (hereinafter referred as '</w:t>
      </w:r>
      <w:proofErr w:type="spellStart"/>
      <w:r w:rsidRPr="00346ABF">
        <w:rPr>
          <w:rFonts w:ascii="Mangal" w:hAnsi="Mangal" w:cs="Mangal"/>
          <w:sz w:val="28"/>
          <w:szCs w:val="28"/>
          <w:shd w:val="clear" w:color="auto" w:fill="EEEEEE"/>
        </w:rPr>
        <w:t>PoA</w:t>
      </w:r>
      <w:proofErr w:type="spellEnd"/>
      <w:r w:rsidRPr="00346ABF">
        <w:rPr>
          <w:rFonts w:ascii="Mangal" w:hAnsi="Mangal" w:cs="Mangal"/>
          <w:sz w:val="28"/>
          <w:szCs w:val="28"/>
          <w:shd w:val="clear" w:color="auto" w:fill="EEEEEE"/>
        </w:rPr>
        <w:t xml:space="preserve"> SC/ST Act') which Special Court will have jurisdiction to try such offences? </w:t>
      </w:r>
    </w:p>
    <w:p w:rsidR="00181CEA" w:rsidRPr="00346ABF" w:rsidRDefault="00181CEA" w:rsidP="003518DF">
      <w:pPr>
        <w:rPr>
          <w:rFonts w:ascii="Mangal" w:hAnsi="Mangal" w:cs="Mangal"/>
          <w:sz w:val="28"/>
          <w:szCs w:val="28"/>
          <w:shd w:val="clear" w:color="auto" w:fill="EEEEEE"/>
        </w:rPr>
      </w:pPr>
    </w:p>
    <w:p w:rsidR="004B588B" w:rsidRPr="00346ABF" w:rsidRDefault="00181CEA" w:rsidP="003518DF">
      <w:pPr>
        <w:rPr>
          <w:rFonts w:ascii="Mangal" w:hAnsi="Mangal" w:cs="Mangal"/>
          <w:sz w:val="28"/>
          <w:szCs w:val="28"/>
        </w:rPr>
      </w:pPr>
      <w:r w:rsidRPr="00346ABF">
        <w:rPr>
          <w:rFonts w:ascii="Mangal" w:hAnsi="Mangal" w:cs="Mangal"/>
          <w:sz w:val="28"/>
          <w:szCs w:val="28"/>
        </w:rPr>
        <w:t>Answer</w:t>
      </w:r>
      <w:proofErr w:type="gramStart"/>
      <w:r w:rsidRPr="00346ABF">
        <w:rPr>
          <w:rFonts w:ascii="Mangal" w:hAnsi="Mangal" w:cs="Mangal"/>
          <w:sz w:val="28"/>
          <w:szCs w:val="28"/>
        </w:rPr>
        <w:t>:-</w:t>
      </w:r>
      <w:proofErr w:type="gramEnd"/>
      <w:r w:rsidRPr="00346ABF">
        <w:rPr>
          <w:rFonts w:ascii="Mangal" w:hAnsi="Mangal" w:cs="Mangal"/>
          <w:sz w:val="28"/>
          <w:szCs w:val="28"/>
        </w:rPr>
        <w:t xml:space="preserve"> When two statutes having non- obstante clause, under such circumstances which statute would have overriding effect would be decided on the bas</w:t>
      </w:r>
      <w:r w:rsidR="004B588B" w:rsidRPr="00346ABF">
        <w:rPr>
          <w:rFonts w:ascii="Mangal" w:hAnsi="Mangal" w:cs="Mangal"/>
          <w:sz w:val="28"/>
          <w:szCs w:val="28"/>
        </w:rPr>
        <w:t xml:space="preserve">is of the purpose of statutes. </w:t>
      </w:r>
    </w:p>
    <w:p w:rsidR="00181CEA" w:rsidRPr="00346ABF" w:rsidRDefault="00181CEA" w:rsidP="003518DF">
      <w:pPr>
        <w:rPr>
          <w:rFonts w:ascii="Mangal" w:hAnsi="Mangal" w:cs="Mangal"/>
          <w:sz w:val="28"/>
          <w:szCs w:val="28"/>
        </w:rPr>
      </w:pPr>
      <w:r w:rsidRPr="00346ABF">
        <w:rPr>
          <w:rFonts w:ascii="Mangal" w:hAnsi="Mangal" w:cs="Mangal"/>
          <w:sz w:val="28"/>
          <w:szCs w:val="28"/>
        </w:rPr>
        <w:t xml:space="preserve">A perusal of both the enactments would show that POSCO Act is a self contained legislature which was introduced with a view to protect the children from the offences of sexual assault, harassment, pornography and other allied offences. It was introduced with number of safeguards to the children at every stage of the proceedings by incorporating a child friendly procedure with effect from 20.06.2012 giving an overriding effect to the provisions of the </w:t>
      </w:r>
      <w:proofErr w:type="spellStart"/>
      <w:r w:rsidRPr="00346ABF">
        <w:rPr>
          <w:rFonts w:ascii="Mangal" w:hAnsi="Mangal" w:cs="Mangal"/>
          <w:sz w:val="28"/>
          <w:szCs w:val="28"/>
        </w:rPr>
        <w:t>PoA</w:t>
      </w:r>
      <w:proofErr w:type="spellEnd"/>
      <w:r w:rsidRPr="00346ABF">
        <w:rPr>
          <w:rFonts w:ascii="Mangal" w:hAnsi="Mangal" w:cs="Mangal"/>
          <w:sz w:val="28"/>
          <w:szCs w:val="28"/>
        </w:rPr>
        <w:t xml:space="preserve"> to SC/ST Act (Section 42A</w:t>
      </w:r>
      <w:proofErr w:type="gramStart"/>
      <w:r w:rsidRPr="00346ABF">
        <w:rPr>
          <w:rFonts w:ascii="Mangal" w:hAnsi="Mangal" w:cs="Mangal"/>
          <w:sz w:val="28"/>
          <w:szCs w:val="28"/>
        </w:rPr>
        <w:t>) ,</w:t>
      </w:r>
      <w:proofErr w:type="gramEnd"/>
      <w:r w:rsidRPr="00346ABF">
        <w:rPr>
          <w:rFonts w:ascii="Mangal" w:hAnsi="Mangal" w:cs="Mangal"/>
          <w:sz w:val="28"/>
          <w:szCs w:val="28"/>
        </w:rPr>
        <w:t xml:space="preserve"> though the legislature was aware about the existence of non- obstante clause in Section 20 of the </w:t>
      </w:r>
      <w:proofErr w:type="spellStart"/>
      <w:r w:rsidRPr="00346ABF">
        <w:rPr>
          <w:rFonts w:ascii="Mangal" w:hAnsi="Mangal" w:cs="Mangal"/>
          <w:sz w:val="28"/>
          <w:szCs w:val="28"/>
        </w:rPr>
        <w:t>PoA</w:t>
      </w:r>
      <w:proofErr w:type="spellEnd"/>
      <w:r w:rsidRPr="00346ABF">
        <w:rPr>
          <w:rFonts w:ascii="Mangal" w:hAnsi="Mangal" w:cs="Mangal"/>
          <w:sz w:val="28"/>
          <w:szCs w:val="28"/>
        </w:rPr>
        <w:t xml:space="preserve"> to SC/ST Act. 10</w:t>
      </w:r>
    </w:p>
    <w:p w:rsidR="00181CEA" w:rsidRPr="00346ABF" w:rsidRDefault="00181CEA" w:rsidP="003518DF">
      <w:pPr>
        <w:rPr>
          <w:rFonts w:ascii="Mangal" w:hAnsi="Mangal" w:cs="Mangal"/>
          <w:b/>
          <w:sz w:val="28"/>
          <w:szCs w:val="28"/>
          <w:u w:val="single"/>
        </w:rPr>
      </w:pPr>
    </w:p>
    <w:p w:rsidR="00346ABF" w:rsidRDefault="00346ABF" w:rsidP="003518DF">
      <w:pPr>
        <w:rPr>
          <w:rFonts w:ascii="Mangal" w:hAnsi="Mangal" w:cs="Mangal"/>
          <w:sz w:val="28"/>
          <w:szCs w:val="28"/>
        </w:rPr>
      </w:pPr>
    </w:p>
    <w:p w:rsidR="004B588B" w:rsidRPr="00346ABF" w:rsidRDefault="004B588B" w:rsidP="003518DF">
      <w:pPr>
        <w:rPr>
          <w:rFonts w:ascii="Mangal" w:hAnsi="Mangal" w:cs="Mangal"/>
          <w:sz w:val="28"/>
          <w:szCs w:val="28"/>
        </w:rPr>
      </w:pPr>
      <w:r w:rsidRPr="00346ABF">
        <w:rPr>
          <w:rFonts w:ascii="Mangal" w:hAnsi="Mangal" w:cs="Mangal"/>
          <w:sz w:val="28"/>
          <w:szCs w:val="28"/>
        </w:rPr>
        <w:t xml:space="preserve">Question:-Whether a Sessions Judge is competent to take cognizance of the offence under the Act without the case being </w:t>
      </w:r>
      <w:proofErr w:type="gramStart"/>
      <w:r w:rsidRPr="00346ABF">
        <w:rPr>
          <w:rFonts w:ascii="Mangal" w:hAnsi="Mangal" w:cs="Mangal"/>
          <w:sz w:val="28"/>
          <w:szCs w:val="28"/>
        </w:rPr>
        <w:t>committed</w:t>
      </w:r>
      <w:proofErr w:type="gramEnd"/>
      <w:r w:rsidRPr="00346ABF">
        <w:rPr>
          <w:rFonts w:ascii="Mangal" w:hAnsi="Mangal" w:cs="Mangal"/>
          <w:sz w:val="28"/>
          <w:szCs w:val="28"/>
        </w:rPr>
        <w:t xml:space="preserve"> by a Competent Magistrate? </w:t>
      </w:r>
    </w:p>
    <w:p w:rsidR="004B588B" w:rsidRPr="00346ABF" w:rsidRDefault="004B588B" w:rsidP="003518DF">
      <w:pPr>
        <w:rPr>
          <w:rFonts w:ascii="Mangal" w:hAnsi="Mangal" w:cs="Mangal"/>
          <w:sz w:val="28"/>
          <w:szCs w:val="28"/>
        </w:rPr>
      </w:pPr>
    </w:p>
    <w:p w:rsidR="004B588B" w:rsidRPr="00346ABF" w:rsidRDefault="004B588B" w:rsidP="003518DF">
      <w:pPr>
        <w:rPr>
          <w:rFonts w:ascii="Mangal" w:hAnsi="Mangal" w:cs="Mangal"/>
          <w:sz w:val="28"/>
          <w:szCs w:val="28"/>
        </w:rPr>
      </w:pPr>
      <w:r w:rsidRPr="00346ABF">
        <w:rPr>
          <w:rFonts w:ascii="Mangal" w:hAnsi="Mangal" w:cs="Mangal"/>
          <w:sz w:val="28"/>
          <w:szCs w:val="28"/>
        </w:rPr>
        <w:t xml:space="preserve">Answer:- </w:t>
      </w:r>
      <w:proofErr w:type="spellStart"/>
      <w:r w:rsidRPr="00346ABF">
        <w:rPr>
          <w:rFonts w:ascii="Mangal" w:hAnsi="Mangal" w:cs="Mangal"/>
          <w:sz w:val="28"/>
          <w:szCs w:val="28"/>
        </w:rPr>
        <w:t>Hon'ble</w:t>
      </w:r>
      <w:proofErr w:type="spellEnd"/>
      <w:r w:rsidRPr="00346ABF">
        <w:rPr>
          <w:rFonts w:ascii="Mangal" w:hAnsi="Mangal" w:cs="Mangal"/>
          <w:sz w:val="28"/>
          <w:szCs w:val="28"/>
        </w:rPr>
        <w:t xml:space="preserve"> Apex Court in the case of </w:t>
      </w:r>
      <w:proofErr w:type="spellStart"/>
      <w:r w:rsidRPr="00346ABF">
        <w:rPr>
          <w:rFonts w:ascii="Mangal" w:hAnsi="Mangal" w:cs="Mangal"/>
          <w:sz w:val="28"/>
          <w:szCs w:val="28"/>
        </w:rPr>
        <w:t>Rattiram</w:t>
      </w:r>
      <w:proofErr w:type="spellEnd"/>
      <w:r w:rsidRPr="00346ABF">
        <w:rPr>
          <w:rFonts w:ascii="Mangal" w:hAnsi="Mangal" w:cs="Mangal"/>
          <w:sz w:val="28"/>
          <w:szCs w:val="28"/>
        </w:rPr>
        <w:t xml:space="preserve"> Vs. State of M.P., reported in AIR 2012 SC 1485 (FB), while dealing with  of the pre-amended </w:t>
      </w:r>
      <w:proofErr w:type="spellStart"/>
      <w:r w:rsidRPr="00346ABF">
        <w:rPr>
          <w:rFonts w:ascii="Mangal" w:hAnsi="Mangal" w:cs="Mangal"/>
          <w:sz w:val="28"/>
          <w:szCs w:val="28"/>
        </w:rPr>
        <w:t>PoA</w:t>
      </w:r>
      <w:proofErr w:type="spellEnd"/>
      <w:r w:rsidRPr="00346ABF">
        <w:rPr>
          <w:rFonts w:ascii="Mangal" w:hAnsi="Mangal" w:cs="Mangal"/>
          <w:sz w:val="28"/>
          <w:szCs w:val="28"/>
        </w:rPr>
        <w:t xml:space="preserve"> SC/ST Act has held that Court of Session is not empowered to take cognizance directly without case being committed to it by Magistrate. It is further held that the objection relating to non- compliance of Section 193 of the Code, which eventually has resulted in directly entertaining and taking cognizance by the Special Judge under </w:t>
      </w:r>
      <w:proofErr w:type="spellStart"/>
      <w:r w:rsidRPr="00346ABF">
        <w:rPr>
          <w:rFonts w:ascii="Mangal" w:hAnsi="Mangal" w:cs="Mangal"/>
          <w:sz w:val="28"/>
          <w:szCs w:val="28"/>
        </w:rPr>
        <w:t>PoA</w:t>
      </w:r>
      <w:proofErr w:type="spellEnd"/>
      <w:r w:rsidRPr="00346ABF">
        <w:rPr>
          <w:rFonts w:ascii="Mangal" w:hAnsi="Mangal" w:cs="Mangal"/>
          <w:sz w:val="28"/>
          <w:szCs w:val="28"/>
        </w:rPr>
        <w:t xml:space="preserve"> SC/ST Act does not vitiate the trial and on the said ground alone, the conviction cannot be set aside or there cannot be a direction of retrial. </w:t>
      </w:r>
    </w:p>
    <w:p w:rsidR="004B588B" w:rsidRPr="00346ABF" w:rsidRDefault="004B588B" w:rsidP="003518DF">
      <w:pPr>
        <w:rPr>
          <w:rFonts w:ascii="Mangal" w:hAnsi="Mangal" w:cs="Mangal"/>
          <w:sz w:val="28"/>
          <w:szCs w:val="28"/>
        </w:rPr>
      </w:pPr>
      <w:r w:rsidRPr="00346ABF">
        <w:rPr>
          <w:rFonts w:ascii="Mangal" w:hAnsi="Mangal" w:cs="Mangal"/>
          <w:sz w:val="28"/>
          <w:szCs w:val="28"/>
        </w:rPr>
        <w:t xml:space="preserve">But as per Second Proviso of the Section 14(1) of the </w:t>
      </w:r>
      <w:proofErr w:type="spellStart"/>
      <w:r w:rsidRPr="00346ABF">
        <w:rPr>
          <w:rFonts w:ascii="Mangal" w:hAnsi="Mangal" w:cs="Mangal"/>
          <w:sz w:val="28"/>
          <w:szCs w:val="28"/>
        </w:rPr>
        <w:t>PoA</w:t>
      </w:r>
      <w:proofErr w:type="spellEnd"/>
      <w:r w:rsidRPr="00346ABF">
        <w:rPr>
          <w:rFonts w:ascii="Mangal" w:hAnsi="Mangal" w:cs="Mangal"/>
          <w:sz w:val="28"/>
          <w:szCs w:val="28"/>
        </w:rPr>
        <w:t xml:space="preserve"> to SC/ST Act, Special Court or Exclusive Court is empowered to take cognizance directly without case being committed to it. </w:t>
      </w:r>
    </w:p>
    <w:p w:rsidR="004B588B" w:rsidRDefault="004B588B" w:rsidP="003518DF">
      <w:pPr>
        <w:rPr>
          <w:rFonts w:ascii="Mangal" w:hAnsi="Mangal" w:cs="Mangal"/>
          <w:b/>
          <w:sz w:val="28"/>
          <w:szCs w:val="28"/>
          <w:u w:val="single"/>
        </w:rPr>
      </w:pPr>
    </w:p>
    <w:p w:rsidR="00346ABF" w:rsidRDefault="00346ABF" w:rsidP="003518DF">
      <w:pPr>
        <w:rPr>
          <w:rFonts w:ascii="Mangal" w:hAnsi="Mangal" w:cs="Mangal"/>
          <w:b/>
          <w:sz w:val="28"/>
          <w:szCs w:val="28"/>
          <w:u w:val="single"/>
        </w:rPr>
      </w:pPr>
    </w:p>
    <w:p w:rsidR="00346ABF" w:rsidRDefault="00346ABF" w:rsidP="003518DF">
      <w:pPr>
        <w:rPr>
          <w:rFonts w:ascii="Mangal" w:hAnsi="Mangal" w:cs="Mangal"/>
          <w:b/>
          <w:sz w:val="28"/>
          <w:szCs w:val="28"/>
          <w:u w:val="single"/>
        </w:rPr>
      </w:pPr>
    </w:p>
    <w:p w:rsidR="00346ABF" w:rsidRPr="00346ABF" w:rsidRDefault="00346ABF" w:rsidP="003518DF">
      <w:pPr>
        <w:rPr>
          <w:rFonts w:ascii="Mangal" w:hAnsi="Mangal" w:cs="Mangal"/>
          <w:b/>
          <w:sz w:val="28"/>
          <w:szCs w:val="28"/>
          <w:u w:val="single"/>
        </w:rPr>
      </w:pPr>
    </w:p>
    <w:p w:rsidR="004B588B" w:rsidRPr="00346ABF" w:rsidRDefault="00346ABF" w:rsidP="003518DF">
      <w:pPr>
        <w:rPr>
          <w:rFonts w:ascii="Mangal" w:hAnsi="Mangal" w:cs="Mangal"/>
          <w:sz w:val="28"/>
          <w:szCs w:val="28"/>
        </w:rPr>
      </w:pPr>
      <w:r>
        <w:rPr>
          <w:rFonts w:ascii="Mangal" w:hAnsi="Mangal" w:cs="Mangal"/>
          <w:sz w:val="28"/>
          <w:szCs w:val="28"/>
        </w:rPr>
        <w:t>Question -</w:t>
      </w:r>
      <w:r w:rsidR="004B588B" w:rsidRPr="00346ABF">
        <w:rPr>
          <w:rFonts w:ascii="Mangal" w:hAnsi="Mangal" w:cs="Mangal"/>
          <w:sz w:val="28"/>
          <w:szCs w:val="28"/>
        </w:rPr>
        <w:t xml:space="preserve"> Whether Court can entertain an application for </w:t>
      </w:r>
      <w:proofErr w:type="gramStart"/>
      <w:r w:rsidR="004B588B" w:rsidRPr="00346ABF">
        <w:rPr>
          <w:rFonts w:ascii="Mangal" w:hAnsi="Mangal" w:cs="Mangal"/>
          <w:sz w:val="28"/>
          <w:szCs w:val="28"/>
        </w:rPr>
        <w:t>anticipatory</w:t>
      </w:r>
      <w:proofErr w:type="gramEnd"/>
      <w:r w:rsidR="004B588B" w:rsidRPr="00346ABF">
        <w:rPr>
          <w:rFonts w:ascii="Mangal" w:hAnsi="Mangal" w:cs="Mangal"/>
          <w:sz w:val="28"/>
          <w:szCs w:val="28"/>
        </w:rPr>
        <w:t xml:space="preserve"> bail, if it prima facie finds that such an offence is not made out? </w:t>
      </w:r>
    </w:p>
    <w:p w:rsidR="004B588B" w:rsidRPr="00346ABF" w:rsidRDefault="00346ABF" w:rsidP="003518DF">
      <w:pPr>
        <w:rPr>
          <w:rFonts w:ascii="Mangal" w:hAnsi="Mangal" w:cs="Mangal"/>
          <w:sz w:val="24"/>
          <w:szCs w:val="24"/>
        </w:rPr>
      </w:pPr>
      <w:proofErr w:type="gramStart"/>
      <w:r>
        <w:rPr>
          <w:rFonts w:ascii="Mangal" w:hAnsi="Mangal" w:cs="Mangal"/>
          <w:sz w:val="28"/>
          <w:szCs w:val="28"/>
        </w:rPr>
        <w:t xml:space="preserve">Answer </w:t>
      </w:r>
      <w:r w:rsidRPr="00346ABF">
        <w:rPr>
          <w:rFonts w:ascii="Mangal" w:hAnsi="Mangal" w:cs="Mangal"/>
          <w:sz w:val="24"/>
          <w:szCs w:val="24"/>
        </w:rPr>
        <w:t>:</w:t>
      </w:r>
      <w:proofErr w:type="gramEnd"/>
      <w:r w:rsidRPr="00346ABF">
        <w:rPr>
          <w:rFonts w:ascii="Mangal" w:hAnsi="Mangal" w:cs="Mangal"/>
          <w:sz w:val="24"/>
          <w:szCs w:val="24"/>
        </w:rPr>
        <w:t xml:space="preserve"> As per sec- 18 of the Act. Section 438 of the Code not to apply to persons committing an offence under the Act.—Nothing in section 438 of the Code shall apply in relation to any case involving the arrest of any person on an accusation of having committed an offence under this Act.</w:t>
      </w:r>
    </w:p>
    <w:p w:rsidR="004B588B" w:rsidRPr="00346ABF" w:rsidRDefault="00346ABF" w:rsidP="003518DF">
      <w:pPr>
        <w:rPr>
          <w:rFonts w:ascii="Mangal" w:hAnsi="Mangal" w:cs="Mangal"/>
          <w:sz w:val="24"/>
          <w:szCs w:val="24"/>
        </w:rPr>
      </w:pPr>
      <w:r w:rsidRPr="00346ABF">
        <w:rPr>
          <w:rFonts w:ascii="Mangal" w:hAnsi="Mangal" w:cs="Mangal"/>
          <w:sz w:val="24"/>
          <w:szCs w:val="24"/>
        </w:rPr>
        <w:t xml:space="preserve">The </w:t>
      </w:r>
      <w:r w:rsidR="004B588B" w:rsidRPr="00346ABF">
        <w:rPr>
          <w:rFonts w:ascii="Mangal" w:hAnsi="Mangal" w:cs="Mangal"/>
          <w:sz w:val="24"/>
          <w:szCs w:val="24"/>
        </w:rPr>
        <w:t xml:space="preserve"> decision of the Orissa High Court in </w:t>
      </w:r>
      <w:proofErr w:type="spellStart"/>
      <w:r w:rsidR="004B588B" w:rsidRPr="00346ABF">
        <w:rPr>
          <w:rFonts w:ascii="Mangal" w:hAnsi="Mangal" w:cs="Mangal"/>
          <w:sz w:val="24"/>
          <w:szCs w:val="24"/>
        </w:rPr>
        <w:t>Ramesh</w:t>
      </w:r>
      <w:proofErr w:type="spellEnd"/>
      <w:r w:rsidR="004B588B" w:rsidRPr="00346ABF">
        <w:rPr>
          <w:rFonts w:ascii="Mangal" w:hAnsi="Mangal" w:cs="Mangal"/>
          <w:sz w:val="24"/>
          <w:szCs w:val="24"/>
        </w:rPr>
        <w:t xml:space="preserve"> Prasad </w:t>
      </w:r>
      <w:proofErr w:type="spellStart"/>
      <w:r w:rsidR="004B588B" w:rsidRPr="00346ABF">
        <w:rPr>
          <w:rFonts w:ascii="Mangal" w:hAnsi="Mangal" w:cs="Mangal"/>
          <w:sz w:val="24"/>
          <w:szCs w:val="24"/>
        </w:rPr>
        <w:t>Bhanja</w:t>
      </w:r>
      <w:proofErr w:type="spellEnd"/>
      <w:r w:rsidR="004B588B" w:rsidRPr="00346ABF">
        <w:rPr>
          <w:rFonts w:ascii="Mangal" w:hAnsi="Mangal" w:cs="Mangal"/>
          <w:sz w:val="24"/>
          <w:szCs w:val="24"/>
        </w:rPr>
        <w:t xml:space="preserve"> v. State of Orissa, 1996 Cri LJ 2743, have held that in spite of the specific bar under Section 438 of the Code, the Courts are empowered to grant anticipatory bail to the accused. </w:t>
      </w:r>
    </w:p>
    <w:p w:rsidR="004B588B" w:rsidRPr="00346ABF" w:rsidRDefault="004B588B" w:rsidP="003518DF">
      <w:pPr>
        <w:rPr>
          <w:rFonts w:ascii="Mangal" w:hAnsi="Mangal" w:cs="Mangal"/>
          <w:sz w:val="24"/>
          <w:szCs w:val="24"/>
        </w:rPr>
      </w:pPr>
      <w:r w:rsidRPr="00346ABF">
        <w:rPr>
          <w:rFonts w:ascii="Mangal" w:hAnsi="Mangal" w:cs="Mangal"/>
          <w:sz w:val="24"/>
          <w:szCs w:val="24"/>
        </w:rPr>
        <w:t xml:space="preserve">Considering above referred ratios, </w:t>
      </w:r>
      <w:proofErr w:type="spellStart"/>
      <w:r w:rsidRPr="00346ABF">
        <w:rPr>
          <w:rFonts w:ascii="Mangal" w:hAnsi="Mangal" w:cs="Mangal"/>
          <w:sz w:val="24"/>
          <w:szCs w:val="24"/>
        </w:rPr>
        <w:t>Bachu</w:t>
      </w:r>
      <w:proofErr w:type="spellEnd"/>
      <w:r w:rsidRPr="00346ABF">
        <w:rPr>
          <w:rFonts w:ascii="Mangal" w:hAnsi="Mangal" w:cs="Mangal"/>
          <w:sz w:val="24"/>
          <w:szCs w:val="24"/>
        </w:rPr>
        <w:t xml:space="preserve"> Das v. State of Bihar, reported in AIR 2014 SC (Supp) 1317 has held that:- </w:t>
      </w:r>
    </w:p>
    <w:p w:rsidR="004B588B" w:rsidRPr="00346ABF" w:rsidRDefault="004B588B" w:rsidP="003518DF">
      <w:pPr>
        <w:rPr>
          <w:rFonts w:ascii="Mangal" w:hAnsi="Mangal" w:cs="Mangal"/>
          <w:sz w:val="24"/>
          <w:szCs w:val="24"/>
        </w:rPr>
      </w:pPr>
      <w:r w:rsidRPr="00346ABF">
        <w:rPr>
          <w:rFonts w:ascii="Mangal" w:hAnsi="Mangal" w:cs="Mangal"/>
          <w:sz w:val="24"/>
          <w:szCs w:val="24"/>
        </w:rPr>
        <w:t>While considering the application for bail, scope for appreciation of evidence and other material on record is limited. Court is not expected to indulge in critical analysis of the evidence on record. When a provision has been enacted in the Special Act to protect the persons who belong to the Scheduled Castes and the Scheduled Tribes and a bar has been imposed in granting bail under Section 438 of the Code, the provision in the Special Act cannot be easily brushed aside by elaborate discussion on the evidence. 24</w:t>
      </w:r>
    </w:p>
    <w:p w:rsidR="004B588B" w:rsidRPr="00346ABF" w:rsidRDefault="004B588B" w:rsidP="004B588B">
      <w:pPr>
        <w:shd w:val="clear" w:color="auto" w:fill="EEEEEE"/>
        <w:spacing w:after="0" w:line="240" w:lineRule="auto"/>
        <w:ind w:left="720"/>
        <w:rPr>
          <w:rFonts w:ascii="Mangal" w:hAnsi="Mangal" w:cs="Mangal"/>
          <w:sz w:val="24"/>
          <w:szCs w:val="24"/>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346ABF" w:rsidRDefault="00346ABF" w:rsidP="004B588B">
      <w:pPr>
        <w:shd w:val="clear" w:color="auto" w:fill="EEEEEE"/>
        <w:spacing w:after="0" w:line="240" w:lineRule="auto"/>
        <w:ind w:left="720"/>
        <w:rPr>
          <w:rFonts w:ascii="Helvetica" w:hAnsi="Helvetica" w:cs="Helvetica"/>
          <w:color w:val="3B3835"/>
          <w:sz w:val="21"/>
          <w:szCs w:val="21"/>
        </w:rPr>
      </w:pPr>
    </w:p>
    <w:p w:rsidR="004B588B" w:rsidRPr="00346ABF" w:rsidRDefault="004B588B" w:rsidP="00346ABF">
      <w:pPr>
        <w:rPr>
          <w:rFonts w:ascii="Mangal" w:hAnsi="Mangal" w:cs="Mangal"/>
          <w:sz w:val="28"/>
          <w:szCs w:val="28"/>
        </w:rPr>
      </w:pPr>
      <w:r w:rsidRPr="00346ABF">
        <w:rPr>
          <w:rFonts w:ascii="Mangal" w:hAnsi="Mangal" w:cs="Mangal"/>
          <w:sz w:val="28"/>
          <w:szCs w:val="28"/>
        </w:rPr>
        <w:t>Question</w:t>
      </w:r>
      <w:proofErr w:type="gramStart"/>
      <w:r w:rsidRPr="00346ABF">
        <w:rPr>
          <w:rFonts w:ascii="Mangal" w:hAnsi="Mangal" w:cs="Mangal"/>
          <w:sz w:val="28"/>
          <w:szCs w:val="28"/>
        </w:rPr>
        <w:t>:-</w:t>
      </w:r>
      <w:proofErr w:type="gramEnd"/>
      <w:r w:rsidRPr="00346ABF">
        <w:rPr>
          <w:rFonts w:ascii="Mangal" w:hAnsi="Mangal" w:cs="Mangal"/>
          <w:sz w:val="28"/>
          <w:szCs w:val="28"/>
        </w:rPr>
        <w:t xml:space="preserve"> Whether by change of religion, person would cease to be member of SC/ST? </w:t>
      </w:r>
    </w:p>
    <w:p w:rsidR="004B588B" w:rsidRPr="00346ABF" w:rsidRDefault="004B588B" w:rsidP="00346ABF">
      <w:pPr>
        <w:rPr>
          <w:rFonts w:ascii="Mangal" w:hAnsi="Mangal" w:cs="Mangal"/>
          <w:sz w:val="28"/>
          <w:szCs w:val="28"/>
        </w:rPr>
      </w:pPr>
    </w:p>
    <w:p w:rsidR="004B588B" w:rsidRPr="00346ABF" w:rsidRDefault="004B588B" w:rsidP="00346ABF">
      <w:pPr>
        <w:rPr>
          <w:rFonts w:ascii="Mangal" w:hAnsi="Mangal" w:cs="Mangal"/>
          <w:sz w:val="28"/>
          <w:szCs w:val="28"/>
        </w:rPr>
      </w:pPr>
      <w:r w:rsidRPr="00346ABF">
        <w:rPr>
          <w:rFonts w:ascii="Mangal" w:hAnsi="Mangal" w:cs="Mangal"/>
          <w:sz w:val="28"/>
          <w:szCs w:val="28"/>
        </w:rPr>
        <w:t xml:space="preserve">Answer: - No. The question whether he ceases to be member thereof, must be determined by appropriate Court as such question would depend upon facts of each case. In such a situation, it has to be established that a person who has embraced another religion is still suffering from social disability and also following the customs and tradition of the community, which he earlier belonged to. </w:t>
      </w:r>
    </w:p>
    <w:p w:rsidR="004B588B" w:rsidRPr="00346ABF" w:rsidRDefault="004B588B" w:rsidP="00346ABF">
      <w:pPr>
        <w:rPr>
          <w:rFonts w:ascii="Mangal" w:hAnsi="Mangal" w:cs="Mangal"/>
          <w:sz w:val="28"/>
          <w:szCs w:val="28"/>
        </w:rPr>
      </w:pPr>
    </w:p>
    <w:p w:rsidR="004B588B" w:rsidRPr="00346ABF" w:rsidRDefault="004B588B" w:rsidP="00346ABF">
      <w:pPr>
        <w:rPr>
          <w:rFonts w:ascii="Mangal" w:hAnsi="Mangal" w:cs="Mangal"/>
          <w:sz w:val="28"/>
          <w:szCs w:val="28"/>
        </w:rPr>
      </w:pPr>
      <w:proofErr w:type="spellStart"/>
      <w:r w:rsidRPr="00346ABF">
        <w:rPr>
          <w:rFonts w:ascii="Mangal" w:hAnsi="Mangal" w:cs="Mangal"/>
          <w:sz w:val="28"/>
          <w:szCs w:val="28"/>
        </w:rPr>
        <w:t>Hon'ble</w:t>
      </w:r>
      <w:proofErr w:type="spellEnd"/>
      <w:r w:rsidRPr="00346ABF">
        <w:rPr>
          <w:rFonts w:ascii="Mangal" w:hAnsi="Mangal" w:cs="Mangal"/>
          <w:sz w:val="28"/>
          <w:szCs w:val="28"/>
        </w:rPr>
        <w:t xml:space="preserve"> Madras High Court in the case of </w:t>
      </w:r>
      <w:proofErr w:type="spellStart"/>
      <w:r w:rsidRPr="00346ABF">
        <w:rPr>
          <w:rFonts w:ascii="Mangal" w:hAnsi="Mangal" w:cs="Mangal"/>
          <w:sz w:val="28"/>
          <w:szCs w:val="28"/>
        </w:rPr>
        <w:t>Kaliya</w:t>
      </w:r>
      <w:proofErr w:type="spellEnd"/>
      <w:r w:rsidRPr="00346ABF">
        <w:rPr>
          <w:rFonts w:ascii="Mangal" w:hAnsi="Mangal" w:cs="Mangal"/>
          <w:sz w:val="28"/>
          <w:szCs w:val="28"/>
        </w:rPr>
        <w:t xml:space="preserve"> </w:t>
      </w:r>
      <w:proofErr w:type="spellStart"/>
      <w:r w:rsidRPr="00346ABF">
        <w:rPr>
          <w:rFonts w:ascii="Mangal" w:hAnsi="Mangal" w:cs="Mangal"/>
          <w:sz w:val="28"/>
          <w:szCs w:val="28"/>
        </w:rPr>
        <w:t>Perumal</w:t>
      </w:r>
      <w:proofErr w:type="spellEnd"/>
      <w:r w:rsidRPr="00346ABF">
        <w:rPr>
          <w:rFonts w:ascii="Mangal" w:hAnsi="Mangal" w:cs="Mangal"/>
          <w:sz w:val="28"/>
          <w:szCs w:val="28"/>
        </w:rPr>
        <w:t xml:space="preserve"> v. State, reported in 1998 </w:t>
      </w:r>
      <w:proofErr w:type="spellStart"/>
      <w:r w:rsidRPr="00346ABF">
        <w:rPr>
          <w:rFonts w:ascii="Mangal" w:hAnsi="Mangal" w:cs="Mangal"/>
          <w:sz w:val="28"/>
          <w:szCs w:val="28"/>
        </w:rPr>
        <w:t>CrLJ</w:t>
      </w:r>
      <w:proofErr w:type="spellEnd"/>
      <w:r w:rsidRPr="00346ABF">
        <w:rPr>
          <w:rFonts w:ascii="Mangal" w:hAnsi="Mangal" w:cs="Mangal"/>
          <w:sz w:val="28"/>
          <w:szCs w:val="28"/>
        </w:rPr>
        <w:t xml:space="preserve"> 1467 has held that:- </w:t>
      </w:r>
    </w:p>
    <w:p w:rsidR="004B588B" w:rsidRPr="00346ABF" w:rsidRDefault="004B588B" w:rsidP="00346ABF">
      <w:pPr>
        <w:rPr>
          <w:rFonts w:ascii="Mangal" w:hAnsi="Mangal" w:cs="Mangal"/>
          <w:sz w:val="28"/>
          <w:szCs w:val="28"/>
        </w:rPr>
      </w:pPr>
    </w:p>
    <w:p w:rsidR="004B588B" w:rsidRPr="00346ABF" w:rsidRDefault="004B588B" w:rsidP="00346ABF">
      <w:pPr>
        <w:rPr>
          <w:rFonts w:ascii="Mangal" w:hAnsi="Mangal" w:cs="Mangal"/>
          <w:sz w:val="28"/>
          <w:szCs w:val="28"/>
        </w:rPr>
      </w:pPr>
      <w:r w:rsidRPr="00346ABF">
        <w:rPr>
          <w:rFonts w:ascii="Mangal" w:hAnsi="Mangal" w:cs="Mangal"/>
          <w:sz w:val="28"/>
          <w:szCs w:val="28"/>
        </w:rPr>
        <w:t xml:space="preserve">When Complainant belonging to Scheduled Caste and marries to person belonging to O.B.C., such marriage does not create conversion of caste. Accused who was near relative of husband of complainant, scolded and insulted her by caste name, in such circumstances, Complainant would not </w:t>
      </w:r>
      <w:proofErr w:type="spellStart"/>
      <w:r w:rsidRPr="00346ABF">
        <w:rPr>
          <w:rFonts w:ascii="Mangal" w:hAnsi="Mangal" w:cs="Mangal"/>
          <w:sz w:val="28"/>
          <w:szCs w:val="28"/>
        </w:rPr>
        <w:t>loose</w:t>
      </w:r>
      <w:proofErr w:type="spellEnd"/>
      <w:r w:rsidRPr="00346ABF">
        <w:rPr>
          <w:rFonts w:ascii="Mangal" w:hAnsi="Mangal" w:cs="Mangal"/>
          <w:sz w:val="28"/>
          <w:szCs w:val="28"/>
        </w:rPr>
        <w:t xml:space="preserve"> her right of prosecution under </w:t>
      </w:r>
      <w:proofErr w:type="spellStart"/>
      <w:r w:rsidRPr="00346ABF">
        <w:rPr>
          <w:rFonts w:ascii="Mangal" w:hAnsi="Mangal" w:cs="Mangal"/>
          <w:sz w:val="28"/>
          <w:szCs w:val="28"/>
        </w:rPr>
        <w:t>PoA</w:t>
      </w:r>
      <w:proofErr w:type="spellEnd"/>
      <w:r w:rsidRPr="00346ABF">
        <w:rPr>
          <w:rFonts w:ascii="Mangal" w:hAnsi="Mangal" w:cs="Mangal"/>
          <w:sz w:val="28"/>
          <w:szCs w:val="28"/>
        </w:rPr>
        <w:t xml:space="preserve"> SC/ST Act, merely because she has married relative of the accused, who belong to OBC. 37</w:t>
      </w:r>
    </w:p>
    <w:p w:rsidR="004B588B" w:rsidRPr="00346ABF" w:rsidRDefault="00C540F7" w:rsidP="00346ABF">
      <w:pPr>
        <w:rPr>
          <w:rFonts w:ascii="Mangal" w:hAnsi="Mangal" w:cs="Mangal"/>
          <w:b/>
          <w:sz w:val="28"/>
          <w:szCs w:val="28"/>
          <w:u w:val="single"/>
        </w:rPr>
      </w:pPr>
      <w:r w:rsidRPr="00346ABF">
        <w:rPr>
          <w:rFonts w:ascii="Mangal" w:hAnsi="Mangal" w:cs="Mangal"/>
          <w:b/>
          <w:sz w:val="28"/>
          <w:szCs w:val="28"/>
          <w:u w:val="single"/>
        </w:rPr>
        <w:lastRenderedPageBreak/>
        <w:t xml:space="preserve"> </w:t>
      </w:r>
    </w:p>
    <w:p w:rsidR="00C540F7" w:rsidRDefault="00C540F7" w:rsidP="009F1202">
      <w:pPr>
        <w:rPr>
          <w:b/>
          <w:u w:val="single"/>
        </w:rPr>
      </w:pPr>
    </w:p>
    <w:p w:rsidR="00C540F7" w:rsidRDefault="00C540F7" w:rsidP="009F1202">
      <w:pPr>
        <w:rPr>
          <w:b/>
          <w:u w:val="single"/>
        </w:rPr>
      </w:pPr>
    </w:p>
    <w:p w:rsidR="003518DF" w:rsidRDefault="003518DF" w:rsidP="009F1202"/>
    <w:sectPr w:rsidR="003518DF" w:rsidSect="007E305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B477F"/>
    <w:multiLevelType w:val="multilevel"/>
    <w:tmpl w:val="3014C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921242"/>
    <w:multiLevelType w:val="multilevel"/>
    <w:tmpl w:val="D76CC6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06257855"/>
    <w:multiLevelType w:val="multilevel"/>
    <w:tmpl w:val="6DD62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784051"/>
    <w:multiLevelType w:val="multilevel"/>
    <w:tmpl w:val="250CA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0501E2"/>
    <w:multiLevelType w:val="hybridMultilevel"/>
    <w:tmpl w:val="EC54F7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B434A61"/>
    <w:multiLevelType w:val="multilevel"/>
    <w:tmpl w:val="5CBAC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7558D8"/>
    <w:multiLevelType w:val="hybridMultilevel"/>
    <w:tmpl w:val="EFF4207A"/>
    <w:lvl w:ilvl="0" w:tplc="40090001">
      <w:start w:val="1"/>
      <w:numFmt w:val="bullet"/>
      <w:lvlText w:val=""/>
      <w:lvlJc w:val="left"/>
      <w:pPr>
        <w:ind w:left="750" w:hanging="360"/>
      </w:pPr>
      <w:rPr>
        <w:rFonts w:ascii="Symbol" w:hAnsi="Symbol" w:hint="default"/>
      </w:rPr>
    </w:lvl>
    <w:lvl w:ilvl="1" w:tplc="40090003" w:tentative="1">
      <w:start w:val="1"/>
      <w:numFmt w:val="bullet"/>
      <w:lvlText w:val="o"/>
      <w:lvlJc w:val="left"/>
      <w:pPr>
        <w:ind w:left="1470" w:hanging="360"/>
      </w:pPr>
      <w:rPr>
        <w:rFonts w:ascii="Courier New" w:hAnsi="Courier New" w:cs="Courier New" w:hint="default"/>
      </w:rPr>
    </w:lvl>
    <w:lvl w:ilvl="2" w:tplc="40090005" w:tentative="1">
      <w:start w:val="1"/>
      <w:numFmt w:val="bullet"/>
      <w:lvlText w:val=""/>
      <w:lvlJc w:val="left"/>
      <w:pPr>
        <w:ind w:left="2190" w:hanging="360"/>
      </w:pPr>
      <w:rPr>
        <w:rFonts w:ascii="Wingdings" w:hAnsi="Wingdings" w:hint="default"/>
      </w:rPr>
    </w:lvl>
    <w:lvl w:ilvl="3" w:tplc="40090001" w:tentative="1">
      <w:start w:val="1"/>
      <w:numFmt w:val="bullet"/>
      <w:lvlText w:val=""/>
      <w:lvlJc w:val="left"/>
      <w:pPr>
        <w:ind w:left="2910" w:hanging="360"/>
      </w:pPr>
      <w:rPr>
        <w:rFonts w:ascii="Symbol" w:hAnsi="Symbol" w:hint="default"/>
      </w:rPr>
    </w:lvl>
    <w:lvl w:ilvl="4" w:tplc="40090003" w:tentative="1">
      <w:start w:val="1"/>
      <w:numFmt w:val="bullet"/>
      <w:lvlText w:val="o"/>
      <w:lvlJc w:val="left"/>
      <w:pPr>
        <w:ind w:left="3630" w:hanging="360"/>
      </w:pPr>
      <w:rPr>
        <w:rFonts w:ascii="Courier New" w:hAnsi="Courier New" w:cs="Courier New" w:hint="default"/>
      </w:rPr>
    </w:lvl>
    <w:lvl w:ilvl="5" w:tplc="40090005" w:tentative="1">
      <w:start w:val="1"/>
      <w:numFmt w:val="bullet"/>
      <w:lvlText w:val=""/>
      <w:lvlJc w:val="left"/>
      <w:pPr>
        <w:ind w:left="4350" w:hanging="360"/>
      </w:pPr>
      <w:rPr>
        <w:rFonts w:ascii="Wingdings" w:hAnsi="Wingdings" w:hint="default"/>
      </w:rPr>
    </w:lvl>
    <w:lvl w:ilvl="6" w:tplc="40090001" w:tentative="1">
      <w:start w:val="1"/>
      <w:numFmt w:val="bullet"/>
      <w:lvlText w:val=""/>
      <w:lvlJc w:val="left"/>
      <w:pPr>
        <w:ind w:left="5070" w:hanging="360"/>
      </w:pPr>
      <w:rPr>
        <w:rFonts w:ascii="Symbol" w:hAnsi="Symbol" w:hint="default"/>
      </w:rPr>
    </w:lvl>
    <w:lvl w:ilvl="7" w:tplc="40090003" w:tentative="1">
      <w:start w:val="1"/>
      <w:numFmt w:val="bullet"/>
      <w:lvlText w:val="o"/>
      <w:lvlJc w:val="left"/>
      <w:pPr>
        <w:ind w:left="5790" w:hanging="360"/>
      </w:pPr>
      <w:rPr>
        <w:rFonts w:ascii="Courier New" w:hAnsi="Courier New" w:cs="Courier New" w:hint="default"/>
      </w:rPr>
    </w:lvl>
    <w:lvl w:ilvl="8" w:tplc="40090005" w:tentative="1">
      <w:start w:val="1"/>
      <w:numFmt w:val="bullet"/>
      <w:lvlText w:val=""/>
      <w:lvlJc w:val="left"/>
      <w:pPr>
        <w:ind w:left="6510" w:hanging="360"/>
      </w:pPr>
      <w:rPr>
        <w:rFonts w:ascii="Wingdings" w:hAnsi="Wingdings" w:hint="default"/>
      </w:rPr>
    </w:lvl>
  </w:abstractNum>
  <w:abstractNum w:abstractNumId="7">
    <w:nsid w:val="13387C8E"/>
    <w:multiLevelType w:val="multilevel"/>
    <w:tmpl w:val="6C848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F83124"/>
    <w:multiLevelType w:val="multilevel"/>
    <w:tmpl w:val="03F8B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762AA6"/>
    <w:multiLevelType w:val="multilevel"/>
    <w:tmpl w:val="A76AF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DE3177"/>
    <w:multiLevelType w:val="multilevel"/>
    <w:tmpl w:val="AB94E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962F71"/>
    <w:multiLevelType w:val="hybridMultilevel"/>
    <w:tmpl w:val="8C483B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A340B93"/>
    <w:multiLevelType w:val="hybridMultilevel"/>
    <w:tmpl w:val="2D8497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ABE4FF1"/>
    <w:multiLevelType w:val="hybridMultilevel"/>
    <w:tmpl w:val="0EB20D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CBD6296"/>
    <w:multiLevelType w:val="multilevel"/>
    <w:tmpl w:val="D52C7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3752EF1"/>
    <w:multiLevelType w:val="hybridMultilevel"/>
    <w:tmpl w:val="B66601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44A24E3B"/>
    <w:multiLevelType w:val="multilevel"/>
    <w:tmpl w:val="DAAE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933044"/>
    <w:multiLevelType w:val="multilevel"/>
    <w:tmpl w:val="6A1A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8E33655"/>
    <w:multiLevelType w:val="multilevel"/>
    <w:tmpl w:val="173A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8B358B"/>
    <w:multiLevelType w:val="hybridMultilevel"/>
    <w:tmpl w:val="CBEA86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66673F22"/>
    <w:multiLevelType w:val="multilevel"/>
    <w:tmpl w:val="5AA4C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9FF1F05"/>
    <w:multiLevelType w:val="hybridMultilevel"/>
    <w:tmpl w:val="9732DE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6D4B1A2C"/>
    <w:multiLevelType w:val="multilevel"/>
    <w:tmpl w:val="7C4A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12E5062"/>
    <w:multiLevelType w:val="hybridMultilevel"/>
    <w:tmpl w:val="263671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10"/>
  </w:num>
  <w:num w:numId="4">
    <w:abstractNumId w:val="2"/>
  </w:num>
  <w:num w:numId="5">
    <w:abstractNumId w:val="3"/>
  </w:num>
  <w:num w:numId="6">
    <w:abstractNumId w:val="8"/>
  </w:num>
  <w:num w:numId="7">
    <w:abstractNumId w:val="22"/>
  </w:num>
  <w:num w:numId="8">
    <w:abstractNumId w:val="16"/>
  </w:num>
  <w:num w:numId="9">
    <w:abstractNumId w:val="11"/>
  </w:num>
  <w:num w:numId="10">
    <w:abstractNumId w:val="0"/>
  </w:num>
  <w:num w:numId="11">
    <w:abstractNumId w:val="23"/>
  </w:num>
  <w:num w:numId="12">
    <w:abstractNumId w:val="13"/>
  </w:num>
  <w:num w:numId="13">
    <w:abstractNumId w:val="18"/>
  </w:num>
  <w:num w:numId="14">
    <w:abstractNumId w:val="9"/>
  </w:num>
  <w:num w:numId="15">
    <w:abstractNumId w:val="5"/>
  </w:num>
  <w:num w:numId="16">
    <w:abstractNumId w:val="20"/>
  </w:num>
  <w:num w:numId="17">
    <w:abstractNumId w:val="7"/>
  </w:num>
  <w:num w:numId="18">
    <w:abstractNumId w:val="1"/>
  </w:num>
  <w:num w:numId="19">
    <w:abstractNumId w:val="19"/>
  </w:num>
  <w:num w:numId="20">
    <w:abstractNumId w:val="6"/>
  </w:num>
  <w:num w:numId="21">
    <w:abstractNumId w:val="4"/>
  </w:num>
  <w:num w:numId="22">
    <w:abstractNumId w:val="15"/>
  </w:num>
  <w:num w:numId="23">
    <w:abstractNumId w:val="12"/>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E1564"/>
    <w:rsid w:val="000D54E9"/>
    <w:rsid w:val="001425E6"/>
    <w:rsid w:val="00151B6F"/>
    <w:rsid w:val="00181CEA"/>
    <w:rsid w:val="001B5E56"/>
    <w:rsid w:val="002451C4"/>
    <w:rsid w:val="00276058"/>
    <w:rsid w:val="00346ABF"/>
    <w:rsid w:val="003518DF"/>
    <w:rsid w:val="00361C72"/>
    <w:rsid w:val="004B588B"/>
    <w:rsid w:val="004F6A5A"/>
    <w:rsid w:val="00593ED3"/>
    <w:rsid w:val="005B2296"/>
    <w:rsid w:val="00721EF6"/>
    <w:rsid w:val="00767CD6"/>
    <w:rsid w:val="007C1917"/>
    <w:rsid w:val="007D1B77"/>
    <w:rsid w:val="007E3059"/>
    <w:rsid w:val="008E1564"/>
    <w:rsid w:val="00971B44"/>
    <w:rsid w:val="009F1202"/>
    <w:rsid w:val="00A04BA5"/>
    <w:rsid w:val="00A0672B"/>
    <w:rsid w:val="00A74B6A"/>
    <w:rsid w:val="00B1171B"/>
    <w:rsid w:val="00BD6871"/>
    <w:rsid w:val="00C540F7"/>
    <w:rsid w:val="00C541D6"/>
    <w:rsid w:val="00CC2EDE"/>
    <w:rsid w:val="00D7160B"/>
    <w:rsid w:val="00E2548D"/>
    <w:rsid w:val="00E65D7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059"/>
  </w:style>
  <w:style w:type="paragraph" w:styleId="Heading1">
    <w:name w:val="heading 1"/>
    <w:basedOn w:val="Normal"/>
    <w:next w:val="Normal"/>
    <w:link w:val="Heading1Char"/>
    <w:uiPriority w:val="9"/>
    <w:qFormat/>
    <w:rsid w:val="008E15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E15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E15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F120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156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E1564"/>
    <w:rPr>
      <w:rFonts w:ascii="Times New Roman" w:eastAsia="Times New Roman" w:hAnsi="Times New Roman" w:cs="Times New Roman"/>
      <w:b/>
      <w:bCs/>
      <w:sz w:val="27"/>
      <w:szCs w:val="27"/>
    </w:rPr>
  </w:style>
  <w:style w:type="character" w:customStyle="1" w:styleId="mw-headline">
    <w:name w:val="mw-headline"/>
    <w:basedOn w:val="DefaultParagraphFont"/>
    <w:rsid w:val="008E1564"/>
  </w:style>
  <w:style w:type="character" w:customStyle="1" w:styleId="mw-editsection">
    <w:name w:val="mw-editsection"/>
    <w:basedOn w:val="DefaultParagraphFont"/>
    <w:rsid w:val="008E1564"/>
  </w:style>
  <w:style w:type="character" w:customStyle="1" w:styleId="mw-editsection-bracket">
    <w:name w:val="mw-editsection-bracket"/>
    <w:basedOn w:val="DefaultParagraphFont"/>
    <w:rsid w:val="008E1564"/>
  </w:style>
  <w:style w:type="character" w:styleId="Hyperlink">
    <w:name w:val="Hyperlink"/>
    <w:basedOn w:val="DefaultParagraphFont"/>
    <w:uiPriority w:val="99"/>
    <w:unhideWhenUsed/>
    <w:rsid w:val="008E1564"/>
    <w:rPr>
      <w:color w:val="0000FF"/>
      <w:u w:val="single"/>
    </w:rPr>
  </w:style>
  <w:style w:type="paragraph" w:styleId="NormalWeb">
    <w:name w:val="Normal (Web)"/>
    <w:basedOn w:val="Normal"/>
    <w:uiPriority w:val="99"/>
    <w:semiHidden/>
    <w:unhideWhenUsed/>
    <w:rsid w:val="008E15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E1564"/>
    <w:rPr>
      <w:rFonts w:asciiTheme="majorHAnsi" w:eastAsiaTheme="majorEastAsia" w:hAnsiTheme="majorHAnsi" w:cstheme="majorBidi"/>
      <w:b/>
      <w:bCs/>
      <w:color w:val="365F91" w:themeColor="accent1" w:themeShade="BF"/>
      <w:sz w:val="28"/>
      <w:szCs w:val="28"/>
    </w:rPr>
  </w:style>
  <w:style w:type="character" w:customStyle="1" w:styleId="posted-on">
    <w:name w:val="posted-on"/>
    <w:basedOn w:val="DefaultParagraphFont"/>
    <w:rsid w:val="00276058"/>
  </w:style>
  <w:style w:type="character" w:customStyle="1" w:styleId="sep">
    <w:name w:val="sep"/>
    <w:basedOn w:val="DefaultParagraphFont"/>
    <w:rsid w:val="00276058"/>
  </w:style>
  <w:style w:type="character" w:customStyle="1" w:styleId="author">
    <w:name w:val="author"/>
    <w:basedOn w:val="DefaultParagraphFont"/>
    <w:rsid w:val="00276058"/>
  </w:style>
  <w:style w:type="character" w:styleId="Emphasis">
    <w:name w:val="Emphasis"/>
    <w:basedOn w:val="DefaultParagraphFont"/>
    <w:uiPriority w:val="20"/>
    <w:qFormat/>
    <w:rsid w:val="00276058"/>
    <w:rPr>
      <w:i/>
      <w:iCs/>
    </w:rPr>
  </w:style>
  <w:style w:type="paragraph" w:styleId="ListParagraph">
    <w:name w:val="List Paragraph"/>
    <w:basedOn w:val="Normal"/>
    <w:uiPriority w:val="34"/>
    <w:qFormat/>
    <w:rsid w:val="009F1202"/>
    <w:pPr>
      <w:ind w:left="720"/>
      <w:contextualSpacing/>
    </w:pPr>
  </w:style>
  <w:style w:type="paragraph" w:styleId="NoSpacing">
    <w:name w:val="No Spacing"/>
    <w:uiPriority w:val="1"/>
    <w:qFormat/>
    <w:rsid w:val="009F1202"/>
    <w:pPr>
      <w:spacing w:after="0" w:line="240" w:lineRule="auto"/>
    </w:pPr>
  </w:style>
  <w:style w:type="character" w:customStyle="1" w:styleId="Heading4Char">
    <w:name w:val="Heading 4 Char"/>
    <w:basedOn w:val="DefaultParagraphFont"/>
    <w:link w:val="Heading4"/>
    <w:uiPriority w:val="9"/>
    <w:semiHidden/>
    <w:rsid w:val="009F1202"/>
    <w:rPr>
      <w:rFonts w:asciiTheme="majorHAnsi" w:eastAsiaTheme="majorEastAsia" w:hAnsiTheme="majorHAnsi" w:cstheme="majorBidi"/>
      <w:b/>
      <w:bCs/>
      <w:i/>
      <w:iCs/>
      <w:color w:val="4F81BD" w:themeColor="accent1"/>
    </w:rPr>
  </w:style>
  <w:style w:type="paragraph" w:customStyle="1" w:styleId="selectionshareable">
    <w:name w:val="selectionshareable"/>
    <w:basedOn w:val="Normal"/>
    <w:rsid w:val="00A04B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7286095">
      <w:bodyDiv w:val="1"/>
      <w:marLeft w:val="0"/>
      <w:marRight w:val="0"/>
      <w:marTop w:val="0"/>
      <w:marBottom w:val="0"/>
      <w:divBdr>
        <w:top w:val="none" w:sz="0" w:space="0" w:color="auto"/>
        <w:left w:val="none" w:sz="0" w:space="0" w:color="auto"/>
        <w:bottom w:val="none" w:sz="0" w:space="0" w:color="auto"/>
        <w:right w:val="none" w:sz="0" w:space="0" w:color="auto"/>
      </w:divBdr>
    </w:div>
    <w:div w:id="111826035">
      <w:bodyDiv w:val="1"/>
      <w:marLeft w:val="0"/>
      <w:marRight w:val="0"/>
      <w:marTop w:val="0"/>
      <w:marBottom w:val="0"/>
      <w:divBdr>
        <w:top w:val="none" w:sz="0" w:space="0" w:color="auto"/>
        <w:left w:val="none" w:sz="0" w:space="0" w:color="auto"/>
        <w:bottom w:val="none" w:sz="0" w:space="0" w:color="auto"/>
        <w:right w:val="none" w:sz="0" w:space="0" w:color="auto"/>
      </w:divBdr>
    </w:div>
    <w:div w:id="242304270">
      <w:bodyDiv w:val="1"/>
      <w:marLeft w:val="0"/>
      <w:marRight w:val="0"/>
      <w:marTop w:val="0"/>
      <w:marBottom w:val="0"/>
      <w:divBdr>
        <w:top w:val="none" w:sz="0" w:space="0" w:color="auto"/>
        <w:left w:val="none" w:sz="0" w:space="0" w:color="auto"/>
        <w:bottom w:val="none" w:sz="0" w:space="0" w:color="auto"/>
        <w:right w:val="none" w:sz="0" w:space="0" w:color="auto"/>
      </w:divBdr>
    </w:div>
    <w:div w:id="525950230">
      <w:bodyDiv w:val="1"/>
      <w:marLeft w:val="0"/>
      <w:marRight w:val="0"/>
      <w:marTop w:val="0"/>
      <w:marBottom w:val="0"/>
      <w:divBdr>
        <w:top w:val="none" w:sz="0" w:space="0" w:color="auto"/>
        <w:left w:val="none" w:sz="0" w:space="0" w:color="auto"/>
        <w:bottom w:val="none" w:sz="0" w:space="0" w:color="auto"/>
        <w:right w:val="none" w:sz="0" w:space="0" w:color="auto"/>
      </w:divBdr>
    </w:div>
    <w:div w:id="560559917">
      <w:bodyDiv w:val="1"/>
      <w:marLeft w:val="0"/>
      <w:marRight w:val="0"/>
      <w:marTop w:val="0"/>
      <w:marBottom w:val="0"/>
      <w:divBdr>
        <w:top w:val="none" w:sz="0" w:space="0" w:color="auto"/>
        <w:left w:val="none" w:sz="0" w:space="0" w:color="auto"/>
        <w:bottom w:val="none" w:sz="0" w:space="0" w:color="auto"/>
        <w:right w:val="none" w:sz="0" w:space="0" w:color="auto"/>
      </w:divBdr>
    </w:div>
    <w:div w:id="896818799">
      <w:bodyDiv w:val="1"/>
      <w:marLeft w:val="0"/>
      <w:marRight w:val="0"/>
      <w:marTop w:val="0"/>
      <w:marBottom w:val="0"/>
      <w:divBdr>
        <w:top w:val="none" w:sz="0" w:space="0" w:color="auto"/>
        <w:left w:val="none" w:sz="0" w:space="0" w:color="auto"/>
        <w:bottom w:val="none" w:sz="0" w:space="0" w:color="auto"/>
        <w:right w:val="none" w:sz="0" w:space="0" w:color="auto"/>
      </w:divBdr>
      <w:divsChild>
        <w:div w:id="1599367197">
          <w:marLeft w:val="0"/>
          <w:marRight w:val="0"/>
          <w:marTop w:val="204"/>
          <w:marBottom w:val="204"/>
          <w:divBdr>
            <w:top w:val="none" w:sz="0" w:space="0" w:color="auto"/>
            <w:left w:val="none" w:sz="0" w:space="0" w:color="auto"/>
            <w:bottom w:val="none" w:sz="0" w:space="0" w:color="auto"/>
            <w:right w:val="none" w:sz="0" w:space="0" w:color="auto"/>
          </w:divBdr>
        </w:div>
        <w:div w:id="1403092048">
          <w:marLeft w:val="0"/>
          <w:marRight w:val="0"/>
          <w:marTop w:val="0"/>
          <w:marBottom w:val="408"/>
          <w:divBdr>
            <w:top w:val="none" w:sz="0" w:space="0" w:color="auto"/>
            <w:left w:val="none" w:sz="0" w:space="0" w:color="auto"/>
            <w:bottom w:val="none" w:sz="0" w:space="0" w:color="auto"/>
            <w:right w:val="none" w:sz="0" w:space="0" w:color="auto"/>
          </w:divBdr>
        </w:div>
      </w:divsChild>
    </w:div>
    <w:div w:id="1020937809">
      <w:bodyDiv w:val="1"/>
      <w:marLeft w:val="0"/>
      <w:marRight w:val="0"/>
      <w:marTop w:val="0"/>
      <w:marBottom w:val="0"/>
      <w:divBdr>
        <w:top w:val="none" w:sz="0" w:space="0" w:color="auto"/>
        <w:left w:val="none" w:sz="0" w:space="0" w:color="auto"/>
        <w:bottom w:val="none" w:sz="0" w:space="0" w:color="auto"/>
        <w:right w:val="none" w:sz="0" w:space="0" w:color="auto"/>
      </w:divBdr>
    </w:div>
    <w:div w:id="1298024260">
      <w:bodyDiv w:val="1"/>
      <w:marLeft w:val="0"/>
      <w:marRight w:val="0"/>
      <w:marTop w:val="0"/>
      <w:marBottom w:val="0"/>
      <w:divBdr>
        <w:top w:val="none" w:sz="0" w:space="0" w:color="auto"/>
        <w:left w:val="none" w:sz="0" w:space="0" w:color="auto"/>
        <w:bottom w:val="none" w:sz="0" w:space="0" w:color="auto"/>
        <w:right w:val="none" w:sz="0" w:space="0" w:color="auto"/>
      </w:divBdr>
    </w:div>
    <w:div w:id="1412773421">
      <w:bodyDiv w:val="1"/>
      <w:marLeft w:val="0"/>
      <w:marRight w:val="0"/>
      <w:marTop w:val="0"/>
      <w:marBottom w:val="0"/>
      <w:divBdr>
        <w:top w:val="none" w:sz="0" w:space="0" w:color="auto"/>
        <w:left w:val="none" w:sz="0" w:space="0" w:color="auto"/>
        <w:bottom w:val="none" w:sz="0" w:space="0" w:color="auto"/>
        <w:right w:val="none" w:sz="0" w:space="0" w:color="auto"/>
      </w:divBdr>
    </w:div>
    <w:div w:id="1418593869">
      <w:bodyDiv w:val="1"/>
      <w:marLeft w:val="0"/>
      <w:marRight w:val="0"/>
      <w:marTop w:val="0"/>
      <w:marBottom w:val="0"/>
      <w:divBdr>
        <w:top w:val="none" w:sz="0" w:space="0" w:color="auto"/>
        <w:left w:val="none" w:sz="0" w:space="0" w:color="auto"/>
        <w:bottom w:val="none" w:sz="0" w:space="0" w:color="auto"/>
        <w:right w:val="none" w:sz="0" w:space="0" w:color="auto"/>
      </w:divBdr>
    </w:div>
    <w:div w:id="1765224844">
      <w:bodyDiv w:val="1"/>
      <w:marLeft w:val="0"/>
      <w:marRight w:val="0"/>
      <w:marTop w:val="0"/>
      <w:marBottom w:val="0"/>
      <w:divBdr>
        <w:top w:val="none" w:sz="0" w:space="0" w:color="auto"/>
        <w:left w:val="none" w:sz="0" w:space="0" w:color="auto"/>
        <w:bottom w:val="none" w:sz="0" w:space="0" w:color="auto"/>
        <w:right w:val="none" w:sz="0" w:space="0" w:color="auto"/>
      </w:divBdr>
      <w:divsChild>
        <w:div w:id="1897470755">
          <w:blockQuote w:val="1"/>
          <w:marLeft w:val="522"/>
          <w:marRight w:val="522"/>
          <w:marTop w:val="600"/>
          <w:marBottom w:val="570"/>
          <w:divBdr>
            <w:top w:val="none" w:sz="0" w:space="0" w:color="auto"/>
            <w:left w:val="none" w:sz="0" w:space="0" w:color="auto"/>
            <w:bottom w:val="none" w:sz="0" w:space="0" w:color="auto"/>
            <w:right w:val="none" w:sz="0" w:space="0" w:color="auto"/>
          </w:divBdr>
        </w:div>
      </w:divsChild>
    </w:div>
    <w:div w:id="1941643338">
      <w:bodyDiv w:val="1"/>
      <w:marLeft w:val="0"/>
      <w:marRight w:val="0"/>
      <w:marTop w:val="0"/>
      <w:marBottom w:val="0"/>
      <w:divBdr>
        <w:top w:val="none" w:sz="0" w:space="0" w:color="auto"/>
        <w:left w:val="none" w:sz="0" w:space="0" w:color="auto"/>
        <w:bottom w:val="none" w:sz="0" w:space="0" w:color="auto"/>
        <w:right w:val="none" w:sz="0" w:space="0" w:color="auto"/>
      </w:divBdr>
    </w:div>
    <w:div w:id="1983342025">
      <w:bodyDiv w:val="1"/>
      <w:marLeft w:val="0"/>
      <w:marRight w:val="0"/>
      <w:marTop w:val="0"/>
      <w:marBottom w:val="0"/>
      <w:divBdr>
        <w:top w:val="none" w:sz="0" w:space="0" w:color="auto"/>
        <w:left w:val="none" w:sz="0" w:space="0" w:color="auto"/>
        <w:bottom w:val="none" w:sz="0" w:space="0" w:color="auto"/>
        <w:right w:val="none" w:sz="0" w:space="0" w:color="auto"/>
      </w:divBdr>
    </w:div>
    <w:div w:id="210194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cialjustice.nic.in/pdf/PoA-amendmentact2015.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15</Pages>
  <Words>2248</Words>
  <Characters>12815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CLAP</dc:creator>
  <cp:keywords/>
  <dc:description/>
  <cp:lastModifiedBy>CLAP</cp:lastModifiedBy>
  <cp:revision>19</cp:revision>
  <cp:lastPrinted>2018-02-12T10:49:00Z</cp:lastPrinted>
  <dcterms:created xsi:type="dcterms:W3CDTF">2018-02-12T10:17:00Z</dcterms:created>
  <dcterms:modified xsi:type="dcterms:W3CDTF">2018-02-16T07:49:00Z</dcterms:modified>
</cp:coreProperties>
</file>