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36A4" w:rsidRDefault="004336A4">
      <w:bookmarkStart w:id="0" w:name="_GoBack"/>
      <w:bookmarkEnd w:id="0"/>
    </w:p>
    <w:p w:rsidR="004336A4" w:rsidRDefault="004336A4"/>
    <w:p w:rsidR="004336A4" w:rsidRDefault="004336A4"/>
    <w:p w:rsidR="004336A4" w:rsidRDefault="004D2402">
      <w:pPr>
        <w:rPr>
          <w:rFonts w:asciiTheme="minorHAnsi" w:hAnsiTheme="minorHAnsi"/>
          <w:sz w:val="24"/>
          <w:szCs w:val="24"/>
        </w:rPr>
      </w:pPr>
      <w:r>
        <w:rPr>
          <w:rFonts w:asciiTheme="minorHAnsi" w:hAnsiTheme="minorHAnsi"/>
          <w:sz w:val="24"/>
          <w:szCs w:val="24"/>
        </w:rPr>
        <w:t>Terms and Conditions- Eligibility All direct sales employees including all levels are eligible for incentives from the day they join PCL (as specified in the policy). Incentive payouts are annual.</w:t>
      </w:r>
    </w:p>
    <w:p w:rsidR="004336A4" w:rsidRDefault="004336A4">
      <w:pPr>
        <w:rPr>
          <w:rFonts w:asciiTheme="minorHAnsi" w:hAnsiTheme="minorHAnsi"/>
          <w:sz w:val="24"/>
          <w:szCs w:val="24"/>
        </w:rPr>
      </w:pPr>
    </w:p>
    <w:p w:rsidR="004336A4" w:rsidRDefault="004336A4"/>
    <w:tbl>
      <w:tblPr>
        <w:tblW w:w="9026" w:type="dxa"/>
        <w:tblCellMar>
          <w:left w:w="0" w:type="dxa"/>
          <w:right w:w="0" w:type="dxa"/>
        </w:tblCellMar>
        <w:tblLook w:val="04A0" w:firstRow="1" w:lastRow="0" w:firstColumn="1" w:lastColumn="0" w:noHBand="0" w:noVBand="1"/>
      </w:tblPr>
      <w:tblGrid>
        <w:gridCol w:w="9026"/>
      </w:tblGrid>
      <w:tr w:rsidR="004336A4">
        <w:trPr>
          <w:trHeight w:val="255"/>
        </w:trPr>
        <w:tc>
          <w:tcPr>
            <w:tcW w:w="9026" w:type="dxa"/>
            <w:noWrap/>
            <w:tcMar>
              <w:top w:w="0" w:type="dxa"/>
              <w:left w:w="108" w:type="dxa"/>
              <w:bottom w:w="0" w:type="dxa"/>
              <w:right w:w="108" w:type="dxa"/>
            </w:tcMar>
            <w:hideMark/>
          </w:tcPr>
          <w:p w:rsidR="004336A4" w:rsidRDefault="004D2402">
            <w:pPr>
              <w:pStyle w:val="ListParagraph"/>
              <w:numPr>
                <w:ilvl w:val="0"/>
                <w:numId w:val="1"/>
              </w:numPr>
              <w:rPr>
                <w:rFonts w:asciiTheme="minorHAnsi" w:hAnsiTheme="minorHAnsi"/>
                <w:sz w:val="24"/>
                <w:szCs w:val="24"/>
              </w:rPr>
            </w:pPr>
            <w:r>
              <w:rPr>
                <w:rFonts w:asciiTheme="minorHAnsi" w:hAnsiTheme="minorHAnsi"/>
                <w:sz w:val="24"/>
                <w:szCs w:val="24"/>
              </w:rPr>
              <w:t xml:space="preserve">Evaluation of variable target achievement done at the end of year based on </w:t>
            </w:r>
            <w:r>
              <w:rPr>
                <w:rFonts w:asciiTheme="minorHAnsi" w:hAnsiTheme="minorHAnsi"/>
                <w:color w:val="FF0000"/>
                <w:sz w:val="24"/>
                <w:szCs w:val="24"/>
              </w:rPr>
              <w:t xml:space="preserve"> </w:t>
            </w:r>
            <w:r>
              <w:rPr>
                <w:rFonts w:asciiTheme="minorHAnsi" w:hAnsiTheme="minorHAnsi"/>
                <w:sz w:val="24"/>
                <w:szCs w:val="24"/>
              </w:rPr>
              <w:t xml:space="preserve">invoicing value for the clients that have gone live. </w:t>
            </w:r>
          </w:p>
        </w:tc>
      </w:tr>
      <w:tr w:rsidR="004336A4">
        <w:trPr>
          <w:trHeight w:val="255"/>
        </w:trPr>
        <w:tc>
          <w:tcPr>
            <w:tcW w:w="9026" w:type="dxa"/>
            <w:noWrap/>
            <w:tcMar>
              <w:top w:w="0" w:type="dxa"/>
              <w:left w:w="108" w:type="dxa"/>
              <w:bottom w:w="0" w:type="dxa"/>
              <w:right w:w="108" w:type="dxa"/>
            </w:tcMar>
            <w:hideMark/>
          </w:tcPr>
          <w:p w:rsidR="004336A4" w:rsidRDefault="004336A4">
            <w:pPr>
              <w:rPr>
                <w:rFonts w:asciiTheme="minorHAnsi" w:hAnsiTheme="minorHAnsi"/>
                <w:sz w:val="24"/>
                <w:szCs w:val="24"/>
              </w:rPr>
            </w:pPr>
          </w:p>
        </w:tc>
      </w:tr>
      <w:tr w:rsidR="004336A4">
        <w:trPr>
          <w:trHeight w:val="255"/>
        </w:trPr>
        <w:tc>
          <w:tcPr>
            <w:tcW w:w="9026" w:type="dxa"/>
            <w:noWrap/>
            <w:tcMar>
              <w:top w:w="0" w:type="dxa"/>
              <w:left w:w="108" w:type="dxa"/>
              <w:bottom w:w="0" w:type="dxa"/>
              <w:right w:w="108" w:type="dxa"/>
            </w:tcMar>
            <w:hideMark/>
          </w:tcPr>
          <w:p w:rsidR="004336A4" w:rsidRDefault="004D2402">
            <w:pPr>
              <w:pStyle w:val="ListParagraph"/>
              <w:numPr>
                <w:ilvl w:val="0"/>
                <w:numId w:val="1"/>
              </w:numPr>
              <w:rPr>
                <w:rFonts w:asciiTheme="minorHAnsi" w:hAnsiTheme="minorHAnsi"/>
                <w:sz w:val="24"/>
                <w:szCs w:val="24"/>
              </w:rPr>
            </w:pPr>
            <w:r>
              <w:rPr>
                <w:rFonts w:asciiTheme="minorHAnsi" w:hAnsiTheme="minorHAnsi"/>
                <w:sz w:val="24"/>
                <w:szCs w:val="24"/>
              </w:rPr>
              <w:t xml:space="preserve"> If achievement exceeds targets, then variable payout can be maximum up to 200% of the defined variable pay.</w:t>
            </w:r>
          </w:p>
          <w:p w:rsidR="004336A4" w:rsidRDefault="004336A4">
            <w:pPr>
              <w:ind w:left="810"/>
              <w:rPr>
                <w:rFonts w:asciiTheme="minorHAnsi" w:hAnsiTheme="minorHAnsi"/>
                <w:sz w:val="24"/>
                <w:szCs w:val="24"/>
              </w:rPr>
            </w:pPr>
          </w:p>
          <w:p w:rsidR="004336A4" w:rsidRDefault="004D2402">
            <w:pPr>
              <w:pStyle w:val="ListParagraph"/>
              <w:numPr>
                <w:ilvl w:val="0"/>
                <w:numId w:val="1"/>
              </w:numPr>
              <w:rPr>
                <w:rFonts w:asciiTheme="minorHAnsi" w:hAnsiTheme="minorHAnsi"/>
                <w:sz w:val="24"/>
                <w:szCs w:val="24"/>
              </w:rPr>
            </w:pPr>
            <w:r>
              <w:rPr>
                <w:rFonts w:asciiTheme="minorHAnsi" w:hAnsiTheme="minorHAnsi"/>
                <w:sz w:val="24"/>
                <w:szCs w:val="24"/>
              </w:rPr>
              <w:t xml:space="preserve"> Base achieve</w:t>
            </w:r>
            <w:r>
              <w:rPr>
                <w:rFonts w:asciiTheme="minorHAnsi" w:hAnsiTheme="minorHAnsi"/>
                <w:sz w:val="24"/>
                <w:szCs w:val="24"/>
              </w:rPr>
              <w:t>ment needs to be 60% of target for the year; else you will not be eligible for any variable pay.</w:t>
            </w:r>
          </w:p>
          <w:p w:rsidR="004336A4" w:rsidRDefault="004336A4">
            <w:pPr>
              <w:pStyle w:val="ListParagraph"/>
              <w:rPr>
                <w:rFonts w:asciiTheme="minorHAnsi" w:hAnsiTheme="minorHAnsi"/>
                <w:sz w:val="24"/>
                <w:szCs w:val="24"/>
              </w:rPr>
            </w:pPr>
          </w:p>
          <w:p w:rsidR="004336A4" w:rsidRDefault="004336A4">
            <w:pPr>
              <w:ind w:left="810"/>
              <w:rPr>
                <w:rFonts w:asciiTheme="minorHAnsi" w:hAnsiTheme="minorHAnsi"/>
                <w:sz w:val="24"/>
                <w:szCs w:val="24"/>
              </w:rPr>
            </w:pPr>
          </w:p>
        </w:tc>
      </w:tr>
      <w:tr w:rsidR="004336A4">
        <w:trPr>
          <w:trHeight w:val="255"/>
        </w:trPr>
        <w:tc>
          <w:tcPr>
            <w:tcW w:w="9026" w:type="dxa"/>
            <w:noWrap/>
            <w:tcMar>
              <w:top w:w="0" w:type="dxa"/>
              <w:left w:w="108" w:type="dxa"/>
              <w:bottom w:w="0" w:type="dxa"/>
              <w:right w:w="108" w:type="dxa"/>
            </w:tcMar>
            <w:hideMark/>
          </w:tcPr>
          <w:p w:rsidR="004336A4" w:rsidRDefault="004D2402">
            <w:pPr>
              <w:pStyle w:val="ListParagraph"/>
              <w:numPr>
                <w:ilvl w:val="0"/>
                <w:numId w:val="1"/>
              </w:numPr>
              <w:rPr>
                <w:rFonts w:asciiTheme="minorHAnsi" w:hAnsiTheme="minorHAnsi"/>
                <w:b/>
                <w:sz w:val="24"/>
                <w:szCs w:val="24"/>
                <w:highlight w:val="yellow"/>
              </w:rPr>
            </w:pPr>
            <w:r>
              <w:rPr>
                <w:rFonts w:asciiTheme="minorHAnsi" w:hAnsiTheme="minorHAnsi"/>
                <w:sz w:val="24"/>
                <w:szCs w:val="24"/>
                <w:highlight w:val="yellow"/>
              </w:rPr>
              <w:t>The business which is live as on the date of exit will be considered for payout of incentives.</w:t>
            </w:r>
          </w:p>
          <w:p w:rsidR="004336A4" w:rsidRDefault="004336A4">
            <w:pPr>
              <w:ind w:left="810"/>
              <w:rPr>
                <w:rFonts w:asciiTheme="minorHAnsi" w:hAnsiTheme="minorHAnsi"/>
                <w:b/>
                <w:sz w:val="24"/>
                <w:szCs w:val="24"/>
              </w:rPr>
            </w:pPr>
          </w:p>
          <w:p w:rsidR="004336A4" w:rsidRDefault="004D2402">
            <w:pPr>
              <w:pStyle w:val="ListParagraph"/>
              <w:numPr>
                <w:ilvl w:val="0"/>
                <w:numId w:val="1"/>
              </w:numPr>
              <w:rPr>
                <w:rFonts w:asciiTheme="minorHAnsi" w:hAnsiTheme="minorHAnsi"/>
                <w:b/>
                <w:sz w:val="24"/>
                <w:szCs w:val="24"/>
              </w:rPr>
            </w:pPr>
            <w:r>
              <w:rPr>
                <w:rFonts w:asciiTheme="minorHAnsi" w:hAnsiTheme="minorHAnsi"/>
                <w:sz w:val="24"/>
                <w:szCs w:val="24"/>
              </w:rPr>
              <w:t>Business that gets live in the next year</w:t>
            </w:r>
            <w:r>
              <w:rPr>
                <w:rFonts w:asciiTheme="minorHAnsi" w:hAnsiTheme="minorHAnsi"/>
                <w:sz w:val="24"/>
                <w:szCs w:val="24"/>
              </w:rPr>
              <w:t xml:space="preserve"> will be considered as a contribution to the next year’s target. Similarly business booked of the previous year which goes live in this year will be part of this year’s Target</w:t>
            </w:r>
            <w:r>
              <w:rPr>
                <w:rFonts w:asciiTheme="minorHAnsi" w:hAnsiTheme="minorHAnsi"/>
                <w:b/>
                <w:sz w:val="24"/>
                <w:szCs w:val="24"/>
              </w:rPr>
              <w:t>.</w:t>
            </w:r>
          </w:p>
          <w:p w:rsidR="004336A4" w:rsidRDefault="004336A4">
            <w:pPr>
              <w:ind w:left="810"/>
              <w:rPr>
                <w:rFonts w:asciiTheme="minorHAnsi" w:hAnsiTheme="minorHAnsi"/>
                <w:b/>
                <w:sz w:val="24"/>
                <w:szCs w:val="24"/>
              </w:rPr>
            </w:pPr>
          </w:p>
        </w:tc>
      </w:tr>
      <w:tr w:rsidR="004336A4">
        <w:trPr>
          <w:trHeight w:val="255"/>
        </w:trPr>
        <w:tc>
          <w:tcPr>
            <w:tcW w:w="9026" w:type="dxa"/>
            <w:noWrap/>
            <w:tcMar>
              <w:top w:w="0" w:type="dxa"/>
              <w:left w:w="108" w:type="dxa"/>
              <w:bottom w:w="0" w:type="dxa"/>
              <w:right w:w="108" w:type="dxa"/>
            </w:tcMar>
            <w:hideMark/>
          </w:tcPr>
          <w:p w:rsidR="004336A4" w:rsidRDefault="004336A4">
            <w:pPr>
              <w:ind w:left="810"/>
              <w:rPr>
                <w:rFonts w:asciiTheme="minorHAnsi" w:hAnsiTheme="minorHAnsi"/>
                <w:sz w:val="24"/>
                <w:szCs w:val="24"/>
              </w:rPr>
            </w:pPr>
          </w:p>
        </w:tc>
      </w:tr>
      <w:tr w:rsidR="004336A4">
        <w:trPr>
          <w:trHeight w:val="255"/>
        </w:trPr>
        <w:tc>
          <w:tcPr>
            <w:tcW w:w="9026" w:type="dxa"/>
            <w:noWrap/>
            <w:tcMar>
              <w:top w:w="0" w:type="dxa"/>
              <w:left w:w="108" w:type="dxa"/>
              <w:bottom w:w="0" w:type="dxa"/>
              <w:right w:w="108" w:type="dxa"/>
            </w:tcMar>
            <w:hideMark/>
          </w:tcPr>
          <w:p w:rsidR="004336A4" w:rsidRDefault="004D2402">
            <w:pPr>
              <w:pStyle w:val="ListParagraph"/>
              <w:numPr>
                <w:ilvl w:val="0"/>
                <w:numId w:val="1"/>
              </w:numPr>
              <w:rPr>
                <w:rFonts w:asciiTheme="minorHAnsi" w:hAnsiTheme="minorHAnsi"/>
                <w:sz w:val="24"/>
                <w:szCs w:val="24"/>
              </w:rPr>
            </w:pPr>
            <w:r>
              <w:rPr>
                <w:rFonts w:asciiTheme="minorHAnsi" w:hAnsiTheme="minorHAnsi"/>
                <w:sz w:val="24"/>
                <w:szCs w:val="24"/>
              </w:rPr>
              <w:t>Tax &amp; Deduction will be levied, as per govt. laws on the variable pay amoun</w:t>
            </w:r>
            <w:r>
              <w:rPr>
                <w:rFonts w:asciiTheme="minorHAnsi" w:hAnsiTheme="minorHAnsi"/>
                <w:sz w:val="24"/>
                <w:szCs w:val="24"/>
              </w:rPr>
              <w:t>ts to be paid to the employee.</w:t>
            </w:r>
          </w:p>
          <w:p w:rsidR="004336A4" w:rsidRDefault="004336A4">
            <w:pPr>
              <w:ind w:left="810"/>
              <w:rPr>
                <w:rFonts w:asciiTheme="minorHAnsi" w:hAnsiTheme="minorHAnsi"/>
                <w:sz w:val="24"/>
                <w:szCs w:val="24"/>
              </w:rPr>
            </w:pPr>
          </w:p>
        </w:tc>
      </w:tr>
      <w:tr w:rsidR="004336A4">
        <w:trPr>
          <w:trHeight w:val="255"/>
        </w:trPr>
        <w:tc>
          <w:tcPr>
            <w:tcW w:w="9026" w:type="dxa"/>
            <w:noWrap/>
            <w:tcMar>
              <w:top w:w="0" w:type="dxa"/>
              <w:left w:w="108" w:type="dxa"/>
              <w:bottom w:w="0" w:type="dxa"/>
              <w:right w:w="108" w:type="dxa"/>
            </w:tcMar>
            <w:hideMark/>
          </w:tcPr>
          <w:p w:rsidR="004336A4" w:rsidRDefault="004D2402">
            <w:pPr>
              <w:pStyle w:val="ListParagraph"/>
              <w:numPr>
                <w:ilvl w:val="0"/>
                <w:numId w:val="1"/>
              </w:numPr>
              <w:rPr>
                <w:rFonts w:asciiTheme="minorHAnsi" w:hAnsiTheme="minorHAnsi"/>
                <w:sz w:val="24"/>
                <w:szCs w:val="24"/>
              </w:rPr>
            </w:pPr>
            <w:r>
              <w:rPr>
                <w:rFonts w:asciiTheme="minorHAnsi" w:hAnsiTheme="minorHAnsi"/>
                <w:sz w:val="24"/>
                <w:szCs w:val="24"/>
              </w:rPr>
              <w:t>If there are client exits on account of operations failures, then these may be considered towards target achievement. The decision related to such cases will be taken by the management based on prevailing conditions.</w:t>
            </w:r>
          </w:p>
          <w:p w:rsidR="004336A4" w:rsidRDefault="004336A4">
            <w:pPr>
              <w:ind w:left="720"/>
              <w:rPr>
                <w:rFonts w:asciiTheme="minorHAnsi" w:hAnsiTheme="minorHAnsi"/>
                <w:sz w:val="24"/>
                <w:szCs w:val="24"/>
              </w:rPr>
            </w:pPr>
          </w:p>
        </w:tc>
      </w:tr>
    </w:tbl>
    <w:p w:rsidR="004336A4" w:rsidRDefault="004D2402">
      <w:pPr>
        <w:pStyle w:val="ListParagraph"/>
        <w:numPr>
          <w:ilvl w:val="0"/>
          <w:numId w:val="1"/>
        </w:numPr>
        <w:rPr>
          <w:rFonts w:asciiTheme="minorHAnsi" w:hAnsiTheme="minorHAnsi"/>
          <w:sz w:val="24"/>
          <w:szCs w:val="24"/>
        </w:rPr>
      </w:pPr>
      <w:r>
        <w:rPr>
          <w:rFonts w:asciiTheme="minorHAnsi" w:hAnsiTheme="minorHAnsi"/>
          <w:sz w:val="24"/>
          <w:szCs w:val="24"/>
        </w:rPr>
        <w:t xml:space="preserve"> Joi</w:t>
      </w:r>
      <w:r>
        <w:rPr>
          <w:rFonts w:asciiTheme="minorHAnsi" w:hAnsiTheme="minorHAnsi"/>
          <w:sz w:val="24"/>
          <w:szCs w:val="24"/>
        </w:rPr>
        <w:t>nt deals which are in multi locations and both the offices gets involved. – Sales representative where the client office is located would be getting 30 % of the shared incentive and 70% would be to the sales representative closing the deal.</w:t>
      </w:r>
    </w:p>
    <w:p w:rsidR="004336A4" w:rsidRDefault="004336A4">
      <w:pPr>
        <w:ind w:left="720"/>
        <w:rPr>
          <w:rFonts w:asciiTheme="minorHAnsi" w:hAnsiTheme="minorHAnsi"/>
          <w:b/>
          <w:sz w:val="24"/>
          <w:szCs w:val="24"/>
        </w:rPr>
      </w:pPr>
    </w:p>
    <w:p w:rsidR="004336A4" w:rsidRDefault="004D2402">
      <w:pPr>
        <w:pStyle w:val="ListParagraph"/>
        <w:numPr>
          <w:ilvl w:val="0"/>
          <w:numId w:val="1"/>
        </w:numPr>
        <w:rPr>
          <w:rFonts w:asciiTheme="minorHAnsi" w:hAnsiTheme="minorHAnsi"/>
          <w:sz w:val="24"/>
          <w:szCs w:val="24"/>
        </w:rPr>
      </w:pPr>
      <w:r>
        <w:rPr>
          <w:rFonts w:asciiTheme="minorHAnsi" w:hAnsiTheme="minorHAnsi"/>
          <w:sz w:val="24"/>
          <w:szCs w:val="24"/>
        </w:rPr>
        <w:t xml:space="preserve"> No one time p</w:t>
      </w:r>
      <w:r>
        <w:rPr>
          <w:rFonts w:asciiTheme="minorHAnsi" w:hAnsiTheme="minorHAnsi"/>
          <w:sz w:val="24"/>
          <w:szCs w:val="24"/>
        </w:rPr>
        <w:t>ayment towards Payroll, compliance or LMS to be considered for revenue.</w:t>
      </w:r>
    </w:p>
    <w:p w:rsidR="004336A4" w:rsidRDefault="004336A4">
      <w:pPr>
        <w:pStyle w:val="ListParagraph"/>
        <w:rPr>
          <w:rFonts w:asciiTheme="minorHAnsi" w:hAnsiTheme="minorHAnsi"/>
          <w:sz w:val="24"/>
          <w:szCs w:val="24"/>
        </w:rPr>
      </w:pPr>
    </w:p>
    <w:p w:rsidR="004336A4" w:rsidRDefault="004336A4">
      <w:pPr>
        <w:ind w:left="720"/>
        <w:rPr>
          <w:rFonts w:asciiTheme="minorHAnsi" w:hAnsiTheme="minorHAnsi"/>
          <w:sz w:val="24"/>
          <w:szCs w:val="24"/>
        </w:rPr>
      </w:pPr>
    </w:p>
    <w:p w:rsidR="004336A4" w:rsidRDefault="004D2402">
      <w:pPr>
        <w:pStyle w:val="ListParagraph"/>
        <w:numPr>
          <w:ilvl w:val="0"/>
          <w:numId w:val="1"/>
        </w:numPr>
        <w:rPr>
          <w:rFonts w:asciiTheme="minorHAnsi" w:hAnsiTheme="minorHAnsi"/>
          <w:sz w:val="24"/>
          <w:szCs w:val="24"/>
        </w:rPr>
      </w:pPr>
      <w:r>
        <w:rPr>
          <w:rFonts w:asciiTheme="minorHAnsi" w:hAnsiTheme="minorHAnsi"/>
          <w:sz w:val="24"/>
          <w:szCs w:val="24"/>
        </w:rPr>
        <w:t>Target achieved should be first billing amount based on the number of employees of the first month.</w:t>
      </w:r>
    </w:p>
    <w:p w:rsidR="004336A4" w:rsidRDefault="004336A4">
      <w:pPr>
        <w:pStyle w:val="ListParagraph"/>
        <w:ind w:left="1350"/>
        <w:rPr>
          <w:rFonts w:asciiTheme="minorHAnsi" w:hAnsiTheme="minorHAnsi"/>
          <w:sz w:val="24"/>
          <w:szCs w:val="24"/>
        </w:rPr>
      </w:pPr>
    </w:p>
    <w:p w:rsidR="004336A4" w:rsidRDefault="004D2402">
      <w:pPr>
        <w:pStyle w:val="ListParagraph"/>
        <w:numPr>
          <w:ilvl w:val="0"/>
          <w:numId w:val="1"/>
        </w:numPr>
        <w:rPr>
          <w:rFonts w:asciiTheme="minorHAnsi" w:hAnsiTheme="minorHAnsi"/>
          <w:sz w:val="24"/>
          <w:szCs w:val="24"/>
        </w:rPr>
      </w:pPr>
      <w:r>
        <w:rPr>
          <w:rFonts w:asciiTheme="minorHAnsi" w:hAnsiTheme="minorHAnsi"/>
          <w:sz w:val="24"/>
          <w:szCs w:val="24"/>
        </w:rPr>
        <w:lastRenderedPageBreak/>
        <w:t>The incentive amount will be paid in the month of October.</w:t>
      </w:r>
    </w:p>
    <w:p w:rsidR="004336A4" w:rsidRDefault="004336A4">
      <w:pPr>
        <w:pStyle w:val="ListParagraph"/>
        <w:rPr>
          <w:rFonts w:asciiTheme="minorHAnsi" w:hAnsiTheme="minorHAnsi"/>
          <w:sz w:val="24"/>
          <w:szCs w:val="24"/>
        </w:rPr>
      </w:pPr>
    </w:p>
    <w:p w:rsidR="004336A4" w:rsidRDefault="004D2402">
      <w:pPr>
        <w:ind w:left="1080"/>
        <w:rPr>
          <w:rFonts w:asciiTheme="minorHAnsi" w:hAnsiTheme="minorHAnsi"/>
          <w:sz w:val="24"/>
          <w:szCs w:val="24"/>
        </w:rPr>
      </w:pPr>
      <w:r>
        <w:rPr>
          <w:rFonts w:asciiTheme="minorHAnsi" w:hAnsiTheme="minorHAnsi"/>
          <w:sz w:val="24"/>
          <w:szCs w:val="24"/>
        </w:rPr>
        <w:t xml:space="preserve"> </w:t>
      </w:r>
    </w:p>
    <w:p w:rsidR="004336A4" w:rsidRDefault="004D2402">
      <w:pPr>
        <w:pStyle w:val="ListParagraph"/>
        <w:numPr>
          <w:ilvl w:val="0"/>
          <w:numId w:val="1"/>
        </w:numPr>
        <w:rPr>
          <w:rFonts w:asciiTheme="minorHAnsi" w:hAnsiTheme="minorHAnsi"/>
          <w:sz w:val="24"/>
          <w:szCs w:val="24"/>
        </w:rPr>
      </w:pPr>
      <w:r>
        <w:rPr>
          <w:rFonts w:asciiTheme="minorHAnsi" w:hAnsiTheme="minorHAnsi"/>
          <w:sz w:val="24"/>
          <w:szCs w:val="24"/>
        </w:rPr>
        <w:t xml:space="preserve">Target of Senior </w:t>
      </w:r>
      <w:r>
        <w:rPr>
          <w:rFonts w:asciiTheme="minorHAnsi" w:hAnsiTheme="minorHAnsi"/>
          <w:sz w:val="24"/>
          <w:szCs w:val="24"/>
        </w:rPr>
        <w:t xml:space="preserve">Manager:- Senior Manager’s target will be inclusive of his individual target &amp; team target. At the end of the year, 30 % of the variable will be linked to the Team’s target achieved and 70 % of the variable will be linked to his individual target. </w:t>
      </w:r>
    </w:p>
    <w:p w:rsidR="004336A4" w:rsidRDefault="004336A4">
      <w:pPr>
        <w:ind w:left="900"/>
        <w:rPr>
          <w:rFonts w:asciiTheme="minorHAnsi" w:hAnsiTheme="minorHAnsi"/>
          <w:sz w:val="24"/>
          <w:szCs w:val="24"/>
        </w:rPr>
      </w:pPr>
    </w:p>
    <w:p w:rsidR="004336A4" w:rsidRDefault="004D2402">
      <w:pPr>
        <w:pStyle w:val="ListParagraph"/>
        <w:numPr>
          <w:ilvl w:val="0"/>
          <w:numId w:val="1"/>
        </w:numPr>
        <w:rPr>
          <w:rFonts w:asciiTheme="minorHAnsi" w:hAnsiTheme="minorHAnsi"/>
          <w:sz w:val="24"/>
          <w:szCs w:val="24"/>
        </w:rPr>
      </w:pPr>
      <w:r>
        <w:rPr>
          <w:rFonts w:asciiTheme="minorHAnsi" w:hAnsiTheme="minorHAnsi"/>
          <w:sz w:val="24"/>
          <w:szCs w:val="24"/>
        </w:rPr>
        <w:t>Target</w:t>
      </w:r>
      <w:r>
        <w:rPr>
          <w:rFonts w:asciiTheme="minorHAnsi" w:hAnsiTheme="minorHAnsi"/>
          <w:sz w:val="24"/>
          <w:szCs w:val="24"/>
        </w:rPr>
        <w:t xml:space="preserve"> of Sales Head (AVP)- Sales Head (AVP) will be inclusive of his individual target &amp; team target. At the end of the year, 70 % of the variable will be linked to the Team’s target achieved and 30 % of the variable will be linked to his individual target. </w:t>
      </w:r>
    </w:p>
    <w:p w:rsidR="004336A4" w:rsidRDefault="004336A4">
      <w:pPr>
        <w:ind w:left="810"/>
        <w:rPr>
          <w:rFonts w:asciiTheme="minorHAnsi" w:hAnsiTheme="minorHAnsi"/>
          <w:sz w:val="24"/>
          <w:szCs w:val="24"/>
        </w:rPr>
      </w:pPr>
    </w:p>
    <w:p w:rsidR="004336A4" w:rsidRDefault="004D2402">
      <w:pPr>
        <w:pStyle w:val="ListParagraph"/>
        <w:numPr>
          <w:ilvl w:val="0"/>
          <w:numId w:val="1"/>
        </w:numPr>
        <w:rPr>
          <w:rFonts w:asciiTheme="minorHAnsi" w:hAnsiTheme="minorHAnsi"/>
          <w:sz w:val="24"/>
          <w:szCs w:val="24"/>
        </w:rPr>
      </w:pPr>
      <w:r>
        <w:rPr>
          <w:rFonts w:asciiTheme="minorHAnsi" w:hAnsiTheme="minorHAnsi"/>
          <w:sz w:val="24"/>
          <w:szCs w:val="24"/>
        </w:rPr>
        <w:t>I</w:t>
      </w:r>
      <w:r>
        <w:rPr>
          <w:rFonts w:asciiTheme="minorHAnsi" w:hAnsiTheme="minorHAnsi"/>
          <w:sz w:val="24"/>
          <w:szCs w:val="24"/>
        </w:rPr>
        <w:t>ncentive earned through referencing from consultants / partners or internal resources shall carry 50 % weight age. Remaining 50 % to be retained by the Company.</w:t>
      </w:r>
    </w:p>
    <w:p w:rsidR="004336A4" w:rsidRDefault="004336A4">
      <w:pPr>
        <w:pStyle w:val="ListParagraph"/>
        <w:rPr>
          <w:rFonts w:asciiTheme="minorHAnsi" w:hAnsiTheme="minorHAnsi"/>
          <w:sz w:val="24"/>
          <w:szCs w:val="24"/>
        </w:rPr>
      </w:pPr>
    </w:p>
    <w:p w:rsidR="004336A4" w:rsidRDefault="004D2402">
      <w:pPr>
        <w:pStyle w:val="ListParagraph"/>
        <w:numPr>
          <w:ilvl w:val="0"/>
          <w:numId w:val="1"/>
        </w:numPr>
        <w:rPr>
          <w:rFonts w:asciiTheme="minorHAnsi" w:hAnsiTheme="minorHAnsi"/>
          <w:sz w:val="24"/>
          <w:szCs w:val="24"/>
        </w:rPr>
      </w:pPr>
      <w:r>
        <w:rPr>
          <w:rFonts w:asciiTheme="minorHAnsi" w:hAnsiTheme="minorHAnsi"/>
          <w:sz w:val="24"/>
          <w:szCs w:val="24"/>
        </w:rPr>
        <w:t>Irrespective of completion of target, the computed variables of heads leading teams or geograp</w:t>
      </w:r>
      <w:r>
        <w:rPr>
          <w:rFonts w:asciiTheme="minorHAnsi" w:hAnsiTheme="minorHAnsi"/>
          <w:sz w:val="24"/>
          <w:szCs w:val="24"/>
        </w:rPr>
        <w:t xml:space="preserve">hies may subject to further alteration at the discretion of management considering overall company performance. </w:t>
      </w:r>
    </w:p>
    <w:p w:rsidR="004336A4" w:rsidRDefault="004336A4">
      <w:pPr>
        <w:rPr>
          <w:rFonts w:asciiTheme="minorHAnsi" w:hAnsiTheme="minorHAnsi"/>
          <w:sz w:val="24"/>
          <w:szCs w:val="24"/>
        </w:rPr>
      </w:pPr>
    </w:p>
    <w:p w:rsidR="004336A4" w:rsidRDefault="004D2402">
      <w:pPr>
        <w:rPr>
          <w:rFonts w:asciiTheme="minorHAnsi" w:hAnsiTheme="minorHAnsi"/>
          <w:sz w:val="24"/>
          <w:szCs w:val="24"/>
        </w:rPr>
      </w:pPr>
      <w:r>
        <w:rPr>
          <w:rFonts w:asciiTheme="minorHAnsi" w:hAnsiTheme="minorHAnsi"/>
          <w:sz w:val="24"/>
          <w:szCs w:val="24"/>
        </w:rPr>
        <w:t>Confidentiality: This scheme is personal to you and you are requested not to share this confidential information within or outside the organiz</w:t>
      </w:r>
      <w:r>
        <w:rPr>
          <w:rFonts w:asciiTheme="minorHAnsi" w:hAnsiTheme="minorHAnsi"/>
          <w:sz w:val="24"/>
          <w:szCs w:val="24"/>
        </w:rPr>
        <w:t xml:space="preserve">ation </w:t>
      </w:r>
    </w:p>
    <w:p w:rsidR="004336A4" w:rsidRDefault="004336A4">
      <w:pPr>
        <w:rPr>
          <w:rFonts w:asciiTheme="minorHAnsi" w:hAnsiTheme="minorHAnsi"/>
          <w:sz w:val="24"/>
          <w:szCs w:val="24"/>
        </w:rPr>
      </w:pPr>
    </w:p>
    <w:p w:rsidR="004336A4" w:rsidRDefault="004336A4">
      <w:pPr>
        <w:rPr>
          <w:rFonts w:asciiTheme="minorHAnsi" w:hAnsiTheme="minorHAnsi"/>
          <w:sz w:val="24"/>
          <w:szCs w:val="24"/>
        </w:rPr>
      </w:pPr>
    </w:p>
    <w:p w:rsidR="004336A4" w:rsidRDefault="004D2402">
      <w:pPr>
        <w:rPr>
          <w:rFonts w:asciiTheme="minorHAnsi" w:hAnsiTheme="minorHAnsi"/>
          <w:sz w:val="24"/>
          <w:szCs w:val="24"/>
        </w:rPr>
      </w:pPr>
      <w:r>
        <w:rPr>
          <w:rFonts w:asciiTheme="minorHAnsi" w:hAnsiTheme="minorHAnsi"/>
          <w:sz w:val="24"/>
          <w:szCs w:val="24"/>
        </w:rPr>
        <w:t>Leave of Absence (LOA) / Long Leave- If an employee has gone on LOA / Long leave at any time during the policy year, the employee may remain eligible for a payment under the terms of this policy. However, the period during which the participant ha</w:t>
      </w:r>
      <w:r>
        <w:rPr>
          <w:rFonts w:asciiTheme="minorHAnsi" w:hAnsiTheme="minorHAnsi"/>
          <w:sz w:val="24"/>
          <w:szCs w:val="24"/>
        </w:rPr>
        <w:t>s gone on LOA / long leave during any of the policy period shall be excluded from payout calculation.</w:t>
      </w:r>
    </w:p>
    <w:p w:rsidR="004336A4" w:rsidRDefault="004336A4">
      <w:pPr>
        <w:rPr>
          <w:rFonts w:asciiTheme="minorHAnsi" w:hAnsiTheme="minorHAnsi"/>
          <w:sz w:val="24"/>
          <w:szCs w:val="24"/>
        </w:rPr>
      </w:pPr>
    </w:p>
    <w:p w:rsidR="004336A4" w:rsidRDefault="004D2402">
      <w:pPr>
        <w:rPr>
          <w:rFonts w:asciiTheme="minorHAnsi" w:hAnsiTheme="minorHAnsi"/>
          <w:sz w:val="24"/>
          <w:szCs w:val="24"/>
        </w:rPr>
      </w:pPr>
      <w:r>
        <w:rPr>
          <w:rFonts w:asciiTheme="minorHAnsi" w:hAnsiTheme="minorHAnsi"/>
          <w:sz w:val="24"/>
          <w:szCs w:val="24"/>
        </w:rPr>
        <w:t xml:space="preserve">Termination An employee, who is terminated on account of misconduct or non-performance, shall not be eligible for incentive during the policy period. </w:t>
      </w:r>
    </w:p>
    <w:p w:rsidR="004336A4" w:rsidRDefault="004336A4">
      <w:pPr>
        <w:rPr>
          <w:rFonts w:asciiTheme="minorHAnsi" w:hAnsiTheme="minorHAnsi"/>
          <w:sz w:val="24"/>
          <w:szCs w:val="24"/>
        </w:rPr>
      </w:pPr>
    </w:p>
    <w:sectPr w:rsidR="004336A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2402" w:rsidRDefault="004D2402">
      <w:r>
        <w:separator/>
      </w:r>
    </w:p>
  </w:endnote>
  <w:endnote w:type="continuationSeparator" w:id="0">
    <w:p w:rsidR="004D2402" w:rsidRDefault="004D24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altName w:val="Tahoma"/>
    <w:panose1 w:val="020B0604030504040204"/>
    <w:charset w:val="00"/>
    <w:family w:val="swiss"/>
    <w:pitch w:val="variable"/>
    <w:sig w:usb0="00000003" w:usb1="00000000" w:usb2="00000000" w:usb3="00000000" w:csb0="00000001" w:csb1="00000000"/>
  </w:font>
  <w:font w:name="Cambria">
    <w:altName w:val="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2402" w:rsidRDefault="004D2402">
      <w:r>
        <w:separator/>
      </w:r>
    </w:p>
  </w:footnote>
  <w:footnote w:type="continuationSeparator" w:id="0">
    <w:p w:rsidR="004D2402" w:rsidRDefault="004D240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6A4" w:rsidRDefault="004336A4">
    <w:pPr>
      <w:pStyle w:val="Header"/>
    </w:pPr>
  </w:p>
  <w:p w:rsidR="004336A4" w:rsidRDefault="004D2402">
    <w:pPr>
      <w:pStyle w:val="Header"/>
      <w:jc w:val="center"/>
      <w:rPr>
        <w:sz w:val="32"/>
      </w:rPr>
    </w:pPr>
    <w:r>
      <w:rPr>
        <w:sz w:val="32"/>
      </w:rPr>
      <w:t>Incentive Policy 2016 - 17</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multiLevelType w:val="hybridMultilevel"/>
    <w:tmpl w:val="EE105DD8"/>
    <w:lvl w:ilvl="0" w:tplc="0409000F">
      <w:start w:val="1"/>
      <w:numFmt w:val="decimal"/>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36A4"/>
    <w:rsid w:val="004336A4"/>
    <w:rsid w:val="004D2402"/>
    <w:rsid w:val="00B27B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A84F37D-9F1C-4CD8-966A-99F96733D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rPr>
      <w:rFonts w:ascii="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485</Words>
  <Characters>2766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sanhitak</dc:creator>
  <cp:lastModifiedBy>hp</cp:lastModifiedBy>
  <cp:revision>2</cp:revision>
  <dcterms:created xsi:type="dcterms:W3CDTF">2018-03-03T19:01:00Z</dcterms:created>
  <dcterms:modified xsi:type="dcterms:W3CDTF">2018-03-03T19:01:00Z</dcterms:modified>
</cp:coreProperties>
</file>