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D26" w:rsidRDefault="00847D26" w:rsidP="00544C3C">
      <w:pPr>
        <w:tabs>
          <w:tab w:val="left" w:pos="540"/>
        </w:tabs>
        <w:spacing w:line="360" w:lineRule="auto"/>
        <w:jc w:val="both"/>
        <w:rPr>
          <w:rFonts w:ascii="Times New Roman" w:hAnsi="Times New Roman" w:cs="Times New Roman"/>
          <w:sz w:val="24"/>
          <w:szCs w:val="24"/>
        </w:rPr>
      </w:pPr>
    </w:p>
    <w:p w:rsidR="00F468C4" w:rsidRPr="00237544" w:rsidRDefault="00F468C4" w:rsidP="00544C3C">
      <w:pPr>
        <w:tabs>
          <w:tab w:val="left" w:pos="540"/>
        </w:tabs>
        <w:spacing w:line="360" w:lineRule="auto"/>
        <w:jc w:val="both"/>
        <w:rPr>
          <w:rFonts w:ascii="Times New Roman" w:hAnsi="Times New Roman" w:cs="Times New Roman"/>
          <w:sz w:val="24"/>
          <w:szCs w:val="24"/>
        </w:rPr>
      </w:pPr>
    </w:p>
    <w:p w:rsidR="00EA3779" w:rsidRPr="00544C3C" w:rsidRDefault="00847D26" w:rsidP="00544C3C">
      <w:pPr>
        <w:tabs>
          <w:tab w:val="left" w:pos="540"/>
        </w:tabs>
        <w:spacing w:line="360" w:lineRule="auto"/>
        <w:jc w:val="both"/>
        <w:rPr>
          <w:rFonts w:ascii="Times New Roman" w:hAnsi="Times New Roman" w:cs="Times New Roman"/>
          <w:b/>
          <w:sz w:val="24"/>
          <w:szCs w:val="24"/>
        </w:rPr>
      </w:pPr>
      <w:r w:rsidRPr="00237544">
        <w:rPr>
          <w:rFonts w:ascii="Times New Roman" w:hAnsi="Times New Roman" w:cs="Times New Roman"/>
          <w:sz w:val="24"/>
          <w:szCs w:val="24"/>
        </w:rPr>
        <w:tab/>
      </w:r>
      <w:r w:rsidRPr="00237544">
        <w:rPr>
          <w:rFonts w:ascii="Times New Roman" w:hAnsi="Times New Roman" w:cs="Times New Roman"/>
          <w:sz w:val="24"/>
          <w:szCs w:val="24"/>
        </w:rPr>
        <w:tab/>
      </w:r>
      <w:r w:rsidRPr="00237544">
        <w:rPr>
          <w:rFonts w:ascii="Times New Roman" w:hAnsi="Times New Roman" w:cs="Times New Roman"/>
          <w:sz w:val="24"/>
          <w:szCs w:val="24"/>
        </w:rPr>
        <w:tab/>
      </w:r>
      <w:r w:rsidRPr="00237544">
        <w:rPr>
          <w:rFonts w:ascii="Times New Roman" w:hAnsi="Times New Roman" w:cs="Times New Roman"/>
          <w:sz w:val="24"/>
          <w:szCs w:val="24"/>
        </w:rPr>
        <w:tab/>
      </w:r>
      <w:r w:rsidR="00EA3779">
        <w:rPr>
          <w:rFonts w:ascii="Times New Roman" w:hAnsi="Times New Roman" w:cs="Times New Roman"/>
          <w:sz w:val="24"/>
          <w:szCs w:val="24"/>
        </w:rPr>
        <w:t xml:space="preserve">        </w:t>
      </w:r>
      <w:r w:rsidR="00EA3779" w:rsidRPr="00544C3C">
        <w:rPr>
          <w:rFonts w:ascii="Times New Roman" w:hAnsi="Times New Roman" w:cs="Times New Roman"/>
          <w:b/>
          <w:sz w:val="24"/>
          <w:szCs w:val="24"/>
        </w:rPr>
        <w:t>T</w:t>
      </w:r>
      <w:r w:rsidR="00F468C4">
        <w:rPr>
          <w:rFonts w:ascii="Times New Roman" w:hAnsi="Times New Roman" w:cs="Times New Roman"/>
          <w:b/>
          <w:sz w:val="24"/>
          <w:szCs w:val="24"/>
        </w:rPr>
        <w:t xml:space="preserve"> </w:t>
      </w:r>
      <w:r w:rsidR="00EA3779" w:rsidRPr="00544C3C">
        <w:rPr>
          <w:rFonts w:ascii="Times New Roman" w:hAnsi="Times New Roman" w:cs="Times New Roman"/>
          <w:b/>
          <w:sz w:val="24"/>
          <w:szCs w:val="24"/>
        </w:rPr>
        <w:t>I</w:t>
      </w:r>
      <w:r w:rsidR="00F468C4">
        <w:rPr>
          <w:rFonts w:ascii="Times New Roman" w:hAnsi="Times New Roman" w:cs="Times New Roman"/>
          <w:b/>
          <w:sz w:val="24"/>
          <w:szCs w:val="24"/>
        </w:rPr>
        <w:t xml:space="preserve"> </w:t>
      </w:r>
      <w:r w:rsidR="00EA3779" w:rsidRPr="00544C3C">
        <w:rPr>
          <w:rFonts w:ascii="Times New Roman" w:hAnsi="Times New Roman" w:cs="Times New Roman"/>
          <w:b/>
          <w:sz w:val="24"/>
          <w:szCs w:val="24"/>
        </w:rPr>
        <w:t>T</w:t>
      </w:r>
      <w:r w:rsidR="00F468C4">
        <w:rPr>
          <w:rFonts w:ascii="Times New Roman" w:hAnsi="Times New Roman" w:cs="Times New Roman"/>
          <w:b/>
          <w:sz w:val="24"/>
          <w:szCs w:val="24"/>
        </w:rPr>
        <w:t xml:space="preserve"> </w:t>
      </w:r>
      <w:r w:rsidR="00EA3779" w:rsidRPr="00544C3C">
        <w:rPr>
          <w:rFonts w:ascii="Times New Roman" w:hAnsi="Times New Roman" w:cs="Times New Roman"/>
          <w:b/>
          <w:sz w:val="24"/>
          <w:szCs w:val="24"/>
        </w:rPr>
        <w:t>L</w:t>
      </w:r>
      <w:r w:rsidR="00F468C4">
        <w:rPr>
          <w:rFonts w:ascii="Times New Roman" w:hAnsi="Times New Roman" w:cs="Times New Roman"/>
          <w:b/>
          <w:sz w:val="24"/>
          <w:szCs w:val="24"/>
        </w:rPr>
        <w:t xml:space="preserve"> </w:t>
      </w:r>
      <w:r w:rsidR="00EA3779" w:rsidRPr="00544C3C">
        <w:rPr>
          <w:rFonts w:ascii="Times New Roman" w:hAnsi="Times New Roman" w:cs="Times New Roman"/>
          <w:b/>
          <w:sz w:val="24"/>
          <w:szCs w:val="24"/>
        </w:rPr>
        <w:t>E</w:t>
      </w:r>
    </w:p>
    <w:p w:rsidR="00EA3779" w:rsidRPr="00F468C4" w:rsidRDefault="00EA3779" w:rsidP="00544C3C">
      <w:pPr>
        <w:tabs>
          <w:tab w:val="left" w:pos="540"/>
        </w:tabs>
        <w:spacing w:line="360" w:lineRule="auto"/>
        <w:jc w:val="both"/>
        <w:rPr>
          <w:rFonts w:ascii="Times New Roman" w:hAnsi="Times New Roman" w:cs="Times New Roman"/>
          <w:sz w:val="28"/>
          <w:szCs w:val="28"/>
        </w:rPr>
      </w:pPr>
      <w:r w:rsidRPr="00F468C4">
        <w:rPr>
          <w:rFonts w:ascii="Times New Roman" w:hAnsi="Times New Roman" w:cs="Times New Roman"/>
          <w:sz w:val="28"/>
          <w:szCs w:val="28"/>
        </w:rPr>
        <w:t>Emerging Paradigms and Challenges in Interdisciplinary Legal research</w:t>
      </w:r>
    </w:p>
    <w:p w:rsidR="00847D26" w:rsidRPr="00F468C4" w:rsidRDefault="00EA3779" w:rsidP="00544C3C">
      <w:pPr>
        <w:tabs>
          <w:tab w:val="left" w:pos="540"/>
        </w:tabs>
        <w:spacing w:line="360" w:lineRule="auto"/>
        <w:jc w:val="both"/>
        <w:rPr>
          <w:rFonts w:ascii="Times New Roman" w:hAnsi="Times New Roman" w:cs="Times New Roman"/>
          <w:b/>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44C3C" w:rsidRPr="00F468C4">
        <w:rPr>
          <w:rFonts w:ascii="Times New Roman" w:hAnsi="Times New Roman" w:cs="Times New Roman"/>
          <w:sz w:val="24"/>
          <w:szCs w:val="24"/>
        </w:rPr>
        <w:t xml:space="preserve">        </w:t>
      </w:r>
      <w:r w:rsidR="00544C3C" w:rsidRPr="00F468C4">
        <w:rPr>
          <w:rFonts w:ascii="Times New Roman" w:hAnsi="Times New Roman" w:cs="Times New Roman"/>
          <w:sz w:val="24"/>
          <w:szCs w:val="24"/>
          <w:u w:val="single"/>
        </w:rPr>
        <w:t xml:space="preserve"> </w:t>
      </w:r>
      <w:r w:rsidR="00847D26" w:rsidRPr="00F468C4">
        <w:rPr>
          <w:rFonts w:ascii="Times New Roman" w:hAnsi="Times New Roman" w:cs="Times New Roman"/>
          <w:b/>
          <w:sz w:val="24"/>
          <w:szCs w:val="24"/>
          <w:u w:val="single"/>
        </w:rPr>
        <w:t>T</w:t>
      </w:r>
      <w:r w:rsidR="00F468C4">
        <w:rPr>
          <w:rFonts w:ascii="Times New Roman" w:hAnsi="Times New Roman" w:cs="Times New Roman"/>
          <w:b/>
          <w:sz w:val="24"/>
          <w:szCs w:val="24"/>
          <w:u w:val="single"/>
        </w:rPr>
        <w:t xml:space="preserve"> </w:t>
      </w:r>
      <w:r w:rsidR="00847D26" w:rsidRPr="00F468C4">
        <w:rPr>
          <w:rFonts w:ascii="Times New Roman" w:hAnsi="Times New Roman" w:cs="Times New Roman"/>
          <w:b/>
          <w:sz w:val="24"/>
          <w:szCs w:val="24"/>
          <w:u w:val="single"/>
        </w:rPr>
        <w:t>O</w:t>
      </w:r>
      <w:r w:rsidR="00F468C4">
        <w:rPr>
          <w:rFonts w:ascii="Times New Roman" w:hAnsi="Times New Roman" w:cs="Times New Roman"/>
          <w:b/>
          <w:sz w:val="24"/>
          <w:szCs w:val="24"/>
          <w:u w:val="single"/>
        </w:rPr>
        <w:t xml:space="preserve"> </w:t>
      </w:r>
      <w:r w:rsidR="00847D26" w:rsidRPr="00F468C4">
        <w:rPr>
          <w:rFonts w:ascii="Times New Roman" w:hAnsi="Times New Roman" w:cs="Times New Roman"/>
          <w:b/>
          <w:sz w:val="24"/>
          <w:szCs w:val="24"/>
          <w:u w:val="single"/>
        </w:rPr>
        <w:t>P</w:t>
      </w:r>
      <w:r w:rsidR="00F468C4">
        <w:rPr>
          <w:rFonts w:ascii="Times New Roman" w:hAnsi="Times New Roman" w:cs="Times New Roman"/>
          <w:b/>
          <w:sz w:val="24"/>
          <w:szCs w:val="24"/>
          <w:u w:val="single"/>
        </w:rPr>
        <w:t xml:space="preserve"> </w:t>
      </w:r>
      <w:r w:rsidR="00847D26" w:rsidRPr="00F468C4">
        <w:rPr>
          <w:rFonts w:ascii="Times New Roman" w:hAnsi="Times New Roman" w:cs="Times New Roman"/>
          <w:b/>
          <w:sz w:val="24"/>
          <w:szCs w:val="24"/>
          <w:u w:val="single"/>
        </w:rPr>
        <w:t>I</w:t>
      </w:r>
      <w:r w:rsidR="00F468C4">
        <w:rPr>
          <w:rFonts w:ascii="Times New Roman" w:hAnsi="Times New Roman" w:cs="Times New Roman"/>
          <w:b/>
          <w:sz w:val="24"/>
          <w:szCs w:val="24"/>
          <w:u w:val="single"/>
        </w:rPr>
        <w:t xml:space="preserve"> </w:t>
      </w:r>
      <w:r w:rsidR="00847D26" w:rsidRPr="00F468C4">
        <w:rPr>
          <w:rFonts w:ascii="Times New Roman" w:hAnsi="Times New Roman" w:cs="Times New Roman"/>
          <w:b/>
          <w:sz w:val="24"/>
          <w:szCs w:val="24"/>
          <w:u w:val="single"/>
        </w:rPr>
        <w:t>C</w:t>
      </w:r>
    </w:p>
    <w:p w:rsidR="00847D26" w:rsidRDefault="00847D26" w:rsidP="00544C3C">
      <w:pPr>
        <w:tabs>
          <w:tab w:val="left" w:pos="540"/>
        </w:tabs>
        <w:spacing w:line="360" w:lineRule="auto"/>
        <w:jc w:val="both"/>
        <w:rPr>
          <w:rFonts w:ascii="Times New Roman" w:hAnsi="Times New Roman" w:cs="Times New Roman"/>
          <w:sz w:val="32"/>
          <w:szCs w:val="32"/>
        </w:rPr>
      </w:pPr>
      <w:r w:rsidRPr="00F468C4">
        <w:rPr>
          <w:rFonts w:ascii="Times New Roman" w:hAnsi="Times New Roman" w:cs="Times New Roman"/>
          <w:sz w:val="32"/>
          <w:szCs w:val="32"/>
        </w:rPr>
        <w:t>New challenges and outlook faced in legal research and j</w:t>
      </w:r>
      <w:r w:rsidR="001F33AF">
        <w:rPr>
          <w:rFonts w:ascii="Times New Roman" w:hAnsi="Times New Roman" w:cs="Times New Roman"/>
          <w:sz w:val="32"/>
          <w:szCs w:val="32"/>
        </w:rPr>
        <w:t>udicial/litigation works out of</w:t>
      </w:r>
      <w:r w:rsidRPr="00F468C4">
        <w:rPr>
          <w:rFonts w:ascii="Times New Roman" w:hAnsi="Times New Roman" w:cs="Times New Roman"/>
          <w:sz w:val="32"/>
          <w:szCs w:val="32"/>
        </w:rPr>
        <w:t xml:space="preserve">  interdisciplinary legal research.</w:t>
      </w:r>
    </w:p>
    <w:p w:rsidR="00F468C4" w:rsidRPr="00CC3E23" w:rsidRDefault="00F468C4" w:rsidP="00CC3E23">
      <w:pPr>
        <w:tabs>
          <w:tab w:val="left" w:pos="540"/>
        </w:tabs>
        <w:jc w:val="center"/>
        <w:rPr>
          <w:rFonts w:ascii="Times New Roman" w:hAnsi="Times New Roman" w:cs="Times New Roman"/>
          <w:sz w:val="24"/>
          <w:szCs w:val="24"/>
        </w:rPr>
      </w:pPr>
      <w:r w:rsidRPr="00CC3E23">
        <w:rPr>
          <w:rFonts w:ascii="Times New Roman" w:hAnsi="Times New Roman" w:cs="Times New Roman"/>
          <w:sz w:val="24"/>
          <w:szCs w:val="24"/>
        </w:rPr>
        <w:t>Submitted by</w:t>
      </w:r>
    </w:p>
    <w:p w:rsidR="00F468C4" w:rsidRPr="00CC3E23" w:rsidRDefault="00F468C4" w:rsidP="00CC3E23">
      <w:pPr>
        <w:tabs>
          <w:tab w:val="left" w:pos="540"/>
        </w:tabs>
        <w:jc w:val="center"/>
        <w:rPr>
          <w:rFonts w:ascii="Times New Roman" w:hAnsi="Times New Roman" w:cs="Times New Roman"/>
          <w:sz w:val="24"/>
          <w:szCs w:val="24"/>
        </w:rPr>
      </w:pPr>
      <w:r w:rsidRPr="00CC3E23">
        <w:rPr>
          <w:rFonts w:ascii="Times New Roman" w:hAnsi="Times New Roman" w:cs="Times New Roman"/>
          <w:sz w:val="24"/>
          <w:szCs w:val="24"/>
        </w:rPr>
        <w:t>Devajyoti Barman</w:t>
      </w:r>
    </w:p>
    <w:p w:rsidR="00CC3E23" w:rsidRDefault="00CC3E23" w:rsidP="00CC3E23">
      <w:pPr>
        <w:tabs>
          <w:tab w:val="left" w:pos="540"/>
        </w:tabs>
        <w:jc w:val="center"/>
        <w:rPr>
          <w:rFonts w:ascii="Times New Roman" w:hAnsi="Times New Roman" w:cs="Times New Roman"/>
          <w:sz w:val="24"/>
          <w:szCs w:val="24"/>
        </w:rPr>
      </w:pPr>
      <w:r w:rsidRPr="00CC3E23">
        <w:rPr>
          <w:rFonts w:ascii="Times New Roman" w:hAnsi="Times New Roman" w:cs="Times New Roman"/>
          <w:sz w:val="24"/>
          <w:szCs w:val="24"/>
        </w:rPr>
        <w:t>Advocate, High Court, Calcutta</w:t>
      </w:r>
    </w:p>
    <w:p w:rsidR="00DC18F4" w:rsidRPr="00CC3E23" w:rsidRDefault="00DC18F4" w:rsidP="00CC3E23">
      <w:pPr>
        <w:tabs>
          <w:tab w:val="left" w:pos="540"/>
        </w:tabs>
        <w:jc w:val="center"/>
        <w:rPr>
          <w:rFonts w:ascii="Times New Roman" w:hAnsi="Times New Roman" w:cs="Times New Roman"/>
          <w:sz w:val="24"/>
          <w:szCs w:val="24"/>
        </w:rPr>
      </w:pPr>
      <w:r>
        <w:rPr>
          <w:rFonts w:ascii="Times New Roman" w:hAnsi="Times New Roman" w:cs="Times New Roman"/>
          <w:sz w:val="24"/>
          <w:szCs w:val="24"/>
        </w:rPr>
        <w:t>www.acelegalfirm.com</w:t>
      </w:r>
    </w:p>
    <w:p w:rsidR="00F468C4" w:rsidRPr="00F468C4" w:rsidRDefault="00F468C4" w:rsidP="00544C3C">
      <w:pPr>
        <w:tabs>
          <w:tab w:val="left" w:pos="540"/>
        </w:tabs>
        <w:spacing w:line="360" w:lineRule="auto"/>
        <w:jc w:val="both"/>
        <w:rPr>
          <w:rFonts w:ascii="Times New Roman" w:hAnsi="Times New Roman" w:cs="Times New Roman"/>
          <w:sz w:val="32"/>
          <w:szCs w:val="32"/>
        </w:rPr>
      </w:pPr>
    </w:p>
    <w:p w:rsidR="002218FD" w:rsidRPr="00237544" w:rsidRDefault="002218FD" w:rsidP="00544C3C">
      <w:pPr>
        <w:tabs>
          <w:tab w:val="left" w:pos="540"/>
        </w:tabs>
        <w:spacing w:line="360" w:lineRule="auto"/>
        <w:jc w:val="both"/>
        <w:rPr>
          <w:rFonts w:ascii="Times New Roman" w:hAnsi="Times New Roman" w:cs="Times New Roman"/>
          <w:bCs/>
          <w:sz w:val="24"/>
          <w:szCs w:val="24"/>
        </w:rPr>
      </w:pPr>
      <w:r w:rsidRPr="00237544">
        <w:rPr>
          <w:rFonts w:ascii="Times New Roman" w:hAnsi="Times New Roman" w:cs="Times New Roman"/>
          <w:bCs/>
          <w:sz w:val="24"/>
          <w:szCs w:val="24"/>
        </w:rPr>
        <w:t>SUBJECT</w:t>
      </w:r>
      <w:r w:rsidRPr="00237544">
        <w:rPr>
          <w:rFonts w:ascii="Times New Roman" w:hAnsi="Times New Roman" w:cs="Times New Roman"/>
          <w:bCs/>
          <w:sz w:val="24"/>
          <w:szCs w:val="24"/>
        </w:rPr>
        <w:tab/>
      </w:r>
      <w:r w:rsidR="009D3581">
        <w:rPr>
          <w:rFonts w:ascii="Times New Roman" w:hAnsi="Times New Roman" w:cs="Times New Roman"/>
          <w:bCs/>
          <w:sz w:val="24"/>
          <w:szCs w:val="24"/>
        </w:rPr>
        <w:tab/>
      </w:r>
      <w:r w:rsidR="009D3581">
        <w:rPr>
          <w:rFonts w:ascii="Times New Roman" w:hAnsi="Times New Roman" w:cs="Times New Roman"/>
          <w:bCs/>
          <w:sz w:val="24"/>
          <w:szCs w:val="24"/>
        </w:rPr>
        <w:tab/>
      </w:r>
      <w:r w:rsidR="009D3581">
        <w:rPr>
          <w:rFonts w:ascii="Times New Roman" w:hAnsi="Times New Roman" w:cs="Times New Roman"/>
          <w:bCs/>
          <w:sz w:val="24"/>
          <w:szCs w:val="24"/>
        </w:rPr>
        <w:tab/>
      </w:r>
      <w:r w:rsidR="009D3581">
        <w:rPr>
          <w:rFonts w:ascii="Times New Roman" w:hAnsi="Times New Roman" w:cs="Times New Roman"/>
          <w:bCs/>
          <w:sz w:val="24"/>
          <w:szCs w:val="24"/>
        </w:rPr>
        <w:tab/>
      </w:r>
      <w:r w:rsidR="009D3581">
        <w:rPr>
          <w:rFonts w:ascii="Times New Roman" w:hAnsi="Times New Roman" w:cs="Times New Roman"/>
          <w:bCs/>
          <w:sz w:val="24"/>
          <w:szCs w:val="24"/>
        </w:rPr>
        <w:tab/>
      </w:r>
      <w:r w:rsidR="009D3581">
        <w:rPr>
          <w:rFonts w:ascii="Times New Roman" w:hAnsi="Times New Roman" w:cs="Times New Roman"/>
          <w:bCs/>
          <w:sz w:val="24"/>
          <w:szCs w:val="24"/>
        </w:rPr>
        <w:tab/>
      </w:r>
      <w:r w:rsidR="009D3581">
        <w:rPr>
          <w:rFonts w:ascii="Times New Roman" w:hAnsi="Times New Roman" w:cs="Times New Roman"/>
          <w:bCs/>
          <w:sz w:val="24"/>
          <w:szCs w:val="24"/>
        </w:rPr>
        <w:tab/>
        <w:t>Page</w:t>
      </w:r>
    </w:p>
    <w:p w:rsidR="002218FD" w:rsidRPr="00237544" w:rsidRDefault="00A65B32" w:rsidP="00F468C4">
      <w:pPr>
        <w:pStyle w:val="ListParagraph"/>
        <w:numPr>
          <w:ilvl w:val="0"/>
          <w:numId w:val="13"/>
        </w:numPr>
        <w:tabs>
          <w:tab w:val="left" w:pos="540"/>
        </w:tabs>
        <w:spacing w:line="480" w:lineRule="auto"/>
        <w:jc w:val="both"/>
        <w:rPr>
          <w:rFonts w:ascii="Times New Roman" w:hAnsi="Times New Roman" w:cs="Times New Roman"/>
          <w:sz w:val="24"/>
          <w:szCs w:val="24"/>
        </w:rPr>
      </w:pPr>
      <w:r>
        <w:rPr>
          <w:rFonts w:ascii="Times New Roman" w:hAnsi="Times New Roman" w:cs="Times New Roman"/>
          <w:sz w:val="24"/>
          <w:szCs w:val="24"/>
        </w:rPr>
        <w:t>Abstract</w:t>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t>3</w:t>
      </w:r>
    </w:p>
    <w:p w:rsidR="002218FD" w:rsidRPr="00237544" w:rsidRDefault="002218FD" w:rsidP="00F468C4">
      <w:pPr>
        <w:pStyle w:val="ListParagraph"/>
        <w:numPr>
          <w:ilvl w:val="0"/>
          <w:numId w:val="13"/>
        </w:numPr>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t>Research Methodologies.</w:t>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t>5</w:t>
      </w:r>
    </w:p>
    <w:p w:rsidR="002218FD" w:rsidRPr="00237544" w:rsidRDefault="002218FD" w:rsidP="00F468C4">
      <w:pPr>
        <w:pStyle w:val="ListParagraph"/>
        <w:numPr>
          <w:ilvl w:val="0"/>
          <w:numId w:val="13"/>
        </w:numPr>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t>Types</w:t>
      </w:r>
      <w:r w:rsidR="00A65B32">
        <w:rPr>
          <w:rFonts w:ascii="Times New Roman" w:hAnsi="Times New Roman" w:cs="Times New Roman"/>
          <w:sz w:val="24"/>
          <w:szCs w:val="24"/>
        </w:rPr>
        <w:t>/branches</w:t>
      </w:r>
      <w:r w:rsidRPr="00237544">
        <w:rPr>
          <w:rFonts w:ascii="Times New Roman" w:hAnsi="Times New Roman" w:cs="Times New Roman"/>
          <w:sz w:val="24"/>
          <w:szCs w:val="24"/>
        </w:rPr>
        <w:t xml:space="preserve"> of Interdisciplinary Research</w:t>
      </w:r>
      <w:r w:rsidR="009D3581">
        <w:rPr>
          <w:rFonts w:ascii="Times New Roman" w:hAnsi="Times New Roman" w:cs="Times New Roman"/>
          <w:sz w:val="24"/>
          <w:szCs w:val="24"/>
        </w:rPr>
        <w:tab/>
      </w:r>
      <w:r w:rsidR="009D3581">
        <w:rPr>
          <w:rFonts w:ascii="Times New Roman" w:hAnsi="Times New Roman" w:cs="Times New Roman"/>
          <w:sz w:val="24"/>
          <w:szCs w:val="24"/>
        </w:rPr>
        <w:tab/>
        <w:t>5</w:t>
      </w:r>
    </w:p>
    <w:p w:rsidR="002218FD" w:rsidRPr="00237544" w:rsidRDefault="002218FD" w:rsidP="00F468C4">
      <w:pPr>
        <w:pStyle w:val="ListParagraph"/>
        <w:numPr>
          <w:ilvl w:val="0"/>
          <w:numId w:val="13"/>
        </w:numPr>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t>Hindrances</w:t>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t xml:space="preserve">        6-8</w:t>
      </w:r>
    </w:p>
    <w:p w:rsidR="002218FD" w:rsidRPr="00237544" w:rsidRDefault="002218FD" w:rsidP="00F468C4">
      <w:pPr>
        <w:pStyle w:val="ListParagraph"/>
        <w:numPr>
          <w:ilvl w:val="0"/>
          <w:numId w:val="21"/>
        </w:numPr>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t>General</w:t>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t>6</w:t>
      </w:r>
    </w:p>
    <w:p w:rsidR="002218FD" w:rsidRPr="00237544" w:rsidRDefault="002218FD" w:rsidP="00F468C4">
      <w:pPr>
        <w:pStyle w:val="ListParagraph"/>
        <w:numPr>
          <w:ilvl w:val="0"/>
          <w:numId w:val="21"/>
        </w:numPr>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In context of sociology </w:t>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t xml:space="preserve">        7-8</w:t>
      </w:r>
    </w:p>
    <w:p w:rsidR="002218FD" w:rsidRPr="00237544" w:rsidRDefault="002218FD" w:rsidP="00F468C4">
      <w:pPr>
        <w:pStyle w:val="ListParagraph"/>
        <w:tabs>
          <w:tab w:val="left" w:pos="540"/>
        </w:tabs>
        <w:spacing w:line="480" w:lineRule="auto"/>
        <w:jc w:val="both"/>
        <w:rPr>
          <w:rFonts w:ascii="Times New Roman" w:hAnsi="Times New Roman" w:cs="Times New Roman"/>
          <w:sz w:val="24"/>
          <w:szCs w:val="24"/>
        </w:rPr>
      </w:pPr>
    </w:p>
    <w:p w:rsidR="009D3581" w:rsidRDefault="002218FD" w:rsidP="00F468C4">
      <w:pPr>
        <w:pStyle w:val="ListParagraph"/>
        <w:numPr>
          <w:ilvl w:val="0"/>
          <w:numId w:val="13"/>
        </w:numPr>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Evolution of Family Law in the context of </w:t>
      </w:r>
      <w:r w:rsidR="009D3581">
        <w:rPr>
          <w:rFonts w:ascii="Times New Roman" w:hAnsi="Times New Roman" w:cs="Times New Roman"/>
          <w:sz w:val="24"/>
          <w:szCs w:val="24"/>
        </w:rPr>
        <w:tab/>
        <w:t xml:space="preserve">                     8-15</w:t>
      </w:r>
    </w:p>
    <w:p w:rsidR="002218FD" w:rsidRPr="00237544" w:rsidRDefault="002218FD" w:rsidP="009D3581">
      <w:pPr>
        <w:pStyle w:val="ListParagraph"/>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t>interdisciplinary research.</w:t>
      </w:r>
    </w:p>
    <w:p w:rsidR="002218FD" w:rsidRPr="00237544" w:rsidRDefault="002218FD" w:rsidP="00F468C4">
      <w:pPr>
        <w:pStyle w:val="ListParagraph"/>
        <w:numPr>
          <w:ilvl w:val="0"/>
          <w:numId w:val="22"/>
        </w:numPr>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lastRenderedPageBreak/>
        <w:t>Introduction</w:t>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t>8-11</w:t>
      </w:r>
    </w:p>
    <w:p w:rsidR="002218FD" w:rsidRPr="00237544" w:rsidRDefault="002218FD" w:rsidP="00F468C4">
      <w:pPr>
        <w:pStyle w:val="ListParagraph"/>
        <w:numPr>
          <w:ilvl w:val="0"/>
          <w:numId w:val="22"/>
        </w:numPr>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t>Cohabitation</w:t>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r>
      <w:r w:rsidR="009D3581">
        <w:rPr>
          <w:rFonts w:ascii="Times New Roman" w:hAnsi="Times New Roman" w:cs="Times New Roman"/>
          <w:sz w:val="24"/>
          <w:szCs w:val="24"/>
        </w:rPr>
        <w:tab/>
        <w:t>11-12</w:t>
      </w:r>
    </w:p>
    <w:p w:rsidR="002218FD" w:rsidRPr="00237544" w:rsidRDefault="002218FD" w:rsidP="00F468C4">
      <w:pPr>
        <w:pStyle w:val="ListParagraph"/>
        <w:numPr>
          <w:ilvl w:val="0"/>
          <w:numId w:val="22"/>
        </w:numPr>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 Amendments sought for in s.498A IPC.</w:t>
      </w:r>
      <w:r w:rsidR="009D3581">
        <w:rPr>
          <w:rFonts w:ascii="Times New Roman" w:hAnsi="Times New Roman" w:cs="Times New Roman"/>
          <w:sz w:val="24"/>
          <w:szCs w:val="24"/>
        </w:rPr>
        <w:tab/>
      </w:r>
      <w:r w:rsidR="009D3581">
        <w:rPr>
          <w:rFonts w:ascii="Times New Roman" w:hAnsi="Times New Roman" w:cs="Times New Roman"/>
          <w:sz w:val="24"/>
          <w:szCs w:val="24"/>
        </w:rPr>
        <w:tab/>
        <w:t>12- 15</w:t>
      </w:r>
    </w:p>
    <w:p w:rsidR="002218FD" w:rsidRPr="00237544" w:rsidRDefault="002218FD" w:rsidP="00F468C4">
      <w:pPr>
        <w:pStyle w:val="ListParagraph"/>
        <w:numPr>
          <w:ilvl w:val="0"/>
          <w:numId w:val="13"/>
        </w:numPr>
        <w:tabs>
          <w:tab w:val="left" w:pos="540"/>
        </w:tabs>
        <w:spacing w:line="480" w:lineRule="auto"/>
        <w:jc w:val="both"/>
        <w:rPr>
          <w:rFonts w:ascii="Times New Roman" w:hAnsi="Times New Roman" w:cs="Times New Roman"/>
          <w:sz w:val="24"/>
          <w:szCs w:val="24"/>
        </w:rPr>
      </w:pPr>
      <w:r w:rsidRPr="00237544">
        <w:rPr>
          <w:rFonts w:ascii="Times New Roman" w:hAnsi="Times New Roman" w:cs="Times New Roman"/>
          <w:sz w:val="24"/>
          <w:szCs w:val="24"/>
        </w:rPr>
        <w:t>Economic considerations behind applicability of law.</w:t>
      </w:r>
      <w:r w:rsidR="009D3581">
        <w:rPr>
          <w:rFonts w:ascii="Times New Roman" w:hAnsi="Times New Roman" w:cs="Times New Roman"/>
          <w:sz w:val="24"/>
          <w:szCs w:val="24"/>
        </w:rPr>
        <w:t xml:space="preserve">    </w:t>
      </w:r>
      <w:r w:rsidR="009D3581">
        <w:rPr>
          <w:rFonts w:ascii="Times New Roman" w:hAnsi="Times New Roman" w:cs="Times New Roman"/>
          <w:sz w:val="24"/>
          <w:szCs w:val="24"/>
        </w:rPr>
        <w:tab/>
        <w:t>15- 26</w:t>
      </w:r>
    </w:p>
    <w:p w:rsidR="002218FD" w:rsidRPr="00237544" w:rsidRDefault="002218FD" w:rsidP="00F468C4">
      <w:pPr>
        <w:pStyle w:val="ListParagraph"/>
        <w:numPr>
          <w:ilvl w:val="0"/>
          <w:numId w:val="23"/>
        </w:numPr>
        <w:tabs>
          <w:tab w:val="left" w:pos="720"/>
          <w:tab w:val="left" w:pos="1440"/>
        </w:tabs>
        <w:spacing w:after="240" w:line="480" w:lineRule="auto"/>
        <w:contextualSpacing w:val="0"/>
        <w:jc w:val="both"/>
        <w:rPr>
          <w:rFonts w:ascii="Times New Roman" w:hAnsi="Times New Roman" w:cs="Times New Roman"/>
          <w:bCs/>
          <w:sz w:val="24"/>
          <w:szCs w:val="24"/>
          <w:lang w:eastAsia="en-IN"/>
        </w:rPr>
      </w:pPr>
      <w:r w:rsidRPr="00237544">
        <w:rPr>
          <w:rFonts w:ascii="Times New Roman" w:hAnsi="Times New Roman" w:cs="Times New Roman"/>
          <w:bCs/>
          <w:sz w:val="24"/>
          <w:szCs w:val="24"/>
          <w:lang w:eastAsia="en-IN"/>
        </w:rPr>
        <w:t>Section  27 of the Indian Contract Act.</w:t>
      </w:r>
      <w:r w:rsidR="009D3581">
        <w:rPr>
          <w:rFonts w:ascii="Times New Roman" w:hAnsi="Times New Roman" w:cs="Times New Roman"/>
          <w:bCs/>
          <w:sz w:val="24"/>
          <w:szCs w:val="24"/>
          <w:lang w:eastAsia="en-IN"/>
        </w:rPr>
        <w:tab/>
      </w:r>
      <w:r w:rsidR="009D3581">
        <w:rPr>
          <w:rFonts w:ascii="Times New Roman" w:hAnsi="Times New Roman" w:cs="Times New Roman"/>
          <w:bCs/>
          <w:sz w:val="24"/>
          <w:szCs w:val="24"/>
          <w:lang w:eastAsia="en-IN"/>
        </w:rPr>
        <w:tab/>
        <w:t>15-16</w:t>
      </w:r>
    </w:p>
    <w:p w:rsidR="009D3581" w:rsidRDefault="002218FD" w:rsidP="00F468C4">
      <w:pPr>
        <w:pStyle w:val="ListParagraph"/>
        <w:numPr>
          <w:ilvl w:val="0"/>
          <w:numId w:val="23"/>
        </w:numPr>
        <w:tabs>
          <w:tab w:val="left" w:pos="720"/>
          <w:tab w:val="left" w:pos="1440"/>
        </w:tabs>
        <w:autoSpaceDE w:val="0"/>
        <w:autoSpaceDN w:val="0"/>
        <w:adjustRightInd w:val="0"/>
        <w:spacing w:after="480" w:line="480" w:lineRule="auto"/>
        <w:jc w:val="both"/>
        <w:rPr>
          <w:rFonts w:ascii="Times New Roman" w:hAnsi="Times New Roman" w:cs="Times New Roman"/>
          <w:bCs/>
          <w:sz w:val="24"/>
          <w:szCs w:val="24"/>
        </w:rPr>
      </w:pPr>
      <w:r w:rsidRPr="00237544">
        <w:rPr>
          <w:rFonts w:ascii="Times New Roman" w:hAnsi="Times New Roman" w:cs="Times New Roman"/>
          <w:bCs/>
          <w:sz w:val="24"/>
          <w:szCs w:val="24"/>
        </w:rPr>
        <w:t xml:space="preserve">Restraint of Trade in context of Competition </w:t>
      </w:r>
      <w:r w:rsidR="00BA7333">
        <w:rPr>
          <w:rFonts w:ascii="Times New Roman" w:hAnsi="Times New Roman" w:cs="Times New Roman"/>
          <w:bCs/>
          <w:sz w:val="24"/>
          <w:szCs w:val="24"/>
        </w:rPr>
        <w:tab/>
        <w:t xml:space="preserve"> 16</w:t>
      </w:r>
    </w:p>
    <w:p w:rsidR="002218FD" w:rsidRPr="00237544" w:rsidRDefault="002218FD" w:rsidP="009D3581">
      <w:pPr>
        <w:pStyle w:val="ListParagraph"/>
        <w:tabs>
          <w:tab w:val="left" w:pos="720"/>
          <w:tab w:val="left" w:pos="1440"/>
        </w:tabs>
        <w:autoSpaceDE w:val="0"/>
        <w:autoSpaceDN w:val="0"/>
        <w:adjustRightInd w:val="0"/>
        <w:spacing w:after="480" w:line="480" w:lineRule="auto"/>
        <w:ind w:left="1440"/>
        <w:jc w:val="both"/>
        <w:rPr>
          <w:rFonts w:ascii="Times New Roman" w:hAnsi="Times New Roman" w:cs="Times New Roman"/>
          <w:bCs/>
          <w:sz w:val="24"/>
          <w:szCs w:val="24"/>
        </w:rPr>
      </w:pPr>
      <w:r w:rsidRPr="00237544">
        <w:rPr>
          <w:rFonts w:ascii="Times New Roman" w:hAnsi="Times New Roman" w:cs="Times New Roman"/>
          <w:bCs/>
          <w:sz w:val="24"/>
          <w:szCs w:val="24"/>
        </w:rPr>
        <w:t>Law and Competition Act, 2002</w:t>
      </w:r>
    </w:p>
    <w:p w:rsidR="00BA7333" w:rsidRPr="00BA7333" w:rsidRDefault="002218FD" w:rsidP="00F468C4">
      <w:pPr>
        <w:pStyle w:val="ListParagraph"/>
        <w:numPr>
          <w:ilvl w:val="0"/>
          <w:numId w:val="23"/>
        </w:numPr>
        <w:tabs>
          <w:tab w:val="left" w:pos="720"/>
          <w:tab w:val="left" w:pos="1440"/>
        </w:tabs>
        <w:autoSpaceDE w:val="0"/>
        <w:autoSpaceDN w:val="0"/>
        <w:adjustRightInd w:val="0"/>
        <w:spacing w:after="360" w:line="480" w:lineRule="auto"/>
        <w:jc w:val="both"/>
        <w:rPr>
          <w:rFonts w:ascii="Times New Roman" w:hAnsi="Times New Roman" w:cs="Times New Roman"/>
          <w:bCs/>
          <w:sz w:val="24"/>
          <w:szCs w:val="24"/>
        </w:rPr>
      </w:pPr>
      <w:r w:rsidRPr="00237544">
        <w:rPr>
          <w:rFonts w:ascii="Times New Roman" w:hAnsi="Times New Roman" w:cs="Times New Roman"/>
          <w:sz w:val="24"/>
          <w:szCs w:val="24"/>
          <w:lang w:eastAsia="en-IN"/>
        </w:rPr>
        <w:t xml:space="preserve">The economic considerations behind making </w:t>
      </w:r>
      <w:r w:rsidR="00BA7333">
        <w:rPr>
          <w:rFonts w:ascii="Times New Roman" w:hAnsi="Times New Roman" w:cs="Times New Roman"/>
          <w:sz w:val="24"/>
          <w:szCs w:val="24"/>
          <w:lang w:eastAsia="en-IN"/>
        </w:rPr>
        <w:tab/>
        <w:t>16-120</w:t>
      </w:r>
    </w:p>
    <w:p w:rsidR="00BA7333" w:rsidRDefault="002218FD" w:rsidP="00BA7333">
      <w:pPr>
        <w:pStyle w:val="ListParagraph"/>
        <w:tabs>
          <w:tab w:val="left" w:pos="720"/>
          <w:tab w:val="left" w:pos="1440"/>
        </w:tabs>
        <w:autoSpaceDE w:val="0"/>
        <w:autoSpaceDN w:val="0"/>
        <w:adjustRightInd w:val="0"/>
        <w:spacing w:after="360" w:line="480" w:lineRule="auto"/>
        <w:ind w:left="1440"/>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and changing of law governing trade and </w:t>
      </w:r>
    </w:p>
    <w:p w:rsidR="002218FD" w:rsidRPr="00237544" w:rsidRDefault="002218FD" w:rsidP="00BA7333">
      <w:pPr>
        <w:pStyle w:val="ListParagraph"/>
        <w:tabs>
          <w:tab w:val="left" w:pos="720"/>
          <w:tab w:val="left" w:pos="1440"/>
        </w:tabs>
        <w:autoSpaceDE w:val="0"/>
        <w:autoSpaceDN w:val="0"/>
        <w:adjustRightInd w:val="0"/>
        <w:spacing w:after="360" w:line="480" w:lineRule="auto"/>
        <w:ind w:left="1440"/>
        <w:jc w:val="both"/>
        <w:rPr>
          <w:rFonts w:ascii="Times New Roman" w:hAnsi="Times New Roman" w:cs="Times New Roman"/>
          <w:bCs/>
          <w:sz w:val="24"/>
          <w:szCs w:val="24"/>
        </w:rPr>
      </w:pPr>
      <w:r w:rsidRPr="00237544">
        <w:rPr>
          <w:rFonts w:ascii="Times New Roman" w:hAnsi="Times New Roman" w:cs="Times New Roman"/>
          <w:sz w:val="24"/>
          <w:szCs w:val="24"/>
          <w:lang w:eastAsia="en-IN"/>
        </w:rPr>
        <w:t>commerce in India.</w:t>
      </w:r>
    </w:p>
    <w:p w:rsidR="00BA7333" w:rsidRDefault="002218FD" w:rsidP="00F468C4">
      <w:pPr>
        <w:pStyle w:val="ListParagraph"/>
        <w:numPr>
          <w:ilvl w:val="0"/>
          <w:numId w:val="23"/>
        </w:numPr>
        <w:tabs>
          <w:tab w:val="left" w:pos="720"/>
          <w:tab w:val="left" w:pos="1440"/>
        </w:tabs>
        <w:spacing w:after="360" w:line="480" w:lineRule="auto"/>
        <w:jc w:val="both"/>
        <w:rPr>
          <w:rFonts w:ascii="Times New Roman" w:hAnsi="Times New Roman" w:cs="Times New Roman"/>
          <w:bCs/>
          <w:sz w:val="24"/>
          <w:szCs w:val="24"/>
          <w:lang w:eastAsia="en-IN"/>
        </w:rPr>
      </w:pPr>
      <w:r w:rsidRPr="00237544">
        <w:rPr>
          <w:rFonts w:ascii="Times New Roman" w:hAnsi="Times New Roman" w:cs="Times New Roman"/>
          <w:bCs/>
          <w:sz w:val="24"/>
          <w:szCs w:val="24"/>
          <w:lang w:eastAsia="en-IN"/>
        </w:rPr>
        <w:t xml:space="preserve">Maintaining Trade Secrets in Global Trade In </w:t>
      </w:r>
      <w:r w:rsidR="00BA7333">
        <w:rPr>
          <w:rFonts w:ascii="Times New Roman" w:hAnsi="Times New Roman" w:cs="Times New Roman"/>
          <w:bCs/>
          <w:sz w:val="24"/>
          <w:szCs w:val="24"/>
          <w:lang w:eastAsia="en-IN"/>
        </w:rPr>
        <w:tab/>
        <w:t>20-26</w:t>
      </w:r>
    </w:p>
    <w:p w:rsidR="002218FD" w:rsidRPr="00237544" w:rsidRDefault="002218FD" w:rsidP="00BA7333">
      <w:pPr>
        <w:pStyle w:val="ListParagraph"/>
        <w:tabs>
          <w:tab w:val="left" w:pos="720"/>
          <w:tab w:val="left" w:pos="1440"/>
        </w:tabs>
        <w:spacing w:after="360" w:line="480" w:lineRule="auto"/>
        <w:ind w:left="1440"/>
        <w:jc w:val="both"/>
        <w:rPr>
          <w:rFonts w:ascii="Times New Roman" w:hAnsi="Times New Roman" w:cs="Times New Roman"/>
          <w:bCs/>
          <w:sz w:val="24"/>
          <w:szCs w:val="24"/>
          <w:lang w:eastAsia="en-IN"/>
        </w:rPr>
      </w:pPr>
      <w:r w:rsidRPr="00237544">
        <w:rPr>
          <w:rFonts w:ascii="Times New Roman" w:hAnsi="Times New Roman" w:cs="Times New Roman"/>
          <w:bCs/>
          <w:sz w:val="24"/>
          <w:szCs w:val="24"/>
          <w:lang w:eastAsia="en-IN"/>
        </w:rPr>
        <w:t>Context of Restraint of Trade clause</w:t>
      </w:r>
    </w:p>
    <w:p w:rsidR="002218FD" w:rsidRPr="00237544" w:rsidRDefault="002218FD" w:rsidP="00F468C4">
      <w:pPr>
        <w:pStyle w:val="ListParagraph"/>
        <w:numPr>
          <w:ilvl w:val="1"/>
          <w:numId w:val="23"/>
        </w:numPr>
        <w:tabs>
          <w:tab w:val="left" w:pos="720"/>
          <w:tab w:val="left" w:pos="1440"/>
        </w:tabs>
        <w:spacing w:after="360" w:line="480" w:lineRule="auto"/>
        <w:jc w:val="both"/>
        <w:rPr>
          <w:rFonts w:ascii="Times New Roman" w:hAnsi="Times New Roman" w:cs="Times New Roman"/>
          <w:bCs/>
          <w:sz w:val="24"/>
          <w:szCs w:val="24"/>
          <w:lang w:eastAsia="en-IN"/>
        </w:rPr>
      </w:pPr>
      <w:r w:rsidRPr="00237544">
        <w:rPr>
          <w:rFonts w:ascii="Times New Roman" w:hAnsi="Times New Roman" w:cs="Times New Roman"/>
          <w:bCs/>
          <w:sz w:val="24"/>
          <w:szCs w:val="24"/>
          <w:lang w:eastAsia="en-IN"/>
        </w:rPr>
        <w:t>Intellectual Property Rights</w:t>
      </w:r>
    </w:p>
    <w:p w:rsidR="002218FD" w:rsidRPr="00237544" w:rsidRDefault="002218FD" w:rsidP="00F468C4">
      <w:pPr>
        <w:pStyle w:val="ListParagraph"/>
        <w:numPr>
          <w:ilvl w:val="1"/>
          <w:numId w:val="23"/>
        </w:numPr>
        <w:tabs>
          <w:tab w:val="left" w:pos="720"/>
          <w:tab w:val="left" w:pos="1440"/>
        </w:tabs>
        <w:spacing w:after="360" w:line="480" w:lineRule="auto"/>
        <w:jc w:val="both"/>
        <w:rPr>
          <w:rFonts w:ascii="Times New Roman" w:hAnsi="Times New Roman" w:cs="Times New Roman"/>
          <w:sz w:val="24"/>
          <w:szCs w:val="24"/>
          <w:lang w:eastAsia="en-IN"/>
        </w:rPr>
      </w:pPr>
      <w:r w:rsidRPr="00237544">
        <w:rPr>
          <w:rFonts w:ascii="Times New Roman" w:hAnsi="Times New Roman" w:cs="Times New Roman"/>
          <w:bCs/>
          <w:sz w:val="24"/>
          <w:szCs w:val="24"/>
          <w:lang w:eastAsia="en-IN"/>
        </w:rPr>
        <w:tab/>
        <w:t>Protection of Trade Secrets in India</w:t>
      </w:r>
    </w:p>
    <w:p w:rsidR="002218FD" w:rsidRPr="00544C3C" w:rsidRDefault="002218FD" w:rsidP="00F468C4">
      <w:pPr>
        <w:pStyle w:val="ListParagraph"/>
        <w:numPr>
          <w:ilvl w:val="0"/>
          <w:numId w:val="13"/>
        </w:numPr>
        <w:tabs>
          <w:tab w:val="left" w:pos="720"/>
          <w:tab w:val="left" w:pos="1440"/>
        </w:tabs>
        <w:spacing w:after="360" w:line="480" w:lineRule="auto"/>
        <w:jc w:val="both"/>
        <w:rPr>
          <w:rFonts w:ascii="Times New Roman" w:hAnsi="Times New Roman" w:cs="Times New Roman"/>
          <w:sz w:val="24"/>
          <w:szCs w:val="24"/>
          <w:lang w:eastAsia="en-IN"/>
        </w:rPr>
      </w:pPr>
      <w:r w:rsidRPr="00237544">
        <w:rPr>
          <w:rFonts w:ascii="Times New Roman" w:hAnsi="Times New Roman" w:cs="Times New Roman"/>
          <w:bCs/>
          <w:sz w:val="24"/>
          <w:szCs w:val="24"/>
          <w:lang w:eastAsia="en-IN"/>
        </w:rPr>
        <w:t>Conclusion</w:t>
      </w:r>
      <w:r w:rsidR="0062368F" w:rsidRPr="00237544">
        <w:rPr>
          <w:rFonts w:ascii="Times New Roman" w:hAnsi="Times New Roman" w:cs="Times New Roman"/>
          <w:bCs/>
          <w:sz w:val="24"/>
          <w:szCs w:val="24"/>
          <w:lang w:eastAsia="en-IN"/>
        </w:rPr>
        <w:t>.</w:t>
      </w:r>
      <w:r w:rsidR="00BA7333">
        <w:rPr>
          <w:rFonts w:ascii="Times New Roman" w:hAnsi="Times New Roman" w:cs="Times New Roman"/>
          <w:bCs/>
          <w:sz w:val="24"/>
          <w:szCs w:val="24"/>
          <w:lang w:eastAsia="en-IN"/>
        </w:rPr>
        <w:tab/>
      </w:r>
      <w:r w:rsidR="00BA7333">
        <w:rPr>
          <w:rFonts w:ascii="Times New Roman" w:hAnsi="Times New Roman" w:cs="Times New Roman"/>
          <w:bCs/>
          <w:sz w:val="24"/>
          <w:szCs w:val="24"/>
          <w:lang w:eastAsia="en-IN"/>
        </w:rPr>
        <w:tab/>
      </w:r>
      <w:r w:rsidR="00BA7333">
        <w:rPr>
          <w:rFonts w:ascii="Times New Roman" w:hAnsi="Times New Roman" w:cs="Times New Roman"/>
          <w:bCs/>
          <w:sz w:val="24"/>
          <w:szCs w:val="24"/>
          <w:lang w:eastAsia="en-IN"/>
        </w:rPr>
        <w:tab/>
      </w:r>
      <w:r w:rsidR="00BA7333">
        <w:rPr>
          <w:rFonts w:ascii="Times New Roman" w:hAnsi="Times New Roman" w:cs="Times New Roman"/>
          <w:bCs/>
          <w:sz w:val="24"/>
          <w:szCs w:val="24"/>
          <w:lang w:eastAsia="en-IN"/>
        </w:rPr>
        <w:tab/>
      </w:r>
      <w:r w:rsidR="00BA7333">
        <w:rPr>
          <w:rFonts w:ascii="Times New Roman" w:hAnsi="Times New Roman" w:cs="Times New Roman"/>
          <w:bCs/>
          <w:sz w:val="24"/>
          <w:szCs w:val="24"/>
          <w:lang w:eastAsia="en-IN"/>
        </w:rPr>
        <w:tab/>
      </w:r>
      <w:r w:rsidR="00BA7333">
        <w:rPr>
          <w:rFonts w:ascii="Times New Roman" w:hAnsi="Times New Roman" w:cs="Times New Roman"/>
          <w:bCs/>
          <w:sz w:val="24"/>
          <w:szCs w:val="24"/>
          <w:lang w:eastAsia="en-IN"/>
        </w:rPr>
        <w:tab/>
      </w:r>
      <w:r w:rsidR="00BA7333">
        <w:rPr>
          <w:rFonts w:ascii="Times New Roman" w:hAnsi="Times New Roman" w:cs="Times New Roman"/>
          <w:bCs/>
          <w:sz w:val="24"/>
          <w:szCs w:val="24"/>
          <w:lang w:eastAsia="en-IN"/>
        </w:rPr>
        <w:tab/>
        <w:t>26-27</w:t>
      </w:r>
    </w:p>
    <w:p w:rsidR="00544C3C" w:rsidRDefault="00544C3C" w:rsidP="00F468C4">
      <w:pPr>
        <w:pStyle w:val="ListParagraph"/>
        <w:tabs>
          <w:tab w:val="left" w:pos="720"/>
          <w:tab w:val="left" w:pos="1440"/>
        </w:tabs>
        <w:spacing w:after="360" w:line="480" w:lineRule="auto"/>
        <w:jc w:val="both"/>
        <w:rPr>
          <w:rFonts w:ascii="Times New Roman" w:hAnsi="Times New Roman" w:cs="Times New Roman"/>
          <w:sz w:val="24"/>
          <w:szCs w:val="24"/>
          <w:lang w:eastAsia="en-IN"/>
        </w:rPr>
      </w:pPr>
    </w:p>
    <w:p w:rsidR="00F468C4" w:rsidRDefault="00F468C4" w:rsidP="00F468C4">
      <w:pPr>
        <w:pStyle w:val="ListParagraph"/>
        <w:tabs>
          <w:tab w:val="left" w:pos="720"/>
          <w:tab w:val="left" w:pos="1440"/>
        </w:tabs>
        <w:spacing w:after="360" w:line="480" w:lineRule="auto"/>
        <w:jc w:val="both"/>
        <w:rPr>
          <w:rFonts w:ascii="Times New Roman" w:hAnsi="Times New Roman" w:cs="Times New Roman"/>
          <w:sz w:val="24"/>
          <w:szCs w:val="24"/>
          <w:lang w:eastAsia="en-IN"/>
        </w:rPr>
      </w:pPr>
    </w:p>
    <w:p w:rsidR="00F468C4" w:rsidRDefault="00F468C4" w:rsidP="00F468C4">
      <w:pPr>
        <w:pStyle w:val="ListParagraph"/>
        <w:tabs>
          <w:tab w:val="left" w:pos="720"/>
          <w:tab w:val="left" w:pos="1440"/>
        </w:tabs>
        <w:spacing w:after="360" w:line="480" w:lineRule="auto"/>
        <w:jc w:val="both"/>
        <w:rPr>
          <w:rFonts w:ascii="Times New Roman" w:hAnsi="Times New Roman" w:cs="Times New Roman"/>
          <w:sz w:val="24"/>
          <w:szCs w:val="24"/>
          <w:lang w:eastAsia="en-IN"/>
        </w:rPr>
      </w:pPr>
    </w:p>
    <w:p w:rsidR="00F468C4" w:rsidRDefault="00F468C4" w:rsidP="00F468C4">
      <w:pPr>
        <w:pStyle w:val="ListParagraph"/>
        <w:tabs>
          <w:tab w:val="left" w:pos="720"/>
          <w:tab w:val="left" w:pos="1440"/>
        </w:tabs>
        <w:spacing w:after="360" w:line="480" w:lineRule="auto"/>
        <w:jc w:val="both"/>
        <w:rPr>
          <w:rFonts w:ascii="Times New Roman" w:hAnsi="Times New Roman" w:cs="Times New Roman"/>
          <w:sz w:val="24"/>
          <w:szCs w:val="24"/>
          <w:lang w:eastAsia="en-IN"/>
        </w:rPr>
      </w:pPr>
    </w:p>
    <w:p w:rsidR="00F468C4" w:rsidRDefault="00F468C4" w:rsidP="00544C3C">
      <w:pPr>
        <w:pStyle w:val="ListParagraph"/>
        <w:tabs>
          <w:tab w:val="left" w:pos="720"/>
          <w:tab w:val="left" w:pos="1440"/>
        </w:tabs>
        <w:spacing w:after="360" w:line="360" w:lineRule="auto"/>
        <w:jc w:val="both"/>
        <w:rPr>
          <w:rFonts w:ascii="Times New Roman" w:hAnsi="Times New Roman" w:cs="Times New Roman"/>
          <w:sz w:val="24"/>
          <w:szCs w:val="24"/>
          <w:lang w:eastAsia="en-IN"/>
        </w:rPr>
      </w:pPr>
    </w:p>
    <w:p w:rsidR="00F468C4" w:rsidRDefault="00F468C4" w:rsidP="00544C3C">
      <w:pPr>
        <w:pStyle w:val="ListParagraph"/>
        <w:tabs>
          <w:tab w:val="left" w:pos="720"/>
          <w:tab w:val="left" w:pos="1440"/>
        </w:tabs>
        <w:spacing w:after="360" w:line="360" w:lineRule="auto"/>
        <w:jc w:val="both"/>
        <w:rPr>
          <w:rFonts w:ascii="Times New Roman" w:hAnsi="Times New Roman" w:cs="Times New Roman"/>
          <w:sz w:val="24"/>
          <w:szCs w:val="24"/>
          <w:lang w:eastAsia="en-IN"/>
        </w:rPr>
      </w:pPr>
    </w:p>
    <w:p w:rsidR="00F468C4" w:rsidRDefault="00F468C4" w:rsidP="00544C3C">
      <w:pPr>
        <w:pStyle w:val="ListParagraph"/>
        <w:tabs>
          <w:tab w:val="left" w:pos="720"/>
          <w:tab w:val="left" w:pos="1440"/>
        </w:tabs>
        <w:spacing w:after="360" w:line="360" w:lineRule="auto"/>
        <w:jc w:val="both"/>
        <w:rPr>
          <w:rFonts w:ascii="Times New Roman" w:hAnsi="Times New Roman" w:cs="Times New Roman"/>
          <w:sz w:val="24"/>
          <w:szCs w:val="24"/>
          <w:lang w:eastAsia="en-IN"/>
        </w:rPr>
      </w:pPr>
    </w:p>
    <w:p w:rsidR="00F468C4" w:rsidRDefault="00F468C4" w:rsidP="00544C3C">
      <w:pPr>
        <w:pStyle w:val="ListParagraph"/>
        <w:tabs>
          <w:tab w:val="left" w:pos="720"/>
          <w:tab w:val="left" w:pos="1440"/>
        </w:tabs>
        <w:spacing w:after="360" w:line="360" w:lineRule="auto"/>
        <w:jc w:val="both"/>
        <w:rPr>
          <w:rFonts w:ascii="Times New Roman" w:hAnsi="Times New Roman" w:cs="Times New Roman"/>
          <w:sz w:val="24"/>
          <w:szCs w:val="24"/>
          <w:lang w:eastAsia="en-IN"/>
        </w:rPr>
      </w:pPr>
    </w:p>
    <w:p w:rsidR="00F468C4" w:rsidRDefault="00F468C4" w:rsidP="00544C3C">
      <w:pPr>
        <w:pStyle w:val="ListParagraph"/>
        <w:tabs>
          <w:tab w:val="left" w:pos="720"/>
          <w:tab w:val="left" w:pos="1440"/>
        </w:tabs>
        <w:spacing w:after="360" w:line="360" w:lineRule="auto"/>
        <w:jc w:val="both"/>
        <w:rPr>
          <w:rFonts w:ascii="Times New Roman" w:hAnsi="Times New Roman" w:cs="Times New Roman"/>
          <w:sz w:val="24"/>
          <w:szCs w:val="24"/>
          <w:lang w:eastAsia="en-IN"/>
        </w:rPr>
      </w:pPr>
    </w:p>
    <w:p w:rsidR="00F468C4" w:rsidRDefault="00F468C4" w:rsidP="00544C3C">
      <w:pPr>
        <w:pStyle w:val="ListParagraph"/>
        <w:tabs>
          <w:tab w:val="left" w:pos="720"/>
          <w:tab w:val="left" w:pos="1440"/>
        </w:tabs>
        <w:spacing w:after="360" w:line="360" w:lineRule="auto"/>
        <w:jc w:val="both"/>
        <w:rPr>
          <w:rFonts w:ascii="Times New Roman" w:hAnsi="Times New Roman" w:cs="Times New Roman"/>
          <w:sz w:val="24"/>
          <w:szCs w:val="24"/>
          <w:lang w:eastAsia="en-IN"/>
        </w:rPr>
      </w:pPr>
    </w:p>
    <w:p w:rsidR="00F468C4" w:rsidRPr="001139D8" w:rsidRDefault="00F468C4" w:rsidP="001139D8">
      <w:pPr>
        <w:tabs>
          <w:tab w:val="left" w:pos="720"/>
          <w:tab w:val="left" w:pos="1440"/>
        </w:tabs>
        <w:spacing w:after="360" w:line="360" w:lineRule="auto"/>
        <w:jc w:val="both"/>
        <w:rPr>
          <w:rFonts w:ascii="Times New Roman" w:hAnsi="Times New Roman" w:cs="Times New Roman"/>
          <w:sz w:val="24"/>
          <w:szCs w:val="24"/>
          <w:lang w:eastAsia="en-IN"/>
        </w:rPr>
      </w:pPr>
    </w:p>
    <w:p w:rsidR="00847D26" w:rsidRPr="00237544" w:rsidRDefault="00E70CE7" w:rsidP="00544C3C">
      <w:pPr>
        <w:pStyle w:val="ListParagraph"/>
        <w:numPr>
          <w:ilvl w:val="0"/>
          <w:numId w:val="14"/>
        </w:numPr>
        <w:tabs>
          <w:tab w:val="left" w:pos="54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65B32">
        <w:rPr>
          <w:rFonts w:ascii="Times New Roman" w:hAnsi="Times New Roman" w:cs="Times New Roman"/>
          <w:b/>
          <w:sz w:val="24"/>
          <w:szCs w:val="24"/>
        </w:rPr>
        <w:t>Abstract</w:t>
      </w:r>
      <w:r w:rsidR="00847D26" w:rsidRPr="00237544">
        <w:rPr>
          <w:rFonts w:ascii="Times New Roman" w:hAnsi="Times New Roman" w:cs="Times New Roman"/>
          <w:b/>
          <w:sz w:val="24"/>
          <w:szCs w:val="24"/>
        </w:rPr>
        <w:t>-</w:t>
      </w:r>
    </w:p>
    <w:p w:rsidR="00847D26" w:rsidRPr="00237544" w:rsidRDefault="00847D26" w:rsidP="00544C3C">
      <w:pPr>
        <w:tabs>
          <w:tab w:val="left" w:pos="540"/>
        </w:tabs>
        <w:autoSpaceDE w:val="0"/>
        <w:autoSpaceDN w:val="0"/>
        <w:adjustRightInd w:val="0"/>
        <w:spacing w:after="0" w:line="360" w:lineRule="auto"/>
        <w:jc w:val="both"/>
        <w:rPr>
          <w:rFonts w:ascii="Times New Roman" w:hAnsi="Times New Roman" w:cs="Times New Roman"/>
          <w:color w:val="292526"/>
          <w:sz w:val="24"/>
          <w:szCs w:val="24"/>
        </w:rPr>
      </w:pPr>
      <w:r w:rsidRPr="00237544">
        <w:rPr>
          <w:rFonts w:ascii="Times New Roman" w:hAnsi="Times New Roman" w:cs="Times New Roman"/>
          <w:sz w:val="24"/>
          <w:szCs w:val="24"/>
        </w:rPr>
        <w:t>Though no singe definition can aptly describe the true connotation of ‘Inter Disciplinary Research’ it can be safely described to be that mode of research that converges information, data, techniques, tools, perspectives, concepts, and/or theories from two or more disciplines or bodies of specialized knowledge to advance fundamental understanding or to solve problems whose solutions are beyond the scope of a single discipline or field of research practice. Since law is nothing but a social engineering it is incumbent that the researchers focus on the date which is relevant to legal issues but not necessarily a provision of law. Hence this paper endevours to dig into the obstacles an inter disciplinary research faces by adopting basically few widely accepted methodologies like traditional mode of research (judicial pronouncements, statutory provisions),</w:t>
      </w:r>
      <w:r w:rsidRPr="00237544">
        <w:rPr>
          <w:rFonts w:ascii="Times New Roman" w:hAnsi="Times New Roman" w:cs="Times New Roman"/>
          <w:color w:val="292526"/>
          <w:sz w:val="24"/>
          <w:szCs w:val="24"/>
        </w:rPr>
        <w:t xml:space="preserve"> more rigorous scientific methods ( Collation of data beyond the discipline), delving into non legal fields to gauge its applicability in legal fields and mixing the both fields etc. This is important to properly gauge both the internal and external effectiveness of a legal system or its norms in changing scenario while interpreting the applicability or efficacy or need of existence or exclusion of a legal provision keeping in mind the human psychology, political and economic changes, popular perceptions and faith in law and its implementation.</w:t>
      </w:r>
    </w:p>
    <w:p w:rsidR="00847D26" w:rsidRPr="00237544" w:rsidRDefault="00847D26" w:rsidP="00544C3C">
      <w:pPr>
        <w:tabs>
          <w:tab w:val="left" w:pos="540"/>
        </w:tabs>
        <w:autoSpaceDE w:val="0"/>
        <w:autoSpaceDN w:val="0"/>
        <w:adjustRightInd w:val="0"/>
        <w:spacing w:after="0" w:line="360" w:lineRule="auto"/>
        <w:jc w:val="both"/>
        <w:rPr>
          <w:rFonts w:ascii="Times New Roman" w:hAnsi="Times New Roman" w:cs="Times New Roman"/>
          <w:color w:val="292526"/>
          <w:sz w:val="24"/>
          <w:szCs w:val="24"/>
        </w:rPr>
      </w:pPr>
    </w:p>
    <w:p w:rsidR="00803159" w:rsidRPr="00237544" w:rsidRDefault="00847D26" w:rsidP="00544C3C">
      <w:pPr>
        <w:tabs>
          <w:tab w:val="left" w:pos="540"/>
        </w:tabs>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color w:val="292526"/>
          <w:sz w:val="24"/>
          <w:szCs w:val="24"/>
        </w:rPr>
        <w:t xml:space="preserve">The presence of inter disciplinary research is very widely felt and meticulously put into force is not in only the realm of traditional legal academic research by academicians but in promulgation of law by Legislators and its interpretation by Courts is Law while applying the same in ever changing social perspective in which the advocates also plays a pivotal role in assisting the court to come to the right conclusion by putting by rival contentions. </w:t>
      </w:r>
      <w:r w:rsidRPr="00237544">
        <w:rPr>
          <w:rFonts w:ascii="Times New Roman" w:hAnsi="Times New Roman" w:cs="Times New Roman"/>
          <w:sz w:val="24"/>
          <w:szCs w:val="24"/>
        </w:rPr>
        <w:t xml:space="preserve">Interdisciplinary research is such mode of research by teams or individuals that integrates information, data, techniques, </w:t>
      </w:r>
      <w:r w:rsidRPr="00237544">
        <w:rPr>
          <w:rFonts w:ascii="Times New Roman" w:hAnsi="Times New Roman" w:cs="Times New Roman"/>
          <w:sz w:val="24"/>
          <w:szCs w:val="24"/>
        </w:rPr>
        <w:lastRenderedPageBreak/>
        <w:t>tools, perspectives, concepts, and/or theories from two or more disciplines or bodies of specialized knowledge to advance fundamental understanding or to solve problems whose solutions are beyond the scope of a single discipline or field of research practice.</w:t>
      </w:r>
    </w:p>
    <w:p w:rsidR="00A65B32" w:rsidRPr="00A65B32" w:rsidRDefault="00A65B32" w:rsidP="00544C3C">
      <w:pPr>
        <w:autoSpaceDE w:val="0"/>
        <w:autoSpaceDN w:val="0"/>
        <w:adjustRightInd w:val="0"/>
        <w:spacing w:after="0" w:line="360" w:lineRule="auto"/>
        <w:jc w:val="both"/>
        <w:rPr>
          <w:rFonts w:ascii="Times New Roman" w:hAnsi="Times New Roman" w:cs="Times New Roman"/>
          <w:b/>
          <w:sz w:val="24"/>
          <w:szCs w:val="24"/>
        </w:rPr>
      </w:pPr>
      <w:r w:rsidRPr="00A65B32">
        <w:rPr>
          <w:rFonts w:ascii="Times New Roman" w:hAnsi="Times New Roman" w:cs="Times New Roman"/>
          <w:b/>
          <w:sz w:val="24"/>
          <w:szCs w:val="24"/>
        </w:rPr>
        <w:t>Brief Introduction-</w:t>
      </w:r>
    </w:p>
    <w:p w:rsidR="00803159" w:rsidRPr="00237544" w:rsidRDefault="00803159"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In cases with no clear or obvious resolutions are cases in which the societal effects of the legal ruling are hardest to determine. So these are the cases that compel the most rigorous interdisciplinary study.</w:t>
      </w:r>
    </w:p>
    <w:p w:rsidR="00C855EC" w:rsidRPr="00237544" w:rsidRDefault="00C855EC"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For making advancement in the science of law, one needs to go into the ‘underlying principles or reasons of the law’. These activities warrant a systematic approach. An approach becomes systematic when a researcher follows scientific method. Generally, law is influenced by the prevailing social values and ethos. Most of the times, law also attempts to mould or change the existing social values and attitudes. Such a complex nature of law and its operation require systematic approach to the ‘understanding’ of ‘law’ and its ‘operational facets’.</w:t>
      </w:r>
    </w:p>
    <w:p w:rsidR="00064F9F" w:rsidRDefault="00064F9F" w:rsidP="00544C3C">
      <w:pPr>
        <w:pStyle w:val="ListParagraph"/>
        <w:tabs>
          <w:tab w:val="left" w:pos="540"/>
        </w:tabs>
        <w:autoSpaceDE w:val="0"/>
        <w:autoSpaceDN w:val="0"/>
        <w:adjustRightInd w:val="0"/>
        <w:spacing w:after="0" w:line="360" w:lineRule="auto"/>
        <w:ind w:left="90"/>
        <w:jc w:val="both"/>
        <w:rPr>
          <w:rFonts w:ascii="Times New Roman" w:hAnsi="Times New Roman" w:cs="Times New Roman"/>
          <w:sz w:val="24"/>
          <w:szCs w:val="24"/>
        </w:rPr>
      </w:pPr>
      <w:r w:rsidRPr="00237544">
        <w:rPr>
          <w:rFonts w:ascii="Times New Roman" w:hAnsi="Times New Roman" w:cs="Times New Roman"/>
          <w:sz w:val="24"/>
          <w:szCs w:val="24"/>
        </w:rPr>
        <w:t xml:space="preserve">The application of inter disciplinary in commonly traced in a legislative action which is the result of a very painstaking process of fact-finding effort relevant to the possible alternative courses of action and reviewing each alternative so as to arrive at a tentative view before coming to the conclusion to promulgate or amend a law. It also take help of expert advice from interested specialists. groups and forums in the society, is also in vogue. </w:t>
      </w:r>
    </w:p>
    <w:p w:rsidR="009D3581" w:rsidRPr="00E70CE7" w:rsidRDefault="009D3581" w:rsidP="00E70CE7">
      <w:pPr>
        <w:tabs>
          <w:tab w:val="left" w:pos="540"/>
        </w:tabs>
        <w:autoSpaceDE w:val="0"/>
        <w:autoSpaceDN w:val="0"/>
        <w:adjustRightInd w:val="0"/>
        <w:spacing w:after="0" w:line="360" w:lineRule="auto"/>
        <w:jc w:val="both"/>
        <w:rPr>
          <w:rFonts w:ascii="Times New Roman" w:hAnsi="Times New Roman" w:cs="Times New Roman"/>
          <w:sz w:val="24"/>
          <w:szCs w:val="24"/>
        </w:rPr>
      </w:pPr>
    </w:p>
    <w:p w:rsidR="00803159" w:rsidRPr="00237544" w:rsidRDefault="00803159" w:rsidP="00544C3C">
      <w:pPr>
        <w:tabs>
          <w:tab w:val="left" w:pos="540"/>
        </w:tabs>
        <w:autoSpaceDE w:val="0"/>
        <w:autoSpaceDN w:val="0"/>
        <w:adjustRightInd w:val="0"/>
        <w:spacing w:after="0" w:line="360" w:lineRule="auto"/>
        <w:jc w:val="both"/>
        <w:rPr>
          <w:rFonts w:ascii="Times New Roman" w:hAnsi="Times New Roman" w:cs="Times New Roman"/>
          <w:sz w:val="24"/>
          <w:szCs w:val="24"/>
        </w:rPr>
      </w:pPr>
    </w:p>
    <w:p w:rsidR="00847D26" w:rsidRDefault="002E56D5" w:rsidP="00544C3C">
      <w:pPr>
        <w:pStyle w:val="ListParagraph"/>
        <w:numPr>
          <w:ilvl w:val="0"/>
          <w:numId w:val="14"/>
        </w:numPr>
        <w:tabs>
          <w:tab w:val="left" w:pos="540"/>
        </w:tabs>
        <w:autoSpaceDE w:val="0"/>
        <w:autoSpaceDN w:val="0"/>
        <w:adjustRightInd w:val="0"/>
        <w:spacing w:after="0" w:line="360" w:lineRule="auto"/>
        <w:jc w:val="both"/>
        <w:rPr>
          <w:rFonts w:ascii="Times New Roman" w:hAnsi="Times New Roman" w:cs="Times New Roman"/>
          <w:b/>
          <w:sz w:val="24"/>
          <w:szCs w:val="24"/>
        </w:rPr>
      </w:pPr>
      <w:r w:rsidRPr="00237544">
        <w:rPr>
          <w:rFonts w:ascii="Times New Roman" w:hAnsi="Times New Roman" w:cs="Times New Roman"/>
          <w:sz w:val="24"/>
          <w:szCs w:val="24"/>
        </w:rPr>
        <w:t xml:space="preserve"> </w:t>
      </w:r>
      <w:r w:rsidRPr="00237544">
        <w:rPr>
          <w:rFonts w:ascii="Times New Roman" w:hAnsi="Times New Roman" w:cs="Times New Roman"/>
          <w:b/>
          <w:sz w:val="24"/>
          <w:szCs w:val="24"/>
        </w:rPr>
        <w:t>Research Methodology-</w:t>
      </w:r>
    </w:p>
    <w:p w:rsidR="00E70CE7" w:rsidRPr="00237544" w:rsidRDefault="00E70CE7" w:rsidP="00E70CE7">
      <w:pPr>
        <w:pStyle w:val="ListParagraph"/>
        <w:tabs>
          <w:tab w:val="left" w:pos="540"/>
        </w:tabs>
        <w:autoSpaceDE w:val="0"/>
        <w:autoSpaceDN w:val="0"/>
        <w:adjustRightInd w:val="0"/>
        <w:spacing w:after="0" w:line="360" w:lineRule="auto"/>
        <w:jc w:val="both"/>
        <w:rPr>
          <w:rFonts w:ascii="Times New Roman" w:hAnsi="Times New Roman" w:cs="Times New Roman"/>
          <w:b/>
          <w:sz w:val="24"/>
          <w:szCs w:val="24"/>
        </w:rPr>
      </w:pPr>
    </w:p>
    <w:p w:rsidR="002E56D5" w:rsidRPr="00237544" w:rsidRDefault="002E56D5"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Methodology is a scientific discipline which pertains to defining and systematizing</w:t>
      </w:r>
      <w:r w:rsidR="00064F9F" w:rsidRPr="00237544">
        <w:rPr>
          <w:rFonts w:ascii="Times New Roman" w:hAnsi="Times New Roman" w:cs="Times New Roman"/>
          <w:sz w:val="24"/>
          <w:szCs w:val="24"/>
        </w:rPr>
        <w:t xml:space="preserve">  </w:t>
      </w:r>
      <w:r w:rsidRPr="00237544">
        <w:rPr>
          <w:rFonts w:ascii="Times New Roman" w:hAnsi="Times New Roman" w:cs="Times New Roman"/>
          <w:sz w:val="24"/>
          <w:szCs w:val="24"/>
        </w:rPr>
        <w:t>methods, that is, appropriate ways of discerning the subject of investigation. Accordingly, legal methodology is a scientific discipline dealing with methods of discerning law and legal phenomena.</w:t>
      </w:r>
    </w:p>
    <w:p w:rsidR="00882369" w:rsidRPr="00237544" w:rsidRDefault="002E56D5"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While preparing this paper I adopted the </w:t>
      </w:r>
      <w:r w:rsidR="00D91231" w:rsidRPr="00237544">
        <w:rPr>
          <w:rFonts w:ascii="Times New Roman" w:hAnsi="Times New Roman" w:cs="Times New Roman"/>
          <w:sz w:val="24"/>
          <w:szCs w:val="24"/>
        </w:rPr>
        <w:t xml:space="preserve">mixture of </w:t>
      </w:r>
      <w:r w:rsidRPr="00237544">
        <w:rPr>
          <w:rFonts w:ascii="Times New Roman" w:hAnsi="Times New Roman" w:cs="Times New Roman"/>
          <w:sz w:val="24"/>
          <w:szCs w:val="24"/>
        </w:rPr>
        <w:t>type</w:t>
      </w:r>
      <w:r w:rsidR="00D91231" w:rsidRPr="00237544">
        <w:rPr>
          <w:rFonts w:ascii="Times New Roman" w:hAnsi="Times New Roman" w:cs="Times New Roman"/>
          <w:sz w:val="24"/>
          <w:szCs w:val="24"/>
        </w:rPr>
        <w:t>s</w:t>
      </w:r>
      <w:r w:rsidRPr="00237544">
        <w:rPr>
          <w:rFonts w:ascii="Times New Roman" w:hAnsi="Times New Roman" w:cs="Times New Roman"/>
          <w:sz w:val="24"/>
          <w:szCs w:val="24"/>
        </w:rPr>
        <w:t xml:space="preserve"> or method</w:t>
      </w:r>
      <w:r w:rsidR="00D91231" w:rsidRPr="00237544">
        <w:rPr>
          <w:rFonts w:ascii="Times New Roman" w:hAnsi="Times New Roman" w:cs="Times New Roman"/>
          <w:sz w:val="24"/>
          <w:szCs w:val="24"/>
        </w:rPr>
        <w:t xml:space="preserve">s </w:t>
      </w:r>
      <w:r w:rsidRPr="00237544">
        <w:rPr>
          <w:rFonts w:ascii="Times New Roman" w:hAnsi="Times New Roman" w:cs="Times New Roman"/>
          <w:sz w:val="24"/>
          <w:szCs w:val="24"/>
        </w:rPr>
        <w:t xml:space="preserve"> </w:t>
      </w:r>
      <w:r w:rsidR="00882369" w:rsidRPr="00237544">
        <w:rPr>
          <w:rFonts w:ascii="Times New Roman" w:hAnsi="Times New Roman" w:cs="Times New Roman"/>
          <w:sz w:val="24"/>
          <w:szCs w:val="24"/>
        </w:rPr>
        <w:t>which</w:t>
      </w:r>
      <w:r w:rsidRPr="00237544">
        <w:rPr>
          <w:rFonts w:ascii="Times New Roman" w:hAnsi="Times New Roman" w:cs="Times New Roman"/>
          <w:sz w:val="24"/>
          <w:szCs w:val="24"/>
        </w:rPr>
        <w:t xml:space="preserve"> is related to s</w:t>
      </w:r>
      <w:r w:rsidR="00882369" w:rsidRPr="00237544">
        <w:rPr>
          <w:rFonts w:ascii="Times New Roman" w:hAnsi="Times New Roman" w:cs="Times New Roman"/>
          <w:sz w:val="24"/>
          <w:szCs w:val="24"/>
        </w:rPr>
        <w:t xml:space="preserve">ome abstract idea(s) or theory </w:t>
      </w:r>
      <w:r w:rsidRPr="00237544">
        <w:rPr>
          <w:rFonts w:ascii="Times New Roman" w:hAnsi="Times New Roman" w:cs="Times New Roman"/>
          <w:sz w:val="24"/>
          <w:szCs w:val="24"/>
        </w:rPr>
        <w:t xml:space="preserve">to develop new concepts or to </w:t>
      </w:r>
      <w:r w:rsidR="00D91231" w:rsidRPr="00237544">
        <w:rPr>
          <w:rFonts w:ascii="Times New Roman" w:hAnsi="Times New Roman" w:cs="Times New Roman"/>
          <w:sz w:val="24"/>
          <w:szCs w:val="24"/>
        </w:rPr>
        <w:t xml:space="preserve">re-interpret </w:t>
      </w:r>
      <w:r w:rsidR="00D91231" w:rsidRPr="00237544">
        <w:rPr>
          <w:rFonts w:ascii="Times New Roman" w:hAnsi="Times New Roman" w:cs="Times New Roman"/>
          <w:sz w:val="24"/>
          <w:szCs w:val="24"/>
        </w:rPr>
        <w:lastRenderedPageBreak/>
        <w:t xml:space="preserve">the existing one by </w:t>
      </w:r>
      <w:r w:rsidRPr="00237544">
        <w:rPr>
          <w:rFonts w:ascii="Times New Roman" w:hAnsi="Times New Roman" w:cs="Times New Roman"/>
          <w:sz w:val="24"/>
          <w:szCs w:val="24"/>
        </w:rPr>
        <w:t xml:space="preserve">analysis of the existing conceptual </w:t>
      </w:r>
      <w:r w:rsidR="00174A23">
        <w:rPr>
          <w:rFonts w:ascii="Times New Roman" w:hAnsi="Times New Roman" w:cs="Times New Roman"/>
          <w:sz w:val="24"/>
          <w:szCs w:val="24"/>
        </w:rPr>
        <w:t>framework of and about law</w:t>
      </w:r>
      <w:r w:rsidR="00D91231" w:rsidRPr="00237544">
        <w:rPr>
          <w:rFonts w:ascii="Times New Roman" w:hAnsi="Times New Roman" w:cs="Times New Roman"/>
          <w:sz w:val="24"/>
          <w:szCs w:val="24"/>
        </w:rPr>
        <w:t xml:space="preserve">, </w:t>
      </w:r>
      <w:r w:rsidR="00882369" w:rsidRPr="00237544">
        <w:rPr>
          <w:rFonts w:ascii="Times New Roman" w:hAnsi="Times New Roman" w:cs="Times New Roman"/>
          <w:sz w:val="24"/>
          <w:szCs w:val="24"/>
        </w:rPr>
        <w:t xml:space="preserve"> Use of supporting disciplines • legal history; • legal sociology; • legal anthropology; • legal psychology; • law and b</w:t>
      </w:r>
      <w:r w:rsidR="00174A23">
        <w:rPr>
          <w:rFonts w:ascii="Times New Roman" w:hAnsi="Times New Roman" w:cs="Times New Roman"/>
          <w:sz w:val="24"/>
          <w:szCs w:val="24"/>
        </w:rPr>
        <w:t>iology; and • law and economics Helped a lot.</w:t>
      </w:r>
    </w:p>
    <w:p w:rsidR="00882369" w:rsidRPr="00237544" w:rsidRDefault="00D91231"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The tools used in the research were Use of Library , Use of Modern Technology/ Computer Assisted Research for Primary and Secondary Sources apart from Literature Review ,Questionnaire · Interview · Case study · Sampling etc ·</w:t>
      </w:r>
    </w:p>
    <w:p w:rsidR="00174A23" w:rsidRDefault="006526DD" w:rsidP="00174A23">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So these Methods resorted to here intends to acquaint the students of law and academicians with scientific methods of inquiry into law. It also intends to make them familiar with nature, scope, and significance of legal research. In addition, it endeavors to make them aware of role of legal research in the development of law and legal institutions, in particular in the context of socio-economic development of the country in general.</w:t>
      </w:r>
      <w:r w:rsidR="00064F9F" w:rsidRPr="00237544">
        <w:rPr>
          <w:rFonts w:ascii="Times New Roman" w:hAnsi="Times New Roman" w:cs="Times New Roman"/>
          <w:sz w:val="24"/>
          <w:szCs w:val="24"/>
        </w:rPr>
        <w:t xml:space="preserve"> </w:t>
      </w:r>
    </w:p>
    <w:p w:rsidR="009D3581" w:rsidRDefault="009D3581" w:rsidP="00174A23">
      <w:pPr>
        <w:autoSpaceDE w:val="0"/>
        <w:autoSpaceDN w:val="0"/>
        <w:adjustRightInd w:val="0"/>
        <w:spacing w:after="0" w:line="360" w:lineRule="auto"/>
        <w:jc w:val="both"/>
        <w:rPr>
          <w:rFonts w:ascii="Times New Roman" w:hAnsi="Times New Roman" w:cs="Times New Roman"/>
          <w:sz w:val="24"/>
          <w:szCs w:val="24"/>
        </w:rPr>
      </w:pPr>
    </w:p>
    <w:p w:rsidR="005A1245" w:rsidRPr="00237544" w:rsidRDefault="009D3581" w:rsidP="00174A2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3.</w:t>
      </w:r>
      <w:r w:rsidR="005A1245" w:rsidRPr="00237544">
        <w:rPr>
          <w:rFonts w:ascii="Times New Roman" w:hAnsi="Times New Roman" w:cs="Times New Roman"/>
          <w:b/>
          <w:sz w:val="24"/>
          <w:szCs w:val="24"/>
        </w:rPr>
        <w:t>BRANCHES OF INTERDISCIPLINARY RESEARCH</w:t>
      </w:r>
    </w:p>
    <w:p w:rsidR="005A1245" w:rsidRPr="00237544" w:rsidRDefault="00635213" w:rsidP="00544C3C">
      <w:pPr>
        <w:pStyle w:val="ListParagraph"/>
        <w:numPr>
          <w:ilvl w:val="0"/>
          <w:numId w:val="15"/>
        </w:num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As per jurists there is various ways to carry out such research like </w:t>
      </w:r>
      <w:r w:rsidR="005A1245" w:rsidRPr="00237544">
        <w:rPr>
          <w:rFonts w:ascii="Times New Roman" w:hAnsi="Times New Roman" w:cs="Times New Roman"/>
          <w:sz w:val="24"/>
          <w:szCs w:val="24"/>
        </w:rPr>
        <w:t xml:space="preserve"> interdisciplinarity: top-down interdisciplinarity and bottom-up interdisciplinarity (Folkers, 2010, 33). In the former, </w:t>
      </w:r>
      <w:r w:rsidRPr="00237544">
        <w:rPr>
          <w:rFonts w:ascii="Times New Roman" w:hAnsi="Times New Roman" w:cs="Times New Roman"/>
          <w:sz w:val="24"/>
          <w:szCs w:val="24"/>
        </w:rPr>
        <w:t>the researcher</w:t>
      </w:r>
      <w:r w:rsidR="005A1245" w:rsidRPr="00237544">
        <w:rPr>
          <w:rFonts w:ascii="Times New Roman" w:hAnsi="Times New Roman" w:cs="Times New Roman"/>
          <w:sz w:val="24"/>
          <w:szCs w:val="24"/>
        </w:rPr>
        <w:t xml:space="preserve"> formulates a hypothesis and brings together co-operation partners in order to test the hypothesis from a different standpoint. In the latter case, representatives of a wide variety of disciplines come together in order to develop a common hypothesis and to decide on adequate procedures to test it.</w:t>
      </w:r>
    </w:p>
    <w:p w:rsidR="00635213" w:rsidRPr="00237544" w:rsidRDefault="00635213" w:rsidP="00544C3C">
      <w:pPr>
        <w:pStyle w:val="ListParagraph"/>
        <w:numPr>
          <w:ilvl w:val="0"/>
          <w:numId w:val="15"/>
        </w:num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As per author Mathias M. Siems there are one basic type of interdisciplinary legal research and 3 advanced type of such research.</w:t>
      </w:r>
    </w:p>
    <w:p w:rsidR="00635213" w:rsidRPr="00237544" w:rsidRDefault="00635213" w:rsidP="00544C3C">
      <w:pPr>
        <w:pStyle w:val="ListParagraph"/>
        <w:numPr>
          <w:ilvl w:val="0"/>
          <w:numId w:val="15"/>
        </w:num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As per another author there are two different routes to interdisciplinary research: unilateral and multilateral. The unilateral method implies that a legal researcher aims at carrying out the research, starting from a research question based in the legal arena, but making use of the data from another discipline.25 Multilateral research is interdisciplinary research where from the start at least two experts from different disciplines work together. </w:t>
      </w:r>
    </w:p>
    <w:p w:rsidR="00635213" w:rsidRPr="00237544" w:rsidRDefault="00635213" w:rsidP="00544C3C">
      <w:pPr>
        <w:autoSpaceDE w:val="0"/>
        <w:autoSpaceDN w:val="0"/>
        <w:adjustRightInd w:val="0"/>
        <w:spacing w:after="0" w:line="360" w:lineRule="auto"/>
        <w:ind w:left="360"/>
        <w:jc w:val="both"/>
        <w:rPr>
          <w:rFonts w:ascii="Times New Roman" w:hAnsi="Times New Roman" w:cs="Times New Roman"/>
          <w:color w:val="292526"/>
          <w:sz w:val="24"/>
          <w:szCs w:val="24"/>
        </w:rPr>
      </w:pPr>
      <w:r w:rsidRPr="00237544">
        <w:rPr>
          <w:rFonts w:ascii="Times New Roman" w:hAnsi="Times New Roman" w:cs="Times New Roman"/>
          <w:color w:val="292526"/>
          <w:sz w:val="24"/>
          <w:szCs w:val="24"/>
        </w:rPr>
        <w:lastRenderedPageBreak/>
        <w:t>Which of these types a legal researcher chooses depends on the nature of the problem and his or her own skills and preferences. There are also specific benefits and pitfalls in conducting each of these types of interdisciplinary legal research. A general difficulty can be the lack of knowledge and skills to fully understand the methodologies of other academic disciplines.</w:t>
      </w:r>
    </w:p>
    <w:p w:rsidR="00847D26" w:rsidRPr="00A65B32" w:rsidRDefault="00847D26" w:rsidP="00544C3C">
      <w:pPr>
        <w:tabs>
          <w:tab w:val="left" w:pos="540"/>
        </w:tabs>
        <w:autoSpaceDE w:val="0"/>
        <w:autoSpaceDN w:val="0"/>
        <w:adjustRightInd w:val="0"/>
        <w:spacing w:after="0" w:line="360" w:lineRule="auto"/>
        <w:jc w:val="both"/>
        <w:rPr>
          <w:rFonts w:ascii="Times New Roman" w:hAnsi="Times New Roman" w:cs="Times New Roman"/>
          <w:sz w:val="24"/>
          <w:szCs w:val="24"/>
        </w:rPr>
      </w:pPr>
    </w:p>
    <w:p w:rsidR="003C50E6" w:rsidRPr="009D3581" w:rsidRDefault="009D3581" w:rsidP="009D3581">
      <w:pPr>
        <w:tabs>
          <w:tab w:val="left"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4.</w:t>
      </w:r>
      <w:r w:rsidR="003C50E6" w:rsidRPr="009D3581">
        <w:rPr>
          <w:rFonts w:ascii="Times New Roman" w:hAnsi="Times New Roman" w:cs="Times New Roman"/>
          <w:sz w:val="24"/>
          <w:szCs w:val="24"/>
        </w:rPr>
        <w:t xml:space="preserve">  HINDRANCES-</w:t>
      </w:r>
    </w:p>
    <w:p w:rsidR="0044748D" w:rsidRPr="00237544" w:rsidRDefault="0044748D" w:rsidP="00544C3C">
      <w:pPr>
        <w:pStyle w:val="ListParagraph"/>
        <w:numPr>
          <w:ilvl w:val="0"/>
          <w:numId w:val="16"/>
        </w:numPr>
        <w:tabs>
          <w:tab w:val="left" w:pos="540"/>
        </w:tabs>
        <w:autoSpaceDE w:val="0"/>
        <w:autoSpaceDN w:val="0"/>
        <w:adjustRightInd w:val="0"/>
        <w:spacing w:after="0" w:line="360" w:lineRule="auto"/>
        <w:jc w:val="both"/>
        <w:rPr>
          <w:rFonts w:ascii="Times New Roman" w:hAnsi="Times New Roman" w:cs="Times New Roman"/>
          <w:b/>
          <w:sz w:val="24"/>
          <w:szCs w:val="24"/>
        </w:rPr>
      </w:pPr>
      <w:r w:rsidRPr="00237544">
        <w:rPr>
          <w:rFonts w:ascii="Times New Roman" w:hAnsi="Times New Roman" w:cs="Times New Roman"/>
          <w:b/>
          <w:sz w:val="24"/>
          <w:szCs w:val="24"/>
        </w:rPr>
        <w:t xml:space="preserve">General </w:t>
      </w:r>
    </w:p>
    <w:p w:rsidR="00847D26" w:rsidRPr="00237544" w:rsidRDefault="00847D26" w:rsidP="00544C3C">
      <w:pPr>
        <w:pStyle w:val="ListParagraph"/>
        <w:numPr>
          <w:ilvl w:val="0"/>
          <w:numId w:val="2"/>
        </w:numPr>
        <w:tabs>
          <w:tab w:val="left" w:pos="540"/>
        </w:tabs>
        <w:autoSpaceDE w:val="0"/>
        <w:autoSpaceDN w:val="0"/>
        <w:adjustRightInd w:val="0"/>
        <w:spacing w:after="0" w:line="360" w:lineRule="auto"/>
        <w:ind w:left="1080" w:firstLine="0"/>
        <w:jc w:val="both"/>
        <w:rPr>
          <w:rFonts w:ascii="Times New Roman" w:hAnsi="Times New Roman" w:cs="Times New Roman"/>
          <w:sz w:val="24"/>
          <w:szCs w:val="24"/>
        </w:rPr>
      </w:pPr>
      <w:r w:rsidRPr="00237544">
        <w:rPr>
          <w:rFonts w:ascii="Times New Roman" w:hAnsi="Times New Roman" w:cs="Times New Roman"/>
          <w:sz w:val="24"/>
          <w:szCs w:val="24"/>
        </w:rPr>
        <w:t xml:space="preserve">Though it is very much fair to admit that law often takes into its fold nothing but human conduct in various complex situations and contingencies  ,more so, in criminal jurisprudence  the primacy of legal aspects can never be lost sight of while considering other scientific approaches including social engineering which may be </w:t>
      </w:r>
      <w:r w:rsidR="00064F9F" w:rsidRPr="00237544">
        <w:rPr>
          <w:rFonts w:ascii="Times New Roman" w:hAnsi="Times New Roman" w:cs="Times New Roman"/>
          <w:sz w:val="24"/>
          <w:szCs w:val="24"/>
        </w:rPr>
        <w:t>cited</w:t>
      </w:r>
      <w:r w:rsidRPr="00237544">
        <w:rPr>
          <w:rFonts w:ascii="Times New Roman" w:hAnsi="Times New Roman" w:cs="Times New Roman"/>
          <w:sz w:val="24"/>
          <w:szCs w:val="24"/>
        </w:rPr>
        <w:t xml:space="preserve"> below-</w:t>
      </w:r>
    </w:p>
    <w:p w:rsidR="00385975" w:rsidRPr="00237544" w:rsidRDefault="00847D26" w:rsidP="00544C3C">
      <w:pPr>
        <w:pStyle w:val="ListParagraph"/>
        <w:numPr>
          <w:ilvl w:val="0"/>
          <w:numId w:val="2"/>
        </w:numPr>
        <w:tabs>
          <w:tab w:val="left" w:pos="540"/>
        </w:tabs>
        <w:autoSpaceDE w:val="0"/>
        <w:autoSpaceDN w:val="0"/>
        <w:adjustRightInd w:val="0"/>
        <w:spacing w:after="0" w:line="360" w:lineRule="auto"/>
        <w:ind w:left="1080"/>
        <w:jc w:val="both"/>
        <w:rPr>
          <w:rFonts w:ascii="Times New Roman" w:hAnsi="Times New Roman" w:cs="Times New Roman"/>
          <w:sz w:val="24"/>
          <w:szCs w:val="24"/>
        </w:rPr>
      </w:pPr>
      <w:r w:rsidRPr="00237544">
        <w:rPr>
          <w:rFonts w:ascii="Times New Roman" w:hAnsi="Times New Roman" w:cs="Times New Roman"/>
          <w:sz w:val="24"/>
          <w:szCs w:val="24"/>
        </w:rPr>
        <w:t xml:space="preserve">Failure to determine the actual focus of research due to vagueness or lack of clarity is very common place in inter-disciplinary legal research. </w:t>
      </w:r>
    </w:p>
    <w:p w:rsidR="00847D26" w:rsidRPr="00237544" w:rsidRDefault="00847D26" w:rsidP="00544C3C">
      <w:pPr>
        <w:pStyle w:val="ListParagraph"/>
        <w:numPr>
          <w:ilvl w:val="0"/>
          <w:numId w:val="2"/>
        </w:numPr>
        <w:tabs>
          <w:tab w:val="left" w:pos="540"/>
        </w:tabs>
        <w:autoSpaceDE w:val="0"/>
        <w:autoSpaceDN w:val="0"/>
        <w:adjustRightInd w:val="0"/>
        <w:spacing w:after="0" w:line="360" w:lineRule="auto"/>
        <w:ind w:left="1080"/>
        <w:jc w:val="both"/>
        <w:rPr>
          <w:rFonts w:ascii="Times New Roman" w:hAnsi="Times New Roman" w:cs="Times New Roman"/>
          <w:sz w:val="24"/>
          <w:szCs w:val="24"/>
        </w:rPr>
      </w:pPr>
      <w:r w:rsidRPr="00237544">
        <w:rPr>
          <w:rFonts w:ascii="Times New Roman" w:hAnsi="Times New Roman" w:cs="Times New Roman"/>
          <w:sz w:val="24"/>
          <w:szCs w:val="24"/>
        </w:rPr>
        <w:t>Since the favour and tenor of every discipline is different from each other a legal researcher often face with hurdle in appreciating the actual purport of the language used in other discipline. The use of jargon widely used is different fields pose a great hurdle in inter-disciplinary legal research.</w:t>
      </w:r>
    </w:p>
    <w:p w:rsidR="00385975" w:rsidRPr="00237544" w:rsidRDefault="00847D26" w:rsidP="00544C3C">
      <w:pPr>
        <w:pStyle w:val="ListParagraph"/>
        <w:numPr>
          <w:ilvl w:val="0"/>
          <w:numId w:val="2"/>
        </w:numPr>
        <w:tabs>
          <w:tab w:val="left" w:pos="540"/>
        </w:tabs>
        <w:autoSpaceDE w:val="0"/>
        <w:autoSpaceDN w:val="0"/>
        <w:adjustRightInd w:val="0"/>
        <w:spacing w:after="0" w:line="360" w:lineRule="auto"/>
        <w:ind w:left="1080"/>
        <w:jc w:val="both"/>
        <w:rPr>
          <w:rFonts w:ascii="Times New Roman" w:hAnsi="Times New Roman" w:cs="Times New Roman"/>
          <w:sz w:val="24"/>
          <w:szCs w:val="24"/>
        </w:rPr>
      </w:pPr>
      <w:r w:rsidRPr="00237544">
        <w:rPr>
          <w:rFonts w:ascii="Times New Roman" w:hAnsi="Times New Roman" w:cs="Times New Roman"/>
          <w:sz w:val="24"/>
          <w:szCs w:val="24"/>
        </w:rPr>
        <w:t xml:space="preserve">The research technique and tools used in respective fields of study also differs to a great extent. The model used in scientific researches is more precise and object oriented that the legal research. </w:t>
      </w:r>
    </w:p>
    <w:p w:rsidR="00847D26" w:rsidRPr="00237544" w:rsidRDefault="00847D26" w:rsidP="00544C3C">
      <w:pPr>
        <w:pStyle w:val="ListParagraph"/>
        <w:numPr>
          <w:ilvl w:val="0"/>
          <w:numId w:val="2"/>
        </w:numPr>
        <w:tabs>
          <w:tab w:val="left" w:pos="540"/>
        </w:tabs>
        <w:autoSpaceDE w:val="0"/>
        <w:autoSpaceDN w:val="0"/>
        <w:adjustRightInd w:val="0"/>
        <w:spacing w:after="0" w:line="360" w:lineRule="auto"/>
        <w:ind w:left="1080"/>
        <w:jc w:val="both"/>
        <w:rPr>
          <w:rFonts w:ascii="Times New Roman" w:hAnsi="Times New Roman" w:cs="Times New Roman"/>
          <w:sz w:val="24"/>
          <w:szCs w:val="24"/>
        </w:rPr>
      </w:pPr>
      <w:r w:rsidRPr="00237544">
        <w:rPr>
          <w:rFonts w:ascii="Times New Roman" w:hAnsi="Times New Roman" w:cs="Times New Roman"/>
          <w:sz w:val="24"/>
          <w:szCs w:val="24"/>
        </w:rPr>
        <w:t>The individual attempt to carry out legal research without involving a temp from different walks of disciplines also creates problem form carrying out an effective inter-disciplinary legal research. The expertise of people from different discipline must be utilized to shift the proper information  from general jumble of facts which may not fit into the topic of research work.</w:t>
      </w:r>
    </w:p>
    <w:p w:rsidR="00847D26" w:rsidRPr="00237544" w:rsidRDefault="00847D26" w:rsidP="00544C3C">
      <w:pPr>
        <w:pStyle w:val="ListParagraph"/>
        <w:numPr>
          <w:ilvl w:val="0"/>
          <w:numId w:val="2"/>
        </w:numPr>
        <w:tabs>
          <w:tab w:val="left" w:pos="540"/>
          <w:tab w:val="left" w:pos="990"/>
        </w:tabs>
        <w:autoSpaceDE w:val="0"/>
        <w:autoSpaceDN w:val="0"/>
        <w:adjustRightInd w:val="0"/>
        <w:spacing w:after="0" w:line="360" w:lineRule="auto"/>
        <w:ind w:left="1080" w:firstLine="0"/>
        <w:jc w:val="both"/>
        <w:rPr>
          <w:rFonts w:ascii="Times New Roman" w:hAnsi="Times New Roman" w:cs="Times New Roman"/>
          <w:sz w:val="24"/>
          <w:szCs w:val="24"/>
        </w:rPr>
      </w:pPr>
      <w:r w:rsidRPr="00237544">
        <w:rPr>
          <w:rFonts w:ascii="Times New Roman" w:hAnsi="Times New Roman" w:cs="Times New Roman"/>
          <w:sz w:val="24"/>
          <w:szCs w:val="24"/>
        </w:rPr>
        <w:t xml:space="preserve">While carrying out unilateral interdisciplinary research one may face with typical problem like: (a)  choosing the right path to carry out the </w:t>
      </w:r>
      <w:r w:rsidRPr="00237544">
        <w:rPr>
          <w:rFonts w:ascii="Times New Roman" w:hAnsi="Times New Roman" w:cs="Times New Roman"/>
          <w:sz w:val="24"/>
          <w:szCs w:val="24"/>
        </w:rPr>
        <w:lastRenderedPageBreak/>
        <w:t>research work and understanding another discipline,(b) not understanding the other discipline or choosing a wrong discipline altogether,(c) not comprehending the measure  to integrate empirical result with legal discipline.</w:t>
      </w:r>
    </w:p>
    <w:p w:rsidR="00385975" w:rsidRPr="00237544" w:rsidRDefault="00847D26" w:rsidP="00544C3C">
      <w:pPr>
        <w:pStyle w:val="ListParagraph"/>
        <w:numPr>
          <w:ilvl w:val="0"/>
          <w:numId w:val="2"/>
        </w:numPr>
        <w:tabs>
          <w:tab w:val="left" w:pos="540"/>
        </w:tabs>
        <w:autoSpaceDE w:val="0"/>
        <w:autoSpaceDN w:val="0"/>
        <w:adjustRightInd w:val="0"/>
        <w:spacing w:after="0" w:line="360" w:lineRule="auto"/>
        <w:ind w:left="1080"/>
        <w:jc w:val="both"/>
        <w:rPr>
          <w:rFonts w:ascii="Times New Roman" w:hAnsi="Times New Roman" w:cs="Times New Roman"/>
          <w:sz w:val="24"/>
          <w:szCs w:val="24"/>
        </w:rPr>
      </w:pPr>
      <w:r w:rsidRPr="00237544">
        <w:rPr>
          <w:rFonts w:ascii="Times New Roman" w:hAnsi="Times New Roman" w:cs="Times New Roman"/>
          <w:sz w:val="24"/>
          <w:szCs w:val="24"/>
        </w:rPr>
        <w:t>Lack of imparting legal research technique in law schools is another hindrance in carrying out inter disciplinary legal research. In the absence of any methodical initiation in the techniques of research, the researcher depends upon trial and error method and he relies upon the existing legal research exercises as model.</w:t>
      </w:r>
    </w:p>
    <w:p w:rsidR="007134CA" w:rsidRPr="007134CA" w:rsidRDefault="00847D26" w:rsidP="00544C3C">
      <w:pPr>
        <w:pStyle w:val="ListParagraph"/>
        <w:numPr>
          <w:ilvl w:val="0"/>
          <w:numId w:val="16"/>
        </w:numPr>
        <w:tabs>
          <w:tab w:val="left" w:pos="540"/>
        </w:tabs>
        <w:autoSpaceDE w:val="0"/>
        <w:autoSpaceDN w:val="0"/>
        <w:adjustRightInd w:val="0"/>
        <w:spacing w:after="0" w:line="360" w:lineRule="auto"/>
        <w:jc w:val="both"/>
        <w:rPr>
          <w:rFonts w:ascii="Times New Roman" w:hAnsi="Times New Roman" w:cs="Times New Roman"/>
          <w:b/>
          <w:sz w:val="24"/>
          <w:szCs w:val="24"/>
        </w:rPr>
      </w:pPr>
      <w:r w:rsidRPr="007134CA">
        <w:rPr>
          <w:rFonts w:ascii="Times New Roman" w:hAnsi="Times New Roman" w:cs="Times New Roman"/>
          <w:sz w:val="24"/>
          <w:szCs w:val="24"/>
        </w:rPr>
        <w:t xml:space="preserve">The last but the least foremost obstacle encountered by the researcher while making this multi-dimensional research work is incorporation or integration of the inter disciplinary research field works. The infusion of non-legal work with the legal doctrine is most difficult task. </w:t>
      </w:r>
    </w:p>
    <w:p w:rsidR="0044748D" w:rsidRPr="007134CA" w:rsidRDefault="00D922AC" w:rsidP="00544C3C">
      <w:pPr>
        <w:pStyle w:val="ListParagraph"/>
        <w:numPr>
          <w:ilvl w:val="0"/>
          <w:numId w:val="16"/>
        </w:numPr>
        <w:tabs>
          <w:tab w:val="left" w:pos="540"/>
        </w:tabs>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Obstacles</w:t>
      </w:r>
      <w:r w:rsidR="006577F6" w:rsidRPr="007134CA">
        <w:rPr>
          <w:rFonts w:ascii="Times New Roman" w:hAnsi="Times New Roman" w:cs="Times New Roman"/>
          <w:b/>
          <w:sz w:val="24"/>
          <w:szCs w:val="24"/>
        </w:rPr>
        <w:t xml:space="preserve"> in the context of </w:t>
      </w:r>
      <w:r w:rsidR="008641CE" w:rsidRPr="007134CA">
        <w:rPr>
          <w:rFonts w:ascii="Times New Roman" w:hAnsi="Times New Roman" w:cs="Times New Roman"/>
          <w:b/>
          <w:sz w:val="24"/>
          <w:szCs w:val="24"/>
        </w:rPr>
        <w:t>Sociology</w:t>
      </w:r>
      <w:r w:rsidR="006577F6" w:rsidRPr="007134CA">
        <w:rPr>
          <w:rFonts w:ascii="Times New Roman" w:hAnsi="Times New Roman" w:cs="Times New Roman"/>
          <w:b/>
          <w:sz w:val="24"/>
          <w:szCs w:val="24"/>
        </w:rPr>
        <w:t>-</w:t>
      </w:r>
    </w:p>
    <w:p w:rsidR="006577F6" w:rsidRPr="00237544" w:rsidRDefault="006577F6" w:rsidP="00544C3C">
      <w:pPr>
        <w:pStyle w:val="ListParagraph"/>
        <w:spacing w:line="360" w:lineRule="auto"/>
        <w:jc w:val="both"/>
        <w:rPr>
          <w:rFonts w:ascii="Times New Roman" w:hAnsi="Times New Roman" w:cs="Times New Roman"/>
          <w:sz w:val="24"/>
          <w:szCs w:val="24"/>
        </w:rPr>
      </w:pPr>
      <w:r w:rsidRPr="00237544">
        <w:rPr>
          <w:rFonts w:ascii="Times New Roman" w:hAnsi="Times New Roman" w:cs="Times New Roman"/>
          <w:sz w:val="24"/>
          <w:szCs w:val="24"/>
        </w:rPr>
        <w:t>Though sociology of law and interdisciplinary research may have great potentialities yet many pitfalls can be watched like.</w:t>
      </w:r>
    </w:p>
    <w:p w:rsidR="006577F6" w:rsidRPr="00237544" w:rsidRDefault="006577F6" w:rsidP="00544C3C">
      <w:pPr>
        <w:pStyle w:val="ListParagraph"/>
        <w:numPr>
          <w:ilvl w:val="0"/>
          <w:numId w:val="17"/>
        </w:numPr>
        <w:spacing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Firstly, sociological research is extremely time consuming and costly. It has been stated: "Socio-legal research is more expensive, it calls for additional training; and it entails great </w:t>
      </w:r>
      <w:r w:rsidR="001139D8">
        <w:rPr>
          <w:rFonts w:ascii="Times New Roman" w:hAnsi="Times New Roman" w:cs="Times New Roman"/>
          <w:sz w:val="24"/>
          <w:szCs w:val="24"/>
        </w:rPr>
        <w:t>doctrinal and non doctrinal legal research</w:t>
      </w:r>
      <w:r w:rsidRPr="00237544">
        <w:rPr>
          <w:rFonts w:ascii="Times New Roman" w:hAnsi="Times New Roman" w:cs="Times New Roman"/>
          <w:sz w:val="24"/>
          <w:szCs w:val="24"/>
        </w:rPr>
        <w:t xml:space="preserve"> commitments of time and energy to produce meaningful results.</w:t>
      </w:r>
    </w:p>
    <w:p w:rsidR="006577F6" w:rsidRPr="00237544" w:rsidRDefault="006577F6" w:rsidP="00544C3C">
      <w:pPr>
        <w:pStyle w:val="ListParagraph"/>
        <w:numPr>
          <w:ilvl w:val="0"/>
          <w:numId w:val="17"/>
        </w:numPr>
        <w:spacing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Secondly, law-sociology research needs a strong base of doctrinal research. </w:t>
      </w:r>
      <w:r w:rsidR="008641CE" w:rsidRPr="00237544">
        <w:rPr>
          <w:rFonts w:ascii="Times New Roman" w:hAnsi="Times New Roman" w:cs="Times New Roman"/>
          <w:sz w:val="24"/>
          <w:szCs w:val="24"/>
        </w:rPr>
        <w:t xml:space="preserve">In the words of </w:t>
      </w:r>
      <w:r w:rsidRPr="00237544">
        <w:rPr>
          <w:rFonts w:ascii="Times New Roman" w:hAnsi="Times New Roman" w:cs="Times New Roman"/>
          <w:sz w:val="24"/>
          <w:szCs w:val="24"/>
        </w:rPr>
        <w:t>Upendra Baxi rightly points out that "law-society research cannot thrive on a weak infra-structure base of doctrinal type analyses of the authoritative legal materials.</w:t>
      </w:r>
    </w:p>
    <w:p w:rsidR="006577F6" w:rsidRPr="00237544" w:rsidRDefault="006577F6" w:rsidP="00544C3C">
      <w:pPr>
        <w:pStyle w:val="ListParagraph"/>
        <w:numPr>
          <w:ilvl w:val="0"/>
          <w:numId w:val="17"/>
        </w:numPr>
        <w:spacing w:line="360" w:lineRule="auto"/>
        <w:jc w:val="both"/>
        <w:rPr>
          <w:rFonts w:ascii="Times New Roman" w:hAnsi="Times New Roman" w:cs="Times New Roman"/>
          <w:sz w:val="24"/>
          <w:szCs w:val="24"/>
        </w:rPr>
      </w:pPr>
      <w:r w:rsidRPr="00237544">
        <w:rPr>
          <w:rFonts w:ascii="Times New Roman" w:hAnsi="Times New Roman" w:cs="Times New Roman"/>
          <w:sz w:val="24"/>
          <w:szCs w:val="24"/>
        </w:rPr>
        <w:t>Thirdly, sociological research may help in building general theories, but it seems inadequate where the problems are to be solved and the law is to be developed from case to case. For instance, as a matter of general theory it is axiomatic that governmental powers need to be checked as "power corrupts and absolute power corrupts absolutely", but too much check may result in governmental ineffectiveness.</w:t>
      </w:r>
    </w:p>
    <w:p w:rsidR="006577F6" w:rsidRPr="00237544" w:rsidRDefault="006577F6" w:rsidP="00544C3C">
      <w:pPr>
        <w:pStyle w:val="ListParagraph"/>
        <w:numPr>
          <w:ilvl w:val="0"/>
          <w:numId w:val="17"/>
        </w:numPr>
        <w:spacing w:line="360" w:lineRule="auto"/>
        <w:jc w:val="both"/>
        <w:rPr>
          <w:rFonts w:ascii="Times New Roman" w:hAnsi="Times New Roman" w:cs="Times New Roman"/>
          <w:sz w:val="24"/>
          <w:szCs w:val="24"/>
        </w:rPr>
      </w:pPr>
      <w:r w:rsidRPr="00237544">
        <w:rPr>
          <w:rFonts w:ascii="Times New Roman" w:hAnsi="Times New Roman" w:cs="Times New Roman"/>
          <w:sz w:val="24"/>
          <w:szCs w:val="24"/>
        </w:rPr>
        <w:lastRenderedPageBreak/>
        <w:t>Fourthly, the function of law in society is not only to follow or adapt itself to public opinion (assuming that it is possible to know correct public opinion) but also to give a lead and mould public opinion. When the law should follow one course or the other may not always be answered on the basis of sociological data but on the basis of one 's maturity of judgment, intuition, and experience,.</w:t>
      </w:r>
    </w:p>
    <w:p w:rsidR="006577F6" w:rsidRPr="00237544" w:rsidRDefault="006577F6" w:rsidP="00544C3C">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Fifthly, on account of complicated settings (and this particularly applies to economic data) and variable factors, we may again be thrown back to our own pre-conceived ideas, prejudices and feelings in furnishing solutions to certain problems. </w:t>
      </w:r>
    </w:p>
    <w:p w:rsidR="006577F6" w:rsidRPr="00237544" w:rsidRDefault="006577F6" w:rsidP="00544C3C">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Sixthly, though law-sociology research is of recent origin, yet it is common knowledge that even in the United States, where this kind of work has been done mostly, such researches have yet to show their potentiality in terms of translating the findings into legal propositions and norms. </w:t>
      </w:r>
    </w:p>
    <w:p w:rsidR="003C50E6" w:rsidRPr="00237544" w:rsidRDefault="003C50E6" w:rsidP="00544C3C">
      <w:pPr>
        <w:pStyle w:val="ListParagraph"/>
        <w:tabs>
          <w:tab w:val="left" w:pos="540"/>
        </w:tabs>
        <w:autoSpaceDE w:val="0"/>
        <w:autoSpaceDN w:val="0"/>
        <w:adjustRightInd w:val="0"/>
        <w:spacing w:after="0" w:line="360" w:lineRule="auto"/>
        <w:ind w:left="1800"/>
        <w:jc w:val="both"/>
        <w:rPr>
          <w:rFonts w:ascii="Times New Roman" w:hAnsi="Times New Roman" w:cs="Times New Roman"/>
          <w:sz w:val="24"/>
          <w:szCs w:val="24"/>
        </w:rPr>
      </w:pPr>
    </w:p>
    <w:p w:rsidR="00847D26" w:rsidRPr="009D3581" w:rsidRDefault="009D3581" w:rsidP="009D3581">
      <w:pPr>
        <w:tabs>
          <w:tab w:val="left" w:pos="540"/>
        </w:tabs>
        <w:autoSpaceDE w:val="0"/>
        <w:autoSpaceDN w:val="0"/>
        <w:adjustRightInd w:val="0"/>
        <w:spacing w:after="0" w:line="360" w:lineRule="auto"/>
        <w:ind w:left="360"/>
        <w:jc w:val="both"/>
        <w:rPr>
          <w:rFonts w:ascii="Times New Roman" w:hAnsi="Times New Roman" w:cs="Times New Roman"/>
          <w:color w:val="FF0000"/>
          <w:sz w:val="24"/>
          <w:szCs w:val="24"/>
        </w:rPr>
      </w:pPr>
      <w:r>
        <w:rPr>
          <w:rFonts w:ascii="Times New Roman" w:hAnsi="Times New Roman" w:cs="Times New Roman"/>
          <w:b/>
          <w:sz w:val="24"/>
          <w:szCs w:val="24"/>
        </w:rPr>
        <w:t>5.</w:t>
      </w:r>
      <w:r w:rsidR="00D922AC">
        <w:rPr>
          <w:rFonts w:ascii="Times New Roman" w:hAnsi="Times New Roman" w:cs="Times New Roman"/>
          <w:b/>
          <w:sz w:val="24"/>
          <w:szCs w:val="24"/>
        </w:rPr>
        <w:t xml:space="preserve"> </w:t>
      </w:r>
      <w:r w:rsidR="00847D26" w:rsidRPr="009D3581">
        <w:rPr>
          <w:rFonts w:ascii="Times New Roman" w:hAnsi="Times New Roman" w:cs="Times New Roman"/>
          <w:b/>
          <w:sz w:val="24"/>
          <w:szCs w:val="24"/>
        </w:rPr>
        <w:t>Evolution of Family Laws in India</w:t>
      </w:r>
      <w:r w:rsidR="00847D26" w:rsidRPr="009D3581">
        <w:rPr>
          <w:rFonts w:ascii="Times New Roman" w:hAnsi="Times New Roman" w:cs="Times New Roman"/>
          <w:sz w:val="24"/>
          <w:szCs w:val="24"/>
        </w:rPr>
        <w:t>-</w:t>
      </w:r>
      <w:r w:rsidR="00847D26" w:rsidRPr="009D3581">
        <w:rPr>
          <w:rFonts w:ascii="Times New Roman" w:hAnsi="Times New Roman" w:cs="Times New Roman"/>
          <w:color w:val="FF0000"/>
          <w:sz w:val="24"/>
          <w:szCs w:val="24"/>
        </w:rPr>
        <w:t xml:space="preserve"> </w:t>
      </w:r>
    </w:p>
    <w:p w:rsidR="00847D26" w:rsidRPr="00237544" w:rsidRDefault="00847D26" w:rsidP="00174A23">
      <w:pPr>
        <w:pStyle w:val="ListParagraph"/>
        <w:numPr>
          <w:ilvl w:val="0"/>
          <w:numId w:val="20"/>
        </w:numPr>
        <w:tabs>
          <w:tab w:val="left" w:pos="540"/>
        </w:tabs>
        <w:autoSpaceDE w:val="0"/>
        <w:autoSpaceDN w:val="0"/>
        <w:adjustRightInd w:val="0"/>
        <w:spacing w:after="0" w:line="360" w:lineRule="auto"/>
        <w:ind w:left="630" w:hanging="270"/>
        <w:jc w:val="both"/>
        <w:rPr>
          <w:rFonts w:ascii="Times New Roman" w:hAnsi="Times New Roman" w:cs="Times New Roman"/>
          <w:sz w:val="24"/>
          <w:szCs w:val="24"/>
        </w:rPr>
      </w:pPr>
      <w:r w:rsidRPr="00237544">
        <w:rPr>
          <w:rFonts w:ascii="Times New Roman" w:hAnsi="Times New Roman" w:cs="Times New Roman"/>
          <w:sz w:val="24"/>
          <w:szCs w:val="24"/>
        </w:rPr>
        <w:t>A close watch and analysis of family laws in India reveals tell tale sign of application of inter disciplinary research work forces put into while making new laws, changing it with passage of time and making new interpretation by judiciary to fit the existing laws in present scenario of varying thoughts of society with passing of every decade. Few of such instances are spelt out below-</w:t>
      </w:r>
    </w:p>
    <w:p w:rsidR="00847D26" w:rsidRPr="00237544" w:rsidRDefault="00847D26" w:rsidP="00544C3C">
      <w:pPr>
        <w:pStyle w:val="ListParagraph"/>
        <w:tabs>
          <w:tab w:val="left" w:pos="540"/>
        </w:tabs>
        <w:autoSpaceDE w:val="0"/>
        <w:autoSpaceDN w:val="0"/>
        <w:adjustRightInd w:val="0"/>
        <w:spacing w:after="0" w:line="360" w:lineRule="auto"/>
        <w:jc w:val="both"/>
        <w:rPr>
          <w:rFonts w:ascii="Times New Roman" w:eastAsia="Times New Roman" w:hAnsi="Times New Roman" w:cs="Times New Roman"/>
          <w:color w:val="3B3835"/>
          <w:sz w:val="24"/>
          <w:szCs w:val="24"/>
        </w:rPr>
      </w:pPr>
      <w:r w:rsidRPr="00237544">
        <w:rPr>
          <w:rFonts w:ascii="Times New Roman" w:hAnsi="Times New Roman" w:cs="Times New Roman"/>
          <w:sz w:val="24"/>
          <w:szCs w:val="24"/>
        </w:rPr>
        <w:t>The application of inter-disciplinary research is probably most widely used in Family Laws enactment, amendments and judicial pronouncements in the pre and post independent India.</w:t>
      </w:r>
      <w:r w:rsidRPr="00237544">
        <w:rPr>
          <w:rFonts w:ascii="Times New Roman" w:eastAsia="Times New Roman" w:hAnsi="Times New Roman" w:cs="Times New Roman"/>
          <w:color w:val="3B3835"/>
          <w:sz w:val="24"/>
          <w:szCs w:val="24"/>
        </w:rPr>
        <w:t xml:space="preserve"> Few laws were passed to encourage conversion to Christianity and to protect rights of the converts since under Hindu law, the children and subsequent generations of a Hindu who had converted to any other religion or had married out of caste or religion, lost inheritance to joint family property and a convert was open to desertion by a Hindu spouse on the ground of conversion.. </w:t>
      </w:r>
    </w:p>
    <w:p w:rsidR="009055F1" w:rsidRPr="00237544" w:rsidRDefault="00847D26" w:rsidP="00544C3C">
      <w:pPr>
        <w:pStyle w:val="ListParagraph"/>
        <w:numPr>
          <w:ilvl w:val="0"/>
          <w:numId w:val="3"/>
        </w:numPr>
        <w:tabs>
          <w:tab w:val="left" w:pos="540"/>
        </w:tabs>
        <w:autoSpaceDE w:val="0"/>
        <w:autoSpaceDN w:val="0"/>
        <w:adjustRightInd w:val="0"/>
        <w:spacing w:after="0" w:line="360" w:lineRule="auto"/>
        <w:ind w:left="720" w:hanging="90"/>
        <w:jc w:val="both"/>
        <w:rPr>
          <w:rFonts w:ascii="Times New Roman" w:hAnsi="Times New Roman" w:cs="Times New Roman"/>
          <w:sz w:val="24"/>
          <w:szCs w:val="24"/>
        </w:rPr>
      </w:pPr>
      <w:r w:rsidRPr="00237544">
        <w:rPr>
          <w:rFonts w:ascii="Times New Roman" w:eastAsia="Times New Roman" w:hAnsi="Times New Roman" w:cs="Times New Roman"/>
          <w:color w:val="3B3835"/>
          <w:sz w:val="24"/>
          <w:szCs w:val="24"/>
        </w:rPr>
        <w:lastRenderedPageBreak/>
        <w:t xml:space="preserve">The section 125 of  Code of Criminal Procedure, 1908ensures that a man must pay maintenance to his wife, children and dependants regardless of his income or religion. Now even parents have a right to maintenance from their children and Childless senior citizens i.e. those above 60 years have a right to maintenance from the relatives who are either in possession of, or are entitled to receive their property after their death for which a special Act - Welfare and Protection of Parents and Senior Citizens Act, 2005 was passed for the parents and senior citizens with insufficient resources to maintain themselves, after a great deal of advocacy by NGOs working for the elderly. </w:t>
      </w:r>
    </w:p>
    <w:p w:rsidR="00847D26" w:rsidRPr="00237544" w:rsidRDefault="00847D26" w:rsidP="00544C3C">
      <w:pPr>
        <w:pStyle w:val="ListParagraph"/>
        <w:numPr>
          <w:ilvl w:val="0"/>
          <w:numId w:val="3"/>
        </w:numPr>
        <w:tabs>
          <w:tab w:val="left" w:pos="540"/>
          <w:tab w:val="left" w:pos="810"/>
        </w:tabs>
        <w:autoSpaceDE w:val="0"/>
        <w:autoSpaceDN w:val="0"/>
        <w:adjustRightInd w:val="0"/>
        <w:spacing w:after="0" w:line="360" w:lineRule="auto"/>
        <w:ind w:left="720" w:firstLine="0"/>
        <w:jc w:val="both"/>
        <w:rPr>
          <w:rFonts w:ascii="Times New Roman" w:eastAsia="Times New Roman" w:hAnsi="Times New Roman" w:cs="Times New Roman"/>
          <w:color w:val="3B3835"/>
          <w:sz w:val="24"/>
          <w:szCs w:val="24"/>
        </w:rPr>
      </w:pPr>
      <w:r w:rsidRPr="00237544">
        <w:rPr>
          <w:rFonts w:ascii="Times New Roman" w:eastAsia="Times New Roman" w:hAnsi="Times New Roman" w:cs="Times New Roman"/>
          <w:color w:val="3B3835"/>
          <w:sz w:val="24"/>
          <w:szCs w:val="24"/>
        </w:rPr>
        <w:t xml:space="preserve">Another liberal and dynamic law known as the Protection of Women from Domestic Violence Act, 2005 has been passed after a great demand by women’s rights activists to conform to the international Convention on the Elimination of all Forms of Discrimination against Women (the CEDAW Convention). </w:t>
      </w:r>
    </w:p>
    <w:p w:rsidR="00531ED9" w:rsidRPr="00237544" w:rsidRDefault="00847D26" w:rsidP="00544C3C">
      <w:pPr>
        <w:pStyle w:val="ListParagraph"/>
        <w:numPr>
          <w:ilvl w:val="0"/>
          <w:numId w:val="3"/>
        </w:numPr>
        <w:tabs>
          <w:tab w:val="left" w:pos="540"/>
          <w:tab w:val="left" w:pos="810"/>
        </w:tabs>
        <w:autoSpaceDE w:val="0"/>
        <w:autoSpaceDN w:val="0"/>
        <w:adjustRightInd w:val="0"/>
        <w:spacing w:after="0" w:line="360" w:lineRule="auto"/>
        <w:ind w:left="720" w:firstLine="0"/>
        <w:jc w:val="both"/>
        <w:rPr>
          <w:rFonts w:ascii="Times New Roman" w:hAnsi="Times New Roman" w:cs="Times New Roman"/>
          <w:sz w:val="24"/>
          <w:szCs w:val="24"/>
        </w:rPr>
      </w:pPr>
      <w:r w:rsidRPr="00237544">
        <w:rPr>
          <w:rFonts w:ascii="Times New Roman" w:eastAsia="Times New Roman" w:hAnsi="Times New Roman" w:cs="Times New Roman"/>
          <w:color w:val="3B3835"/>
          <w:sz w:val="24"/>
          <w:szCs w:val="24"/>
        </w:rPr>
        <w:t xml:space="preserve">Over the years changes were made in adoption laws as well. To constitute a valid adoption a Hindu male who had the capacity and right to take a child in adoption could adopt a Hindu child; and if he had a wife living then he could adopt with the consent of his wife. Under the amendment of the Hindu Adoptions and Maintenance Act, 1956 (Section 8) in 2010, a female Hindu can take a child in adoption and if she has a living husband she can adopt a child with the consent of her husband. There have been Amendments in 2010 of the Guardians and Wards Act, 1890 and the Hindu Adoptions and Maintenance Act, 1956 for gender equality of the Personal Laws. The amendment in the Guardians and Wards Act, 1890 aims to bring “gender equality in the matter of guardianship under and in the matter of giving in or taking in adoption a son or a daughter by father or mother under the Hindu Adoptions and Maintenance Act, 1956. Under Clause (b) section 19 of the Guardians and Wards Act, 1890, mother was not included as Guardian along with the father.” Based on the report of the Law Commission of India on “the Guardians and Wards Act, 1890 and </w:t>
      </w:r>
      <w:r w:rsidRPr="00237544">
        <w:rPr>
          <w:rFonts w:ascii="Times New Roman" w:eastAsia="Times New Roman" w:hAnsi="Times New Roman" w:cs="Times New Roman"/>
          <w:color w:val="3B3835"/>
          <w:sz w:val="24"/>
          <w:szCs w:val="24"/>
        </w:rPr>
        <w:lastRenderedPageBreak/>
        <w:t xml:space="preserve">certain provisions of the Hindu Minority and Guardianship Act, 1956”, amendments have been made in clause (b) of section 19 to include mother along with the father for the purpose of removing the gender inequality. </w:t>
      </w:r>
    </w:p>
    <w:p w:rsidR="00847D26" w:rsidRPr="00237544" w:rsidRDefault="00847D26" w:rsidP="00544C3C">
      <w:pPr>
        <w:pStyle w:val="ListParagraph"/>
        <w:numPr>
          <w:ilvl w:val="0"/>
          <w:numId w:val="3"/>
        </w:numPr>
        <w:tabs>
          <w:tab w:val="left" w:pos="540"/>
          <w:tab w:val="left" w:pos="810"/>
        </w:tabs>
        <w:autoSpaceDE w:val="0"/>
        <w:autoSpaceDN w:val="0"/>
        <w:adjustRightInd w:val="0"/>
        <w:spacing w:after="0" w:line="360" w:lineRule="auto"/>
        <w:ind w:left="720" w:firstLine="0"/>
        <w:jc w:val="both"/>
        <w:rPr>
          <w:rFonts w:ascii="Times New Roman" w:hAnsi="Times New Roman" w:cs="Times New Roman"/>
          <w:sz w:val="24"/>
          <w:szCs w:val="24"/>
        </w:rPr>
      </w:pPr>
      <w:r w:rsidRPr="00237544">
        <w:rPr>
          <w:rFonts w:ascii="Times New Roman" w:eastAsia="Times New Roman" w:hAnsi="Times New Roman" w:cs="Times New Roman"/>
          <w:color w:val="3B3835"/>
          <w:sz w:val="24"/>
          <w:szCs w:val="24"/>
        </w:rPr>
        <w:t xml:space="preserve">A paradigm shift can be noticed by the judicial pronouncement in by the Supreme Court of India </w:t>
      </w:r>
      <w:r w:rsidRPr="00237544">
        <w:rPr>
          <w:rFonts w:ascii="Times New Roman" w:hAnsi="Times New Roman" w:cs="Times New Roman"/>
          <w:bCs/>
          <w:color w:val="000000"/>
          <w:sz w:val="24"/>
          <w:szCs w:val="24"/>
          <w:shd w:val="clear" w:color="auto" w:fill="FFFFFF"/>
        </w:rPr>
        <w:t xml:space="preserve">M/S Shabnam Hashmi vs Union Of India &amp; Ors on 19 February, 2014 whereby the right of Muslim couple to adopt a child was recognised which is thought to be prohibited by the Sharia Laws. The change in adoption was </w:t>
      </w:r>
      <w:r w:rsidRPr="00237544">
        <w:rPr>
          <w:rFonts w:ascii="Times New Roman" w:hAnsi="Times New Roman" w:cs="Times New Roman"/>
          <w:color w:val="000000"/>
          <w:sz w:val="24"/>
          <w:szCs w:val="24"/>
          <w:shd w:val="clear" w:color="auto" w:fill="FFFFFF"/>
        </w:rPr>
        <w:t>nudged by the judicial verdict in Lakshmi Kant Pandey Vs. Union of India, (</w:t>
      </w:r>
      <w:r w:rsidRPr="00237544">
        <w:rPr>
          <w:rFonts w:ascii="Times New Roman" w:hAnsi="Times New Roman" w:cs="Times New Roman"/>
          <w:color w:val="000000"/>
          <w:sz w:val="24"/>
          <w:szCs w:val="24"/>
        </w:rPr>
        <w:t>(1984) 2 SCC 244</w:t>
      </w:r>
      <w:r w:rsidRPr="00237544">
        <w:rPr>
          <w:rFonts w:ascii="Times New Roman" w:hAnsi="Times New Roman" w:cs="Times New Roman"/>
          <w:color w:val="000000"/>
          <w:sz w:val="24"/>
          <w:szCs w:val="24"/>
          <w:shd w:val="clear" w:color="auto" w:fill="FFFFFF"/>
        </w:rPr>
        <w:t xml:space="preserve"> ,and the supplemental, if not consequential, legislative innovations in the shape of </w:t>
      </w:r>
      <w:r w:rsidRPr="00237544">
        <w:rPr>
          <w:rFonts w:ascii="Times New Roman" w:hAnsi="Times New Roman" w:cs="Times New Roman"/>
          <w:sz w:val="24"/>
          <w:szCs w:val="24"/>
          <w:shd w:val="clear" w:color="auto" w:fill="FFFFFF"/>
        </w:rPr>
        <w:t>the</w:t>
      </w:r>
      <w:r w:rsidRPr="00237544">
        <w:rPr>
          <w:rStyle w:val="apple-converted-space"/>
          <w:rFonts w:ascii="Times New Roman" w:hAnsi="Times New Roman" w:cs="Times New Roman"/>
          <w:sz w:val="24"/>
          <w:szCs w:val="24"/>
          <w:shd w:val="clear" w:color="auto" w:fill="FFFFFF"/>
        </w:rPr>
        <w:t> </w:t>
      </w:r>
      <w:hyperlink r:id="rId7" w:history="1">
        <w:r w:rsidRPr="00237544">
          <w:rPr>
            <w:rStyle w:val="Hyperlink"/>
            <w:rFonts w:ascii="Times New Roman" w:hAnsi="Times New Roman" w:cs="Times New Roman"/>
            <w:color w:val="auto"/>
            <w:sz w:val="24"/>
            <w:szCs w:val="24"/>
            <w:u w:val="none"/>
            <w:shd w:val="clear" w:color="auto" w:fill="FFFFFF"/>
          </w:rPr>
          <w:t>Juvenile Justice (Care And Protection of Children) Act</w:t>
        </w:r>
      </w:hyperlink>
      <w:r w:rsidRPr="00237544">
        <w:rPr>
          <w:rFonts w:ascii="Times New Roman" w:hAnsi="Times New Roman" w:cs="Times New Roman"/>
          <w:sz w:val="24"/>
          <w:szCs w:val="24"/>
          <w:shd w:val="clear" w:color="auto" w:fill="FFFFFF"/>
        </w:rPr>
        <w:t>, 2000 as amen</w:t>
      </w:r>
      <w:r w:rsidRPr="00237544">
        <w:rPr>
          <w:rFonts w:ascii="Times New Roman" w:hAnsi="Times New Roman" w:cs="Times New Roman"/>
          <w:color w:val="000000"/>
          <w:sz w:val="24"/>
          <w:szCs w:val="24"/>
          <w:shd w:val="clear" w:color="auto" w:fill="FFFFFF"/>
        </w:rPr>
        <w:t xml:space="preserve">ded in 2006 (hereinafter for short ‘the JJ Act, 2000) as also The Juvenile Justice (Care and Protection of Children) Rules promulgated in the year 2007 (hereinafter for short ‘the JJ Rules, 2007’). The court in clear language paved the way for adoption by willing Muslim couple. It held that </w:t>
      </w:r>
      <w:r w:rsidRPr="00237544">
        <w:rPr>
          <w:rStyle w:val="apple-converted-space"/>
          <w:rFonts w:ascii="Times New Roman" w:hAnsi="Times New Roman" w:cs="Times New Roman"/>
          <w:color w:val="000000"/>
          <w:sz w:val="24"/>
          <w:szCs w:val="24"/>
          <w:shd w:val="clear" w:color="auto" w:fill="FFFFFF"/>
        </w:rPr>
        <w:t> </w:t>
      </w:r>
      <w:r w:rsidRPr="00237544">
        <w:rPr>
          <w:rFonts w:ascii="Times New Roman" w:hAnsi="Times New Roman" w:cs="Times New Roman"/>
          <w:color w:val="000000"/>
          <w:sz w:val="24"/>
          <w:szCs w:val="24"/>
          <w:shd w:val="clear" w:color="auto" w:fill="FFFFFF"/>
        </w:rPr>
        <w:t>The JJ Act, 2000, as amended, is an enabling legislation that gives a prospective parent the option of adopting an eligible child by following the procedure prescribed by the Act, Rules and the CARA guidelines, as notified under the Act.</w:t>
      </w:r>
      <w:r w:rsidRPr="00237544">
        <w:rPr>
          <w:rStyle w:val="apple-converted-space"/>
          <w:rFonts w:ascii="Times New Roman" w:hAnsi="Times New Roman" w:cs="Times New Roman"/>
          <w:color w:val="000000"/>
          <w:sz w:val="24"/>
          <w:szCs w:val="24"/>
          <w:shd w:val="clear" w:color="auto" w:fill="FFFFFF"/>
        </w:rPr>
        <w:t> </w:t>
      </w:r>
      <w:hyperlink r:id="rId8" w:history="1">
        <w:r w:rsidRPr="00237544">
          <w:rPr>
            <w:rStyle w:val="Hyperlink"/>
            <w:rFonts w:ascii="Times New Roman" w:hAnsi="Times New Roman" w:cs="Times New Roman"/>
            <w:color w:val="1100CC"/>
            <w:sz w:val="24"/>
            <w:szCs w:val="24"/>
            <w:u w:val="none"/>
            <w:shd w:val="clear" w:color="auto" w:fill="FFFFFF"/>
          </w:rPr>
          <w:t>The Act</w:t>
        </w:r>
      </w:hyperlink>
      <w:r w:rsidRPr="00237544">
        <w:rPr>
          <w:rStyle w:val="apple-converted-space"/>
          <w:rFonts w:ascii="Times New Roman" w:hAnsi="Times New Roman" w:cs="Times New Roman"/>
          <w:color w:val="000000"/>
          <w:sz w:val="24"/>
          <w:szCs w:val="24"/>
          <w:shd w:val="clear" w:color="auto" w:fill="FFFFFF"/>
        </w:rPr>
        <w:t> </w:t>
      </w:r>
      <w:r w:rsidRPr="00237544">
        <w:rPr>
          <w:rFonts w:ascii="Times New Roman" w:hAnsi="Times New Roman" w:cs="Times New Roman"/>
          <w:color w:val="000000"/>
          <w:sz w:val="24"/>
          <w:szCs w:val="24"/>
          <w:shd w:val="clear" w:color="auto" w:fill="FFFFFF"/>
        </w:rPr>
        <w:t xml:space="preserve">does not mandate any compulsive action by any prospective parent leaving such person with the liberty of accessing the provisions of the Act, if he so desires. Such a person is always free to adopt or choose not to do so and, instead, follow what he comprehends to be the dictates of the personal law applicable to him. To us, the Act is a small step in reaching the goal </w:t>
      </w:r>
      <w:r w:rsidRPr="00237544">
        <w:rPr>
          <w:rFonts w:ascii="Times New Roman" w:hAnsi="Times New Roman" w:cs="Times New Roman"/>
          <w:sz w:val="24"/>
          <w:szCs w:val="24"/>
          <w:shd w:val="clear" w:color="auto" w:fill="FFFFFF"/>
        </w:rPr>
        <w:t>enshrined by</w:t>
      </w:r>
      <w:r w:rsidRPr="00237544">
        <w:rPr>
          <w:rStyle w:val="apple-converted-space"/>
          <w:rFonts w:ascii="Times New Roman" w:hAnsi="Times New Roman" w:cs="Times New Roman"/>
          <w:sz w:val="24"/>
          <w:szCs w:val="24"/>
          <w:shd w:val="clear" w:color="auto" w:fill="FFFFFF"/>
        </w:rPr>
        <w:t> </w:t>
      </w:r>
      <w:hyperlink r:id="rId9" w:history="1">
        <w:r w:rsidRPr="00D922AC">
          <w:rPr>
            <w:rStyle w:val="Hyperlink"/>
            <w:rFonts w:ascii="Times New Roman" w:hAnsi="Times New Roman" w:cs="Times New Roman"/>
            <w:color w:val="auto"/>
            <w:sz w:val="24"/>
            <w:szCs w:val="24"/>
            <w:u w:val="none"/>
            <w:shd w:val="clear" w:color="auto" w:fill="FFFFFF"/>
          </w:rPr>
          <w:t>Article 44</w:t>
        </w:r>
      </w:hyperlink>
      <w:r w:rsidRPr="00237544">
        <w:rPr>
          <w:rStyle w:val="apple-converted-space"/>
          <w:rFonts w:ascii="Times New Roman" w:hAnsi="Times New Roman" w:cs="Times New Roman"/>
          <w:sz w:val="24"/>
          <w:szCs w:val="24"/>
          <w:shd w:val="clear" w:color="auto" w:fill="FFFFFF"/>
        </w:rPr>
        <w:t> </w:t>
      </w:r>
      <w:r w:rsidRPr="00237544">
        <w:rPr>
          <w:rFonts w:ascii="Times New Roman" w:hAnsi="Times New Roman" w:cs="Times New Roman"/>
          <w:sz w:val="24"/>
          <w:szCs w:val="24"/>
          <w:shd w:val="clear" w:color="auto" w:fill="FFFFFF"/>
        </w:rPr>
        <w:t>of the Constitution</w:t>
      </w:r>
      <w:r w:rsidRPr="00237544">
        <w:rPr>
          <w:rFonts w:ascii="Times New Roman" w:hAnsi="Times New Roman" w:cs="Times New Roman"/>
          <w:color w:val="000000"/>
          <w:sz w:val="24"/>
          <w:szCs w:val="24"/>
          <w:shd w:val="clear" w:color="auto" w:fill="FFFFFF"/>
        </w:rPr>
        <w:t>. Personal beliefs and faiths, though must be honoured, cannot dictate the operation of the provisions of an enabling statute</w:t>
      </w:r>
      <w:r w:rsidRPr="00237544">
        <w:rPr>
          <w:rStyle w:val="apple-converted-space"/>
          <w:rFonts w:ascii="Times New Roman" w:hAnsi="Times New Roman" w:cs="Times New Roman"/>
          <w:color w:val="000000"/>
          <w:sz w:val="24"/>
          <w:szCs w:val="24"/>
          <w:shd w:val="clear" w:color="auto" w:fill="FFFFFF"/>
        </w:rPr>
        <w:t>.</w:t>
      </w:r>
    </w:p>
    <w:p w:rsidR="00847D26" w:rsidRPr="00237544" w:rsidRDefault="00847D26" w:rsidP="00544C3C">
      <w:pPr>
        <w:pStyle w:val="Heading2"/>
        <w:numPr>
          <w:ilvl w:val="0"/>
          <w:numId w:val="19"/>
        </w:numPr>
        <w:tabs>
          <w:tab w:val="left" w:pos="540"/>
        </w:tabs>
        <w:spacing w:before="270" w:after="135" w:line="360" w:lineRule="auto"/>
        <w:jc w:val="both"/>
        <w:rPr>
          <w:rFonts w:ascii="Times New Roman" w:hAnsi="Times New Roman" w:cs="Times New Roman"/>
          <w:color w:val="000000"/>
          <w:sz w:val="24"/>
          <w:szCs w:val="24"/>
        </w:rPr>
      </w:pPr>
      <w:r w:rsidRPr="00237544">
        <w:rPr>
          <w:rFonts w:ascii="Times New Roman" w:hAnsi="Times New Roman" w:cs="Times New Roman"/>
          <w:color w:val="000000"/>
          <w:sz w:val="24"/>
          <w:szCs w:val="24"/>
        </w:rPr>
        <w:lastRenderedPageBreak/>
        <w:t xml:space="preserve">Cohabitation- </w:t>
      </w:r>
    </w:p>
    <w:p w:rsidR="00847D26" w:rsidRPr="00237544" w:rsidRDefault="00847D26" w:rsidP="00544C3C">
      <w:pPr>
        <w:pStyle w:val="Heading2"/>
        <w:tabs>
          <w:tab w:val="left" w:pos="540"/>
        </w:tabs>
        <w:spacing w:before="270" w:after="135" w:line="360" w:lineRule="auto"/>
        <w:jc w:val="both"/>
        <w:rPr>
          <w:rFonts w:ascii="Times New Roman" w:hAnsi="Times New Roman" w:cs="Times New Roman"/>
          <w:b w:val="0"/>
          <w:color w:val="000000"/>
          <w:sz w:val="24"/>
          <w:szCs w:val="24"/>
        </w:rPr>
      </w:pPr>
      <w:r w:rsidRPr="00237544">
        <w:rPr>
          <w:rFonts w:ascii="Times New Roman" w:hAnsi="Times New Roman" w:cs="Times New Roman"/>
          <w:b w:val="0"/>
          <w:color w:val="000000"/>
          <w:sz w:val="24"/>
          <w:szCs w:val="24"/>
        </w:rPr>
        <w:t>Another sea change noticed</w:t>
      </w:r>
      <w:r w:rsidR="00531ED9" w:rsidRPr="00237544">
        <w:rPr>
          <w:rFonts w:ascii="Times New Roman" w:hAnsi="Times New Roman" w:cs="Times New Roman"/>
          <w:b w:val="0"/>
          <w:color w:val="000000"/>
          <w:sz w:val="24"/>
          <w:szCs w:val="24"/>
        </w:rPr>
        <w:t xml:space="preserve"> in the making of law and judici</w:t>
      </w:r>
      <w:r w:rsidRPr="00237544">
        <w:rPr>
          <w:rFonts w:ascii="Times New Roman" w:hAnsi="Times New Roman" w:cs="Times New Roman"/>
          <w:b w:val="0"/>
          <w:color w:val="000000"/>
          <w:sz w:val="24"/>
          <w:szCs w:val="24"/>
        </w:rPr>
        <w:t xml:space="preserve">al interpretation keeping in mind of inter disciplinary research disclosing the changes made in the society is marital dispute, right of wife/live in partner in maintenance and property of husband and cohabitation beyond marital bond. The court and the legislature could </w:t>
      </w:r>
      <w:r w:rsidR="0042518E" w:rsidRPr="00237544">
        <w:rPr>
          <w:rFonts w:ascii="Times New Roman" w:hAnsi="Times New Roman" w:cs="Times New Roman"/>
          <w:b w:val="0"/>
          <w:color w:val="000000"/>
          <w:sz w:val="24"/>
          <w:szCs w:val="24"/>
        </w:rPr>
        <w:t xml:space="preserve">not </w:t>
      </w:r>
      <w:r w:rsidRPr="00237544">
        <w:rPr>
          <w:rFonts w:ascii="Times New Roman" w:hAnsi="Times New Roman" w:cs="Times New Roman"/>
          <w:b w:val="0"/>
          <w:color w:val="000000"/>
          <w:sz w:val="24"/>
          <w:szCs w:val="24"/>
        </w:rPr>
        <w:t>remain oblivious to the factors which were noticed world wide.</w:t>
      </w:r>
    </w:p>
    <w:p w:rsidR="00847D26" w:rsidRPr="00237544" w:rsidRDefault="00847D26" w:rsidP="00544C3C">
      <w:pPr>
        <w:pStyle w:val="a"/>
        <w:tabs>
          <w:tab w:val="left" w:pos="540"/>
        </w:tabs>
        <w:spacing w:before="0" w:beforeAutospacing="0" w:after="0" w:afterAutospacing="0" w:line="360" w:lineRule="auto"/>
        <w:jc w:val="both"/>
        <w:rPr>
          <w:color w:val="212121"/>
        </w:rPr>
      </w:pPr>
      <w:bookmarkStart w:id="0" w:name="a574664"/>
      <w:bookmarkEnd w:id="0"/>
      <w:r w:rsidRPr="00237544">
        <w:rPr>
          <w:color w:val="212121"/>
        </w:rPr>
        <w:t>There is no legislation which governs the division of property for unmarried couples if the relationship breaks down. However, the Protection of Women from Domestic Violence Act 2005 (Domestic Violence Act) bestows all benefits on a woman living in a cohabitation arrangement as available to a married woman, as she is covered within the term "domestic relationship" under section 2(f).</w:t>
      </w:r>
    </w:p>
    <w:p w:rsidR="00847D26" w:rsidRPr="00237544" w:rsidRDefault="00847D26" w:rsidP="00544C3C">
      <w:pPr>
        <w:pStyle w:val="a"/>
        <w:tabs>
          <w:tab w:val="left" w:pos="540"/>
        </w:tabs>
        <w:spacing w:before="0" w:beforeAutospacing="0" w:after="0" w:afterAutospacing="0" w:line="360" w:lineRule="auto"/>
        <w:jc w:val="both"/>
        <w:rPr>
          <w:color w:val="212121"/>
        </w:rPr>
      </w:pPr>
      <w:r w:rsidRPr="00237544">
        <w:rPr>
          <w:color w:val="212121"/>
        </w:rPr>
        <w:t>The Supreme Court of India held in</w:t>
      </w:r>
      <w:r w:rsidRPr="00237544">
        <w:rPr>
          <w:rStyle w:val="apple-converted-space"/>
          <w:color w:val="212121"/>
        </w:rPr>
        <w:t> </w:t>
      </w:r>
      <w:r w:rsidRPr="00237544">
        <w:rPr>
          <w:rStyle w:val="Emphasis"/>
          <w:rFonts w:eastAsiaTheme="majorEastAsia"/>
          <w:i w:val="0"/>
          <w:color w:val="212121"/>
        </w:rPr>
        <w:t>Savitaben Somabhai Bhatiya v State of Gujarat and Ors. (2005) 3 SCC 636</w:t>
      </w:r>
      <w:r w:rsidRPr="00237544">
        <w:rPr>
          <w:rStyle w:val="apple-converted-space"/>
          <w:color w:val="212121"/>
        </w:rPr>
        <w:t> </w:t>
      </w:r>
      <w:r w:rsidRPr="00237544">
        <w:rPr>
          <w:color w:val="212121"/>
        </w:rPr>
        <w:t>that a relationship "in the nature of marriage" is akin to a common law marriage. However, the couple must hold themselves out to society as being akin to spouses in addition to fulfilling all other requisite conditions for a valid marriage.</w:t>
      </w:r>
    </w:p>
    <w:p w:rsidR="00847D26" w:rsidRPr="00237544" w:rsidRDefault="00847D26" w:rsidP="00544C3C">
      <w:pPr>
        <w:pStyle w:val="a"/>
        <w:tabs>
          <w:tab w:val="left" w:pos="540"/>
        </w:tabs>
        <w:spacing w:before="0" w:beforeAutospacing="0" w:after="0" w:afterAutospacing="0" w:line="360" w:lineRule="auto"/>
        <w:jc w:val="both"/>
        <w:rPr>
          <w:color w:val="212121"/>
        </w:rPr>
      </w:pPr>
      <w:r w:rsidRPr="00237544">
        <w:rPr>
          <w:color w:val="212121"/>
        </w:rPr>
        <w:t>In</w:t>
      </w:r>
      <w:r w:rsidRPr="00237544">
        <w:rPr>
          <w:rStyle w:val="apple-converted-space"/>
          <w:color w:val="212121"/>
        </w:rPr>
        <w:t> </w:t>
      </w:r>
      <w:r w:rsidRPr="00237544">
        <w:rPr>
          <w:rStyle w:val="Emphasis"/>
          <w:rFonts w:eastAsiaTheme="majorEastAsia"/>
          <w:i w:val="0"/>
          <w:color w:val="212121"/>
        </w:rPr>
        <w:t>D. Velusamy v D. Patchaiammal</w:t>
      </w:r>
      <w:r w:rsidRPr="00237544">
        <w:rPr>
          <w:rStyle w:val="apple-converted-space"/>
          <w:iCs/>
          <w:color w:val="212121"/>
        </w:rPr>
        <w:t> </w:t>
      </w:r>
      <w:r w:rsidRPr="00237544">
        <w:rPr>
          <w:color w:val="212121"/>
        </w:rPr>
        <w:t>(2010)10SCC469, the Supreme Court observed that a "relationship in the nature of marriage" is akin to a common law marriage. Common law marriages require that although not being formally married, the couple must:</w:t>
      </w:r>
    </w:p>
    <w:p w:rsidR="00847D26" w:rsidRPr="00237544" w:rsidRDefault="00847D26" w:rsidP="00544C3C">
      <w:pPr>
        <w:pStyle w:val="a"/>
        <w:numPr>
          <w:ilvl w:val="0"/>
          <w:numId w:val="4"/>
        </w:numPr>
        <w:tabs>
          <w:tab w:val="left" w:pos="540"/>
        </w:tabs>
        <w:spacing w:before="0" w:beforeAutospacing="0" w:after="0" w:afterAutospacing="0" w:line="360" w:lineRule="auto"/>
        <w:ind w:left="0"/>
        <w:jc w:val="both"/>
        <w:rPr>
          <w:color w:val="212121"/>
        </w:rPr>
      </w:pPr>
      <w:r w:rsidRPr="00237544">
        <w:rPr>
          <w:color w:val="212121"/>
        </w:rPr>
        <w:t>Hold themselves out to society as being akin to spouses.</w:t>
      </w:r>
    </w:p>
    <w:p w:rsidR="00847D26" w:rsidRPr="00237544" w:rsidRDefault="00847D26" w:rsidP="00544C3C">
      <w:pPr>
        <w:pStyle w:val="a"/>
        <w:numPr>
          <w:ilvl w:val="0"/>
          <w:numId w:val="4"/>
        </w:numPr>
        <w:tabs>
          <w:tab w:val="left" w:pos="540"/>
        </w:tabs>
        <w:spacing w:before="0" w:beforeAutospacing="0" w:after="0" w:afterAutospacing="0" w:line="360" w:lineRule="auto"/>
        <w:ind w:left="0"/>
        <w:jc w:val="both"/>
        <w:rPr>
          <w:color w:val="212121"/>
        </w:rPr>
      </w:pPr>
      <w:r w:rsidRPr="00237544">
        <w:rPr>
          <w:color w:val="212121"/>
        </w:rPr>
        <w:t>Be of legal age to marry.</w:t>
      </w:r>
    </w:p>
    <w:p w:rsidR="00847D26" w:rsidRPr="00237544" w:rsidRDefault="00847D26" w:rsidP="00544C3C">
      <w:pPr>
        <w:pStyle w:val="a"/>
        <w:numPr>
          <w:ilvl w:val="0"/>
          <w:numId w:val="4"/>
        </w:numPr>
        <w:tabs>
          <w:tab w:val="left" w:pos="540"/>
        </w:tabs>
        <w:spacing w:before="0" w:beforeAutospacing="0" w:after="0" w:afterAutospacing="0" w:line="360" w:lineRule="auto"/>
        <w:ind w:left="0"/>
        <w:jc w:val="both"/>
        <w:rPr>
          <w:color w:val="212121"/>
        </w:rPr>
      </w:pPr>
      <w:r w:rsidRPr="00237544">
        <w:rPr>
          <w:color w:val="212121"/>
        </w:rPr>
        <w:t>Be otherwise qualified to enter into a legal marriage, including being unmarried.</w:t>
      </w:r>
    </w:p>
    <w:p w:rsidR="00847D26" w:rsidRPr="00237544" w:rsidRDefault="00847D26" w:rsidP="00544C3C">
      <w:pPr>
        <w:pStyle w:val="a"/>
        <w:numPr>
          <w:ilvl w:val="0"/>
          <w:numId w:val="4"/>
        </w:numPr>
        <w:tabs>
          <w:tab w:val="left" w:pos="540"/>
        </w:tabs>
        <w:spacing w:before="0" w:beforeAutospacing="0" w:after="0" w:afterAutospacing="0" w:line="360" w:lineRule="auto"/>
        <w:ind w:left="0"/>
        <w:jc w:val="both"/>
        <w:rPr>
          <w:color w:val="212121"/>
        </w:rPr>
      </w:pPr>
      <w:r w:rsidRPr="00237544">
        <w:rPr>
          <w:color w:val="212121"/>
        </w:rPr>
        <w:t>Have voluntarily cohabited and held themselves out to the world as being akin to spouses for a significant period of time.</w:t>
      </w:r>
    </w:p>
    <w:p w:rsidR="00847D26" w:rsidRPr="00237544" w:rsidRDefault="00847D26" w:rsidP="00544C3C">
      <w:pPr>
        <w:pStyle w:val="a"/>
        <w:tabs>
          <w:tab w:val="left" w:pos="540"/>
        </w:tabs>
        <w:spacing w:before="0" w:beforeAutospacing="0" w:after="0" w:afterAutospacing="0" w:line="360" w:lineRule="auto"/>
        <w:jc w:val="both"/>
        <w:rPr>
          <w:color w:val="212121"/>
        </w:rPr>
      </w:pPr>
      <w:r w:rsidRPr="00237544">
        <w:rPr>
          <w:color w:val="212121"/>
        </w:rPr>
        <w:t>In</w:t>
      </w:r>
      <w:r w:rsidRPr="00237544">
        <w:rPr>
          <w:rStyle w:val="apple-converted-space"/>
          <w:color w:val="212121"/>
        </w:rPr>
        <w:t> </w:t>
      </w:r>
      <w:r w:rsidRPr="00237544">
        <w:rPr>
          <w:rStyle w:val="Emphasis"/>
          <w:rFonts w:eastAsiaTheme="majorEastAsia"/>
          <w:i w:val="0"/>
          <w:color w:val="212121"/>
        </w:rPr>
        <w:t>Chanmuniya v Chanmuniya Virendra Kumar Singh Kushwaha and Anr. (2011)1SCC141</w:t>
      </w:r>
      <w:r w:rsidRPr="00237544">
        <w:rPr>
          <w:rStyle w:val="apple-converted-space"/>
          <w:color w:val="212121"/>
        </w:rPr>
        <w:t> </w:t>
      </w:r>
      <w:r w:rsidRPr="00237544">
        <w:rPr>
          <w:color w:val="212121"/>
        </w:rPr>
        <w:t xml:space="preserve">the Supreme Court held that where a man has lived with a woman for a long time, despite not being married, he should be made liable to pay the woman maintenance if he leaves her. The man should not be allowed to benefit </w:t>
      </w:r>
      <w:r w:rsidRPr="00237544">
        <w:rPr>
          <w:color w:val="212121"/>
        </w:rPr>
        <w:lastRenderedPageBreak/>
        <w:t>from legal loopholes by enjoying the advantages of a</w:t>
      </w:r>
      <w:r w:rsidRPr="00237544">
        <w:rPr>
          <w:rStyle w:val="apple-converted-space"/>
          <w:iCs/>
          <w:color w:val="212121"/>
        </w:rPr>
        <w:t> </w:t>
      </w:r>
      <w:r w:rsidRPr="00237544">
        <w:rPr>
          <w:rStyle w:val="Emphasis"/>
          <w:rFonts w:eastAsiaTheme="majorEastAsia"/>
          <w:i w:val="0"/>
          <w:color w:val="212121"/>
        </w:rPr>
        <w:t>de facto</w:t>
      </w:r>
      <w:r w:rsidRPr="00237544">
        <w:rPr>
          <w:rStyle w:val="apple-converted-space"/>
          <w:iCs/>
          <w:color w:val="212121"/>
        </w:rPr>
        <w:t> </w:t>
      </w:r>
      <w:r w:rsidRPr="00237544">
        <w:rPr>
          <w:color w:val="212121"/>
        </w:rPr>
        <w:t>marriage without undertaking the duties and obligations.</w:t>
      </w:r>
    </w:p>
    <w:p w:rsidR="00847D26" w:rsidRPr="00237544" w:rsidRDefault="00847D26" w:rsidP="00544C3C">
      <w:pPr>
        <w:pStyle w:val="a"/>
        <w:tabs>
          <w:tab w:val="left" w:pos="540"/>
        </w:tabs>
        <w:spacing w:before="0" w:beforeAutospacing="0" w:after="0" w:afterAutospacing="0" w:line="360" w:lineRule="auto"/>
        <w:jc w:val="both"/>
        <w:rPr>
          <w:color w:val="212121"/>
        </w:rPr>
      </w:pPr>
      <w:r w:rsidRPr="00237544">
        <w:rPr>
          <w:color w:val="212121"/>
        </w:rPr>
        <w:t>The Supreme Court in</w:t>
      </w:r>
      <w:r w:rsidRPr="00237544">
        <w:rPr>
          <w:rStyle w:val="apple-converted-space"/>
          <w:color w:val="212121"/>
        </w:rPr>
        <w:t> </w:t>
      </w:r>
      <w:r w:rsidRPr="00237544">
        <w:rPr>
          <w:rStyle w:val="Emphasis"/>
          <w:rFonts w:eastAsiaTheme="majorEastAsia"/>
          <w:i w:val="0"/>
          <w:color w:val="212121"/>
        </w:rPr>
        <w:t>Indra Sarma Vs. V.K.V. Sarma AIR2014SC309</w:t>
      </w:r>
      <w:r w:rsidRPr="00237544">
        <w:rPr>
          <w:rStyle w:val="apple-converted-space"/>
          <w:color w:val="212121"/>
        </w:rPr>
        <w:t> </w:t>
      </w:r>
      <w:r w:rsidRPr="00237544">
        <w:rPr>
          <w:color w:val="212121"/>
        </w:rPr>
        <w:t>set out some guidelines for testing under what circumstances, a live-in relationship will fall within the expression "relationship in the nature of marriage" under Section 2(f) of the Domestic Violence Act. The guidelines, of course, are not exhaustive, but will definitely give some insight into such relationships:</w:t>
      </w:r>
    </w:p>
    <w:p w:rsidR="00847D26" w:rsidRPr="00237544" w:rsidRDefault="00847D26" w:rsidP="00544C3C">
      <w:pPr>
        <w:pStyle w:val="a"/>
        <w:tabs>
          <w:tab w:val="left" w:pos="-180"/>
          <w:tab w:val="left" w:pos="540"/>
        </w:tabs>
        <w:spacing w:before="0" w:beforeAutospacing="0" w:after="0" w:afterAutospacing="0" w:line="360" w:lineRule="auto"/>
        <w:jc w:val="both"/>
        <w:rPr>
          <w:b/>
          <w:color w:val="212121"/>
        </w:rPr>
      </w:pPr>
      <w:r w:rsidRPr="00237544">
        <w:rPr>
          <w:color w:val="212121"/>
        </w:rPr>
        <w:t xml:space="preserve">Domestic relationship between same sex partners (gay and lesbian). The Domestic Violence Act does not recognise such a relationship and that relationship cannot be termed as a relationship in the nature of marriage under the Act. Legislatures in some countries, like the Interpretation Act, 1984 (Western Australia), the Interpretation Act, 1999 (New Zealand), the Domestic Violence Act, 1998 (South Africa), and the Domestic Violence, Crime and Victims Act, 2004 (UK), have recognised the relationship between same sex couples and have brought these relationships into the definition of domestic relationship. </w:t>
      </w:r>
    </w:p>
    <w:p w:rsidR="00847D26" w:rsidRPr="00237544" w:rsidRDefault="00847D26" w:rsidP="00544C3C">
      <w:pPr>
        <w:pStyle w:val="a"/>
        <w:numPr>
          <w:ilvl w:val="1"/>
          <w:numId w:val="7"/>
        </w:numPr>
        <w:tabs>
          <w:tab w:val="left" w:pos="-180"/>
          <w:tab w:val="left" w:pos="540"/>
        </w:tabs>
        <w:spacing w:before="0" w:beforeAutospacing="0" w:after="0" w:afterAutospacing="0" w:line="360" w:lineRule="auto"/>
        <w:jc w:val="both"/>
        <w:rPr>
          <w:b/>
          <w:color w:val="212121"/>
        </w:rPr>
      </w:pPr>
      <w:r w:rsidRPr="00237544">
        <w:rPr>
          <w:b/>
          <w:color w:val="212121"/>
        </w:rPr>
        <w:t xml:space="preserve">498A amendment or change of course by SC and Law </w:t>
      </w:r>
      <w:r w:rsidR="001B5769" w:rsidRPr="00237544">
        <w:rPr>
          <w:b/>
          <w:color w:val="212121"/>
        </w:rPr>
        <w:t>Commission</w:t>
      </w:r>
      <w:r w:rsidRPr="00237544">
        <w:rPr>
          <w:b/>
          <w:color w:val="212121"/>
        </w:rPr>
        <w:t>.</w:t>
      </w:r>
    </w:p>
    <w:p w:rsidR="00847D26" w:rsidRPr="00237544"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Keeping in view the representations received from various quarters and observations made by the Supreme Court and the High Courts, the Home Secretary, Government of India through his D.O. letter dated 1st September, 2009 requested the Law Commission of India to consider suggesting amendment, if any to s.498A of Indian Penal Code or other measures to check the alleged misuse of the said provision. </w:t>
      </w:r>
      <w:r w:rsidR="00E6641F">
        <w:rPr>
          <w:rFonts w:ascii="Times New Roman" w:hAnsi="Times New Roman" w:cs="Times New Roman"/>
          <w:sz w:val="24"/>
          <w:szCs w:val="24"/>
        </w:rPr>
        <w:t>The law Commission while preparing the Report noticed the change in mindset of the judiciary</w:t>
      </w:r>
      <w:r w:rsidR="00B426E8">
        <w:rPr>
          <w:rFonts w:ascii="Times New Roman" w:hAnsi="Times New Roman" w:cs="Times New Roman"/>
          <w:sz w:val="24"/>
          <w:szCs w:val="24"/>
        </w:rPr>
        <w:t xml:space="preserve"> and popular opinion.</w:t>
      </w:r>
      <w:r w:rsidR="00E6641F">
        <w:rPr>
          <w:rFonts w:ascii="Times New Roman" w:hAnsi="Times New Roman" w:cs="Times New Roman"/>
          <w:sz w:val="24"/>
          <w:szCs w:val="24"/>
        </w:rPr>
        <w:t xml:space="preserve"> </w:t>
      </w:r>
      <w:r w:rsidR="00B426E8">
        <w:rPr>
          <w:rFonts w:ascii="Times New Roman" w:hAnsi="Times New Roman" w:cs="Times New Roman"/>
          <w:sz w:val="24"/>
          <w:szCs w:val="24"/>
        </w:rPr>
        <w:t>I</w:t>
      </w:r>
      <w:r w:rsidRPr="00237544">
        <w:rPr>
          <w:rFonts w:ascii="Times New Roman" w:hAnsi="Times New Roman" w:cs="Times New Roman"/>
          <w:sz w:val="24"/>
          <w:szCs w:val="24"/>
        </w:rPr>
        <w:t xml:space="preserve">n the case of </w:t>
      </w:r>
      <w:r w:rsidRPr="00237544">
        <w:rPr>
          <w:rFonts w:ascii="Times New Roman" w:hAnsi="Times New Roman" w:cs="Times New Roman"/>
          <w:iCs/>
          <w:sz w:val="24"/>
          <w:szCs w:val="24"/>
        </w:rPr>
        <w:t>Preeti Gupta</w:t>
      </w:r>
      <w:r w:rsidRPr="00237544">
        <w:rPr>
          <w:rFonts w:ascii="Times New Roman" w:hAnsi="Times New Roman" w:cs="Times New Roman"/>
          <w:sz w:val="24"/>
          <w:szCs w:val="24"/>
        </w:rPr>
        <w:t xml:space="preserve"> </w:t>
      </w:r>
      <w:r w:rsidRPr="00237544">
        <w:rPr>
          <w:rFonts w:ascii="Times New Roman" w:hAnsi="Times New Roman" w:cs="Times New Roman"/>
          <w:iCs/>
          <w:sz w:val="24"/>
          <w:szCs w:val="24"/>
        </w:rPr>
        <w:t>vs. State of Jharkhand</w:t>
      </w:r>
      <w:r w:rsidRPr="00237544">
        <w:rPr>
          <w:rFonts w:ascii="Times New Roman" w:hAnsi="Times New Roman" w:cs="Times New Roman"/>
          <w:sz w:val="24"/>
          <w:szCs w:val="24"/>
        </w:rPr>
        <w:t xml:space="preserve">, (2010) the Supreme Court observed that “serious relook of the entire provision is warranted by the Legislature. It is a matter of common knowledge that exaggerated versions of the incident are reflected in a large number of complaints. The tendency of over-implication is also reflected in a very large number of cases”. Copy of the Judgment has been directed to be sent to the Law Commission and Union Law Secretary for taking appropriate steps. The Law Commission of India </w:t>
      </w:r>
      <w:r w:rsidRPr="00237544">
        <w:rPr>
          <w:rFonts w:ascii="Times New Roman" w:hAnsi="Times New Roman" w:cs="Times New Roman"/>
          <w:sz w:val="24"/>
          <w:szCs w:val="24"/>
        </w:rPr>
        <w:lastRenderedPageBreak/>
        <w:t>after intense deliberations released a Consultation Paper-cum-Questionnaire which is attached to this report as</w:t>
      </w:r>
    </w:p>
    <w:p w:rsidR="00847D26" w:rsidRPr="00237544" w:rsidRDefault="00847D26" w:rsidP="00544C3C">
      <w:pPr>
        <w:autoSpaceDE w:val="0"/>
        <w:autoSpaceDN w:val="0"/>
        <w:adjustRightInd w:val="0"/>
        <w:spacing w:after="0" w:line="360" w:lineRule="auto"/>
        <w:jc w:val="both"/>
        <w:rPr>
          <w:rFonts w:ascii="Times New Roman" w:hAnsi="Times New Roman" w:cs="Times New Roman"/>
          <w:iCs/>
          <w:sz w:val="24"/>
          <w:szCs w:val="24"/>
        </w:rPr>
      </w:pPr>
      <w:r w:rsidRPr="00237544">
        <w:rPr>
          <w:rFonts w:ascii="Times New Roman" w:hAnsi="Times New Roman" w:cs="Times New Roman"/>
          <w:sz w:val="24"/>
          <w:szCs w:val="24"/>
        </w:rPr>
        <w:t xml:space="preserve">S.498A was introduced in the year 1983 to protect married women from being subjected to cruelty by the husband or his relatives. A punishment extending to 3 years and fine has been prescribed. </w:t>
      </w:r>
    </w:p>
    <w:p w:rsidR="00B426E8"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In the case of </w:t>
      </w:r>
      <w:r w:rsidRPr="00237544">
        <w:rPr>
          <w:rFonts w:ascii="Times New Roman" w:hAnsi="Times New Roman" w:cs="Times New Roman"/>
          <w:iCs/>
          <w:sz w:val="24"/>
          <w:szCs w:val="24"/>
        </w:rPr>
        <w:t xml:space="preserve">Preeti Gupta Vs. State of Jharkhand1 </w:t>
      </w:r>
      <w:r w:rsidRPr="00237544">
        <w:rPr>
          <w:rFonts w:ascii="Times New Roman" w:hAnsi="Times New Roman" w:cs="Times New Roman"/>
          <w:sz w:val="24"/>
          <w:szCs w:val="24"/>
        </w:rPr>
        <w:t>(</w:t>
      </w:r>
      <w:r w:rsidR="000F1014" w:rsidRPr="00237544">
        <w:rPr>
          <w:rFonts w:ascii="Times New Roman" w:hAnsi="Times New Roman" w:cs="Times New Roman"/>
          <w:sz w:val="24"/>
          <w:szCs w:val="24"/>
        </w:rPr>
        <w:t>AIR 2010 SC 3363</w:t>
      </w:r>
      <w:r w:rsidRPr="00237544">
        <w:rPr>
          <w:rFonts w:ascii="Times New Roman" w:hAnsi="Times New Roman" w:cs="Times New Roman"/>
          <w:sz w:val="24"/>
          <w:szCs w:val="24"/>
        </w:rPr>
        <w:t xml:space="preserve">) the Supreme Court observed that a serious relook of the provision is warranted by the Legislature. The Court said: “It is a matter of common knowledge that exaggerated versions of the incidents are reflected in a large number of complaints”. The Court took note of the common tendency to implicate husband </w:t>
      </w:r>
      <w:r w:rsidR="007D1ED9" w:rsidRPr="00237544">
        <w:rPr>
          <w:rFonts w:ascii="Times New Roman" w:hAnsi="Times New Roman" w:cs="Times New Roman"/>
          <w:sz w:val="24"/>
          <w:szCs w:val="24"/>
        </w:rPr>
        <w:t>and all his immediate relations</w:t>
      </w:r>
      <w:r w:rsidRPr="00237544">
        <w:rPr>
          <w:rFonts w:ascii="Times New Roman" w:hAnsi="Times New Roman" w:cs="Times New Roman"/>
          <w:sz w:val="24"/>
          <w:szCs w:val="24"/>
        </w:rPr>
        <w:t xml:space="preserve">. In an earlier case also - </w:t>
      </w:r>
      <w:r w:rsidRPr="00237544">
        <w:rPr>
          <w:rFonts w:ascii="Times New Roman" w:hAnsi="Times New Roman" w:cs="Times New Roman"/>
          <w:iCs/>
          <w:sz w:val="24"/>
          <w:szCs w:val="24"/>
        </w:rPr>
        <w:t xml:space="preserve">Sushil Kumar Sharma Vs. UOI2 </w:t>
      </w:r>
      <w:r w:rsidRPr="00237544">
        <w:rPr>
          <w:rFonts w:ascii="Times New Roman" w:hAnsi="Times New Roman" w:cs="Times New Roman"/>
          <w:sz w:val="24"/>
          <w:szCs w:val="24"/>
        </w:rPr>
        <w:t>(</w:t>
      </w:r>
      <w:r w:rsidR="000F1014" w:rsidRPr="00237544">
        <w:rPr>
          <w:rFonts w:ascii="Times New Roman" w:hAnsi="Times New Roman" w:cs="Times New Roman"/>
          <w:sz w:val="24"/>
          <w:szCs w:val="24"/>
        </w:rPr>
        <w:t>2005 6 SCC 281</w:t>
      </w:r>
      <w:r w:rsidRPr="00237544">
        <w:rPr>
          <w:rFonts w:ascii="Times New Roman" w:hAnsi="Times New Roman" w:cs="Times New Roman"/>
          <w:sz w:val="24"/>
          <w:szCs w:val="24"/>
        </w:rPr>
        <w:t>), the Supreme Court lamented that in many instances, complaints under</w:t>
      </w:r>
      <w:r w:rsidRPr="00237544">
        <w:rPr>
          <w:rFonts w:ascii="Times New Roman" w:hAnsi="Times New Roman" w:cs="Times New Roman"/>
          <w:iCs/>
          <w:sz w:val="24"/>
          <w:szCs w:val="24"/>
        </w:rPr>
        <w:t xml:space="preserve"> </w:t>
      </w:r>
      <w:r w:rsidRPr="00237544">
        <w:rPr>
          <w:rFonts w:ascii="Times New Roman" w:hAnsi="Times New Roman" w:cs="Times New Roman"/>
          <w:sz w:val="24"/>
          <w:szCs w:val="24"/>
        </w:rPr>
        <w:t>s.498A were being filed with an oblique motive to wreck personal vendetta and</w:t>
      </w:r>
      <w:r w:rsidRPr="00237544">
        <w:rPr>
          <w:rFonts w:ascii="Times New Roman" w:hAnsi="Times New Roman" w:cs="Times New Roman"/>
          <w:iCs/>
          <w:sz w:val="24"/>
          <w:szCs w:val="24"/>
        </w:rPr>
        <w:t xml:space="preserve"> </w:t>
      </w:r>
      <w:r w:rsidRPr="00237544">
        <w:rPr>
          <w:rFonts w:ascii="Times New Roman" w:hAnsi="Times New Roman" w:cs="Times New Roman"/>
          <w:sz w:val="24"/>
          <w:szCs w:val="24"/>
        </w:rPr>
        <w:t>observed</w:t>
      </w:r>
      <w:r w:rsidR="006E49B3" w:rsidRPr="00237544">
        <w:rPr>
          <w:rFonts w:ascii="Times New Roman" w:hAnsi="Times New Roman" w:cs="Times New Roman"/>
          <w:sz w:val="24"/>
          <w:szCs w:val="24"/>
        </w:rPr>
        <w:t xml:space="preserve"> it to be </w:t>
      </w:r>
      <w:r w:rsidRPr="00237544">
        <w:rPr>
          <w:rFonts w:ascii="Times New Roman" w:hAnsi="Times New Roman" w:cs="Times New Roman"/>
          <w:sz w:val="24"/>
          <w:szCs w:val="24"/>
        </w:rPr>
        <w:t xml:space="preserve">a new </w:t>
      </w:r>
      <w:r w:rsidRPr="00237544">
        <w:rPr>
          <w:rFonts w:ascii="Times New Roman" w:hAnsi="Times New Roman" w:cs="Times New Roman"/>
          <w:b/>
          <w:bCs/>
          <w:sz w:val="24"/>
          <w:szCs w:val="24"/>
        </w:rPr>
        <w:t xml:space="preserve">legal terrorism </w:t>
      </w:r>
      <w:r w:rsidR="006E49B3" w:rsidRPr="00237544">
        <w:rPr>
          <w:rFonts w:ascii="Times New Roman" w:hAnsi="Times New Roman" w:cs="Times New Roman"/>
          <w:sz w:val="24"/>
          <w:szCs w:val="24"/>
        </w:rPr>
        <w:t>.</w:t>
      </w:r>
      <w:r w:rsidRPr="00237544">
        <w:rPr>
          <w:rFonts w:ascii="Times New Roman" w:hAnsi="Times New Roman" w:cs="Times New Roman"/>
          <w:sz w:val="24"/>
          <w:szCs w:val="24"/>
        </w:rPr>
        <w:t xml:space="preserve"> </w:t>
      </w:r>
    </w:p>
    <w:p w:rsidR="00847D26" w:rsidRPr="00237544"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The complaint of over-implication noticed by the Courts is borne out by the statistical data of the cases under S,498A. According to information received from the Hon’ble High Courts (during the year 2011), 3,40,555 cases under Section 498-A IPC were pending trial in various courts towards the end of 2010. There were as many as 9,38,809 accused implicated in these cases.</w:t>
      </w:r>
    </w:p>
    <w:p w:rsidR="00847D26" w:rsidRPr="00237544"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According to the statistics published by National Crime Records Bureau for the year 2011 (Table4), 3,39,902 cases under S,498A were pending trial in various courts at the end of the year and 29,669 cases under S,304-B of IPC.</w:t>
      </w:r>
    </w:p>
    <w:p w:rsidR="00847D26" w:rsidRPr="00237544"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The conviction rate in S,498A cases is 21.2% and in S,304-B cases, it is 35.8%. Number of cases reported under S,498A in the year 2011 are 99,135 and during the two previous years, they were 94,041 and 89,546. Thus, there is slight increase (about 5%) in the reported cases every year. As stated earlier, many cases go unreported. The statistics relating to reported incidents may not therefore furnish a reliable comparative indicator of the actual incidence of crimes in the States. For instance, when compared to other cities, the percentage share of incidents reported under S, 498-A is the 2nd highest in Delhi. It may be because that the percentage of reporting is apparently high.</w:t>
      </w:r>
    </w:p>
    <w:p w:rsidR="00847D26" w:rsidRPr="00237544"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lastRenderedPageBreak/>
        <w:t>The dowry-death cases (S,304-B) reported during the years 2009-11 are: 8,383, 8,391 and 8,618. There is a view-point that if the offence under S,498A is made bailable or non-cognizable, it will cease to be a deterrent against cruelty inflicted on married women and the dowry-deaths may increase.</w:t>
      </w:r>
    </w:p>
    <w:p w:rsidR="00847D26" w:rsidRPr="00237544" w:rsidRDefault="00B426E8" w:rsidP="00544C3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847D26" w:rsidRPr="00237544">
        <w:rPr>
          <w:rFonts w:ascii="Times New Roman" w:hAnsi="Times New Roman" w:cs="Times New Roman"/>
          <w:sz w:val="24"/>
          <w:szCs w:val="24"/>
        </w:rPr>
        <w:t>he conviction rate in respect of the cases under s.498A is quite low – it is about 20%. In the 154th Report of the Law Commission also, there was a clear recommendation to make the offence compoundable. Justice Mallimath Committee on Criminal Justice Reform also recommended that it should be made compoundable as well as bailable. The Committee of Petitions (Rajya Sabha) in the report presented on 7.09.2011, observed thus at para 13.2 under the heading “Making the offence under Section 498A IPC compoundable”:</w:t>
      </w:r>
    </w:p>
    <w:p w:rsidR="00847D26" w:rsidRPr="00237544"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As many as 474 persons, organizations/institutions and officials) have sent their responses to the Consultation Paper-cum Questionnaire. A broad analysis</w:t>
      </w:r>
      <w:r w:rsidR="00104B7C">
        <w:rPr>
          <w:rFonts w:ascii="Times New Roman" w:hAnsi="Times New Roman" w:cs="Times New Roman"/>
          <w:sz w:val="24"/>
          <w:szCs w:val="24"/>
        </w:rPr>
        <w:t xml:space="preserve"> of these replies are given in . </w:t>
      </w:r>
      <w:r w:rsidRPr="00237544">
        <w:rPr>
          <w:rFonts w:ascii="Times New Roman" w:hAnsi="Times New Roman" w:cs="Times New Roman"/>
          <w:sz w:val="24"/>
          <w:szCs w:val="24"/>
        </w:rPr>
        <w:t xml:space="preserve">Some of the important and typical responses are compiled in </w:t>
      </w:r>
    </w:p>
    <w:p w:rsidR="00847D26" w:rsidRPr="00237544"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As many as 244 Judicial Officers from various States including Registrars and Directors of Judicial Academies and Officials (most of them are Police Officers) and members of legal academia have sent their responses. 100 of them suggested that the offence should be made bailable. However, 119 of them have clearly stated that it should remain non-bailable. Among the 24 organizations/institutions, 12 of them pleaded for bailability and 5 have expressed the view that it should remain non-bailable. Among the individuals, a vast majority of them suggested that it should be made bailable. Some have expressed an extreme view that the Section should be repealed or it should be made gender neutral. There are three Non-Resident Indians among the representationists – two of them individuals and the other an organization.</w:t>
      </w:r>
    </w:p>
    <w:p w:rsidR="00847D26" w:rsidRPr="00237544" w:rsidRDefault="00847D26" w:rsidP="00544C3C">
      <w:pPr>
        <w:autoSpaceDE w:val="0"/>
        <w:autoSpaceDN w:val="0"/>
        <w:adjustRightInd w:val="0"/>
        <w:spacing w:after="0" w:line="360" w:lineRule="auto"/>
        <w:jc w:val="both"/>
        <w:rPr>
          <w:rFonts w:ascii="Times New Roman" w:hAnsi="Times New Roman" w:cs="Times New Roman"/>
          <w:sz w:val="24"/>
          <w:szCs w:val="24"/>
        </w:rPr>
      </w:pPr>
    </w:p>
    <w:p w:rsidR="00847D26"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The Law Commission at the end recommended that the offence under Section 498A IPC should be made compoundable with the permission of the Court. </w:t>
      </w:r>
    </w:p>
    <w:p w:rsidR="009D3581" w:rsidRPr="00237544" w:rsidRDefault="009D3581" w:rsidP="00544C3C">
      <w:pPr>
        <w:autoSpaceDE w:val="0"/>
        <w:autoSpaceDN w:val="0"/>
        <w:adjustRightInd w:val="0"/>
        <w:spacing w:after="0" w:line="360" w:lineRule="auto"/>
        <w:jc w:val="both"/>
        <w:rPr>
          <w:rFonts w:ascii="Times New Roman" w:hAnsi="Times New Roman" w:cs="Times New Roman"/>
          <w:sz w:val="24"/>
          <w:szCs w:val="24"/>
        </w:rPr>
      </w:pPr>
    </w:p>
    <w:p w:rsidR="00847D26" w:rsidRPr="001139D8" w:rsidRDefault="001139D8" w:rsidP="001139D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6.</w:t>
      </w:r>
      <w:r w:rsidR="006E49B3" w:rsidRPr="001139D8">
        <w:rPr>
          <w:rFonts w:ascii="Times New Roman" w:hAnsi="Times New Roman" w:cs="Times New Roman"/>
          <w:b/>
          <w:sz w:val="24"/>
          <w:szCs w:val="24"/>
        </w:rPr>
        <w:t>Economic considerations behind applicability of commercial laws.</w:t>
      </w:r>
    </w:p>
    <w:p w:rsidR="006E49B3" w:rsidRPr="00237544" w:rsidRDefault="006E49B3" w:rsidP="00544C3C">
      <w:pPr>
        <w:pStyle w:val="ListParagraph"/>
        <w:autoSpaceDE w:val="0"/>
        <w:autoSpaceDN w:val="0"/>
        <w:adjustRightInd w:val="0"/>
        <w:spacing w:after="0" w:line="360" w:lineRule="auto"/>
        <w:jc w:val="both"/>
        <w:rPr>
          <w:rFonts w:ascii="Times New Roman" w:hAnsi="Times New Roman" w:cs="Times New Roman"/>
          <w:b/>
          <w:sz w:val="24"/>
          <w:szCs w:val="24"/>
        </w:rPr>
      </w:pPr>
    </w:p>
    <w:p w:rsidR="00847D26" w:rsidRPr="00237544" w:rsidRDefault="006E49B3" w:rsidP="00544C3C">
      <w:pPr>
        <w:tabs>
          <w:tab w:val="left" w:pos="720"/>
          <w:tab w:val="left" w:pos="1440"/>
        </w:tabs>
        <w:spacing w:after="240" w:line="360" w:lineRule="auto"/>
        <w:jc w:val="both"/>
        <w:rPr>
          <w:rFonts w:ascii="Times New Roman" w:hAnsi="Times New Roman" w:cs="Times New Roman"/>
          <w:sz w:val="24"/>
          <w:szCs w:val="24"/>
        </w:rPr>
      </w:pPr>
      <w:r w:rsidRPr="00237544">
        <w:rPr>
          <w:rFonts w:ascii="Times New Roman" w:hAnsi="Times New Roman" w:cs="Times New Roman"/>
          <w:sz w:val="24"/>
          <w:szCs w:val="24"/>
        </w:rPr>
        <w:lastRenderedPageBreak/>
        <w:t>This can be aptly noticed by watching the c</w:t>
      </w:r>
      <w:r w:rsidR="00847D26" w:rsidRPr="00237544">
        <w:rPr>
          <w:rFonts w:ascii="Times New Roman" w:hAnsi="Times New Roman" w:cs="Times New Roman"/>
          <w:sz w:val="24"/>
          <w:szCs w:val="24"/>
        </w:rPr>
        <w:t xml:space="preserve">hanges made in various Acts keeping the pace with the </w:t>
      </w:r>
      <w:r w:rsidRPr="00237544">
        <w:rPr>
          <w:rFonts w:ascii="Times New Roman" w:hAnsi="Times New Roman" w:cs="Times New Roman"/>
          <w:sz w:val="24"/>
          <w:szCs w:val="24"/>
        </w:rPr>
        <w:t xml:space="preserve">globalization and </w:t>
      </w:r>
      <w:r w:rsidRPr="00237544">
        <w:rPr>
          <w:rFonts w:ascii="Times New Roman" w:eastAsia="Times New Roman" w:hAnsi="Times New Roman" w:cs="Times New Roman"/>
          <w:sz w:val="24"/>
          <w:szCs w:val="24"/>
        </w:rPr>
        <w:t>t</w:t>
      </w:r>
      <w:r w:rsidR="00847D26" w:rsidRPr="00237544">
        <w:rPr>
          <w:rFonts w:ascii="Times New Roman" w:eastAsia="Times New Roman" w:hAnsi="Times New Roman" w:cs="Times New Roman"/>
          <w:sz w:val="24"/>
          <w:szCs w:val="24"/>
        </w:rPr>
        <w:t>he effect of the restraint clause in emerging market situation especially in commercial contacts.</w:t>
      </w:r>
    </w:p>
    <w:p w:rsidR="00847D26" w:rsidRPr="00237544" w:rsidRDefault="00847D26" w:rsidP="00544C3C">
      <w:pPr>
        <w:pStyle w:val="ListParagraph"/>
        <w:numPr>
          <w:ilvl w:val="0"/>
          <w:numId w:val="9"/>
        </w:numPr>
        <w:tabs>
          <w:tab w:val="left" w:pos="720"/>
          <w:tab w:val="left" w:pos="1440"/>
        </w:tabs>
        <w:spacing w:after="240" w:line="360" w:lineRule="auto"/>
        <w:ind w:left="0" w:firstLine="0"/>
        <w:contextualSpacing w:val="0"/>
        <w:jc w:val="both"/>
        <w:rPr>
          <w:rFonts w:ascii="Times New Roman" w:hAnsi="Times New Roman" w:cs="Times New Roman"/>
          <w:b/>
          <w:bCs/>
          <w:sz w:val="24"/>
          <w:szCs w:val="24"/>
          <w:lang w:eastAsia="en-IN"/>
        </w:rPr>
      </w:pPr>
      <w:r w:rsidRPr="00237544">
        <w:rPr>
          <w:rFonts w:ascii="Times New Roman" w:hAnsi="Times New Roman" w:cs="Times New Roman"/>
          <w:b/>
          <w:bCs/>
          <w:sz w:val="24"/>
          <w:szCs w:val="24"/>
          <w:lang w:eastAsia="en-IN"/>
        </w:rPr>
        <w:t>Section  27 of the Indian Contract Act.</w:t>
      </w:r>
    </w:p>
    <w:p w:rsidR="00847D26" w:rsidRPr="00237544" w:rsidRDefault="001139D8" w:rsidP="00544C3C">
      <w:pPr>
        <w:pStyle w:val="ListParagraph"/>
        <w:tabs>
          <w:tab w:val="left" w:pos="720"/>
          <w:tab w:val="left" w:pos="1440"/>
        </w:tabs>
        <w:autoSpaceDE w:val="0"/>
        <w:autoSpaceDN w:val="0"/>
        <w:adjustRightInd w:val="0"/>
        <w:spacing w:after="24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S.27 </w:t>
      </w:r>
      <w:r w:rsidR="00847D26" w:rsidRPr="00237544">
        <w:rPr>
          <w:rFonts w:ascii="Times New Roman" w:hAnsi="Times New Roman" w:cs="Times New Roman"/>
          <w:sz w:val="24"/>
          <w:szCs w:val="24"/>
        </w:rPr>
        <w:t>Agreement in restraint of trade, void</w:t>
      </w:r>
    </w:p>
    <w:p w:rsidR="00847D26" w:rsidRPr="00237544" w:rsidRDefault="00847D26" w:rsidP="00544C3C">
      <w:pPr>
        <w:pStyle w:val="ListParagraph"/>
        <w:tabs>
          <w:tab w:val="left" w:pos="720"/>
          <w:tab w:val="left" w:pos="1440"/>
        </w:tabs>
        <w:autoSpaceDE w:val="0"/>
        <w:autoSpaceDN w:val="0"/>
        <w:adjustRightInd w:val="0"/>
        <w:spacing w:after="240" w:line="360" w:lineRule="auto"/>
        <w:ind w:left="0"/>
        <w:jc w:val="both"/>
        <w:rPr>
          <w:rFonts w:ascii="Times New Roman" w:hAnsi="Times New Roman" w:cs="Times New Roman"/>
          <w:sz w:val="24"/>
          <w:szCs w:val="24"/>
        </w:rPr>
      </w:pPr>
      <w:r w:rsidRPr="00237544">
        <w:rPr>
          <w:rFonts w:ascii="Times New Roman" w:hAnsi="Times New Roman" w:cs="Times New Roman"/>
          <w:sz w:val="24"/>
          <w:szCs w:val="24"/>
        </w:rPr>
        <w:t>Every agreement by which anyone is restrained from exercising a lawful profession, trade or business of any kind, is to that extent void.</w:t>
      </w:r>
    </w:p>
    <w:p w:rsidR="00847D26" w:rsidRPr="00237544" w:rsidRDefault="00847D26" w:rsidP="00544C3C">
      <w:pPr>
        <w:pStyle w:val="ListParagraph"/>
        <w:tabs>
          <w:tab w:val="left" w:pos="720"/>
          <w:tab w:val="left" w:pos="1440"/>
        </w:tabs>
        <w:autoSpaceDE w:val="0"/>
        <w:autoSpaceDN w:val="0"/>
        <w:adjustRightInd w:val="0"/>
        <w:spacing w:after="240" w:line="360" w:lineRule="auto"/>
        <w:ind w:left="0"/>
        <w:jc w:val="both"/>
        <w:rPr>
          <w:rFonts w:ascii="Times New Roman" w:hAnsi="Times New Roman" w:cs="Times New Roman"/>
          <w:sz w:val="24"/>
          <w:szCs w:val="24"/>
        </w:rPr>
      </w:pPr>
      <w:r w:rsidRPr="00237544">
        <w:rPr>
          <w:rFonts w:ascii="Times New Roman" w:hAnsi="Times New Roman" w:cs="Times New Roman"/>
          <w:sz w:val="24"/>
          <w:szCs w:val="24"/>
        </w:rPr>
        <w:t>Exception 1 : Saving of agreement not to carry on business of which good will is sold- One who sells the goodwill of a business may agree with the buyer to refrain from carrying on a similar business, within specified local limits, so long as the buyer, or any person deriving title to the goodwill from him, carries on a like business therein, provided that such limits appear to the court reasonable, regard being had to the nature of the business.</w:t>
      </w:r>
    </w:p>
    <w:p w:rsidR="00847D26" w:rsidRPr="00237544"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The clubbing of reasonableness and restraint has hence been seen in India in determining the validity of the restraint clause. The decision Gujarat Bottling Co. Ltd. V. Coca Cola,  (1995) (5) SCC 545 is an example of a restrictive covenant on the right to trade which is not considered a restraint of trade keeping in mind nothing but economic considerations with progress of society. At issue there was the validity of franchise agreements. Rejecting a section 27 challenge to their validity, the Court observed,</w:t>
      </w:r>
    </w:p>
    <w:p w:rsidR="00847D26" w:rsidRPr="00237544" w:rsidRDefault="00847D26" w:rsidP="00544C3C">
      <w:pPr>
        <w:tabs>
          <w:tab w:val="left" w:pos="720"/>
          <w:tab w:val="left" w:pos="1440"/>
        </w:tabs>
        <w:autoSpaceDE w:val="0"/>
        <w:autoSpaceDN w:val="0"/>
        <w:adjustRightInd w:val="0"/>
        <w:spacing w:after="360" w:line="360" w:lineRule="auto"/>
        <w:jc w:val="both"/>
        <w:rPr>
          <w:rFonts w:ascii="Times New Roman" w:hAnsi="Times New Roman" w:cs="Times New Roman"/>
          <w:sz w:val="24"/>
          <w:szCs w:val="24"/>
        </w:rPr>
      </w:pPr>
      <w:r w:rsidRPr="00237544">
        <w:rPr>
          <w:rFonts w:ascii="Times New Roman" w:hAnsi="Times New Roman" w:cs="Times New Roman"/>
          <w:sz w:val="24"/>
          <w:szCs w:val="24"/>
        </w:rPr>
        <w:t xml:space="preserve">“There is a growing trend to regulate distribution of goods and services through franchise agreements providing for grant of franchise by the franchiser on certain terms and conditions to the franchisee. Such a condition restricting the right of the franchisee to deal with competing goods is for facilitating the distribution of the goods of the franchiser and it cannot be regarded as in restraint of trade”. </w:t>
      </w:r>
    </w:p>
    <w:p w:rsidR="00847D26" w:rsidRPr="00237544" w:rsidRDefault="00847D26" w:rsidP="001139D8">
      <w:pPr>
        <w:pStyle w:val="ListParagraph"/>
        <w:numPr>
          <w:ilvl w:val="0"/>
          <w:numId w:val="9"/>
        </w:numPr>
        <w:tabs>
          <w:tab w:val="left" w:pos="720"/>
          <w:tab w:val="left" w:pos="1440"/>
        </w:tabs>
        <w:autoSpaceDE w:val="0"/>
        <w:autoSpaceDN w:val="0"/>
        <w:adjustRightInd w:val="0"/>
        <w:spacing w:after="0" w:line="360" w:lineRule="auto"/>
        <w:jc w:val="both"/>
        <w:rPr>
          <w:rFonts w:ascii="Times New Roman" w:hAnsi="Times New Roman" w:cs="Times New Roman"/>
          <w:b/>
          <w:bCs/>
          <w:sz w:val="24"/>
          <w:szCs w:val="24"/>
        </w:rPr>
      </w:pPr>
      <w:r w:rsidRPr="00237544">
        <w:rPr>
          <w:rFonts w:ascii="Times New Roman" w:hAnsi="Times New Roman" w:cs="Times New Roman"/>
          <w:b/>
          <w:bCs/>
          <w:sz w:val="24"/>
          <w:szCs w:val="24"/>
        </w:rPr>
        <w:t>Restraint of Trade in context of Competition Law and Competition Act, 2002</w:t>
      </w:r>
    </w:p>
    <w:p w:rsidR="00847D26" w:rsidRPr="00237544" w:rsidRDefault="00847D26" w:rsidP="001139D8">
      <w:pPr>
        <w:tabs>
          <w:tab w:val="left" w:pos="720"/>
          <w:tab w:val="left" w:pos="1440"/>
        </w:tabs>
        <w:spacing w:after="0" w:line="360" w:lineRule="auto"/>
        <w:jc w:val="both"/>
        <w:rPr>
          <w:rFonts w:ascii="Times New Roman" w:hAnsi="Times New Roman" w:cs="Times New Roman"/>
          <w:sz w:val="24"/>
          <w:szCs w:val="24"/>
          <w:lang w:eastAsia="en-IN"/>
        </w:rPr>
      </w:pPr>
      <w:r w:rsidRPr="001139D8">
        <w:rPr>
          <w:rFonts w:ascii="Times New Roman" w:hAnsi="Times New Roman" w:cs="Times New Roman"/>
          <w:sz w:val="24"/>
          <w:szCs w:val="24"/>
          <w:u w:val="single"/>
          <w:lang w:eastAsia="en-IN"/>
        </w:rPr>
        <w:t>Concept and scope of exclusive supply agreements</w:t>
      </w:r>
      <w:r w:rsidRPr="00237544">
        <w:rPr>
          <w:rFonts w:ascii="Times New Roman" w:hAnsi="Times New Roman" w:cs="Times New Roman"/>
          <w:sz w:val="24"/>
          <w:szCs w:val="24"/>
          <w:lang w:eastAsia="en-IN"/>
        </w:rPr>
        <w:t xml:space="preserve">. </w:t>
      </w:r>
    </w:p>
    <w:p w:rsidR="00847D26" w:rsidRPr="00237544" w:rsidRDefault="00847D26" w:rsidP="00544C3C">
      <w:pPr>
        <w:tabs>
          <w:tab w:val="left" w:pos="720"/>
          <w:tab w:val="left" w:pos="1440"/>
        </w:tabs>
        <w:spacing w:after="48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lastRenderedPageBreak/>
        <w:t>Such agreements are generally governed under ‘restraint of trade’ provisions in the Indian Contract Act, 1872 and specifically condemned under section 3(4) of the Competition Act, 2002. The Competition Act being fully in operation now and the Competition Commission of India being ready to take the cognizance of anti-competitive economic offences, it will be exciting to observe the treatment that trade arrangements in the nature of exclusive supply or exclusive dealing receives in India. And equally exciting will be to observe what could be the possible approach that CCI can have in respect of such arrangements in the light of the provisions of the Competition Act.</w:t>
      </w:r>
    </w:p>
    <w:p w:rsidR="000E384B" w:rsidRPr="001139D8" w:rsidRDefault="00847D26" w:rsidP="001139D8">
      <w:pPr>
        <w:pStyle w:val="ListParagraph"/>
        <w:numPr>
          <w:ilvl w:val="0"/>
          <w:numId w:val="9"/>
        </w:numPr>
        <w:tabs>
          <w:tab w:val="left" w:pos="720"/>
          <w:tab w:val="left" w:pos="1440"/>
        </w:tabs>
        <w:autoSpaceDE w:val="0"/>
        <w:autoSpaceDN w:val="0"/>
        <w:adjustRightInd w:val="0"/>
        <w:spacing w:after="360" w:line="360" w:lineRule="auto"/>
        <w:jc w:val="both"/>
        <w:rPr>
          <w:rFonts w:ascii="Times New Roman" w:hAnsi="Times New Roman" w:cs="Times New Roman"/>
          <w:b/>
          <w:bCs/>
          <w:sz w:val="24"/>
          <w:szCs w:val="24"/>
        </w:rPr>
      </w:pPr>
      <w:r w:rsidRPr="00237544">
        <w:rPr>
          <w:rFonts w:ascii="Times New Roman" w:hAnsi="Times New Roman" w:cs="Times New Roman"/>
          <w:b/>
          <w:sz w:val="24"/>
          <w:szCs w:val="24"/>
          <w:lang w:eastAsia="en-IN"/>
        </w:rPr>
        <w:t>The economic considerations behind making and changing of law governing trade and commerce in India.</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With the increase in cross-border trade and an enhanced competitive climate in India, confidentiality, non-compete, and non-solicitation agreements are becoming increasingly popular, especially in the IT and technology sectors. An increasing number of outsourcing and IT companies are including confidentiality, non-compete, and non-solicitation clauses in agreements with their employees, with terms ranging from a few months to several years after the employment relationship are terminated. The companies claim that such restrictions are necessary to protect their proprietary rights and their confidential information.</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There are various case laws that will clear out the situation in India:</w:t>
      </w:r>
    </w:p>
    <w:p w:rsidR="000F101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Supreme Court of India in</w:t>
      </w:r>
      <w:r w:rsidRPr="00237544">
        <w:rPr>
          <w:rStyle w:val="FootnoteReference"/>
          <w:rFonts w:ascii="Times New Roman" w:hAnsi="Times New Roman" w:cs="Times New Roman"/>
          <w:sz w:val="24"/>
          <w:szCs w:val="24"/>
        </w:rPr>
        <w:footnoteReference w:id="2"/>
      </w:r>
      <w:r w:rsidRPr="00237544">
        <w:rPr>
          <w:rFonts w:ascii="Times New Roman" w:hAnsi="Times New Roman" w:cs="Times New Roman"/>
          <w:sz w:val="24"/>
          <w:szCs w:val="24"/>
          <w:lang w:eastAsia="en-IN"/>
        </w:rPr>
        <w:t xml:space="preserve"> observed that under Section 27 of the Act a restrictive covenant extending beyond the term of the contract is void and not enforceable. The court also noted that the doctrine of "restraint of trade”  is not confined to contracts of employment only, but is also applicable to all other contracts with respect to obligations after the contractual relationship is terminated.</w:t>
      </w:r>
    </w:p>
    <w:p w:rsidR="0042518E"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lastRenderedPageBreak/>
        <w:t>In a 2009 decision by the New Delhi High Court in</w:t>
      </w:r>
      <w:r w:rsidRPr="00237544">
        <w:rPr>
          <w:rStyle w:val="FootnoteReference"/>
          <w:rFonts w:ascii="Times New Roman" w:hAnsi="Times New Roman" w:cs="Times New Roman"/>
          <w:sz w:val="24"/>
          <w:szCs w:val="24"/>
        </w:rPr>
        <w:footnoteReference w:id="3"/>
      </w:r>
      <w:r w:rsidRPr="00237544">
        <w:rPr>
          <w:rFonts w:ascii="Times New Roman" w:hAnsi="Times New Roman" w:cs="Times New Roman"/>
          <w:sz w:val="24"/>
          <w:szCs w:val="24"/>
          <w:lang w:eastAsia="en-IN"/>
        </w:rPr>
        <w:t xml:space="preserve">  involved a senior marketing manager at a manufacturer of evaporative cooling components, products and systems. As part of his employment agreement with Desiccant, the manager agreed that for two years following the termination of his employment, he would be bound by a covenant with Desiccant that would require him to keep Desiccant's matters confidential, and that would prevent him from competing with Desiccant and soliciting Desiccant's customers, suppliers and employees. In injunctive proceedings against the manager by Desiccant, the High Court reiterated the principles embodied in Section 27 of the Act and the individual's fundamental right to earn a living by practicing any trade or profession of his or her choice. Brushing aside any argument by Desiccant that the restrictive covenants were primarily designed to protect its confidential and proprietary information, the High Court ruled that in the clash between the attempt of employers to protect themselves from competition and the right of employees to seek employment wherever they choose, the right of livelihood of employees must prevail. </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In</w:t>
      </w:r>
      <w:r w:rsidRPr="00237544">
        <w:rPr>
          <w:rFonts w:ascii="Times New Roman" w:hAnsi="Times New Roman" w:cs="Times New Roman"/>
          <w:b/>
          <w:bCs/>
          <w:sz w:val="24"/>
          <w:szCs w:val="24"/>
          <w:lang w:eastAsia="en-IN"/>
        </w:rPr>
        <w:t> </w:t>
      </w:r>
      <w:r w:rsidRPr="00237544">
        <w:rPr>
          <w:rFonts w:ascii="Times New Roman" w:hAnsi="Times New Roman" w:cs="Times New Roman"/>
          <w:iCs/>
          <w:sz w:val="24"/>
          <w:szCs w:val="24"/>
          <w:lang w:eastAsia="en-IN"/>
        </w:rPr>
        <w:t>Superintendence Company of India vs Krishan Murgai</w:t>
      </w:r>
      <w:r w:rsidRPr="00237544">
        <w:rPr>
          <w:rStyle w:val="FootnoteReference"/>
          <w:rFonts w:ascii="Times New Roman" w:hAnsi="Times New Roman" w:cs="Times New Roman"/>
          <w:iCs/>
          <w:sz w:val="24"/>
          <w:szCs w:val="24"/>
        </w:rPr>
        <w:footnoteReference w:id="4"/>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The Supreme Court held that a contract, which had for its object a restraint of trade, was prima facie void. One of clauses of the terms and conditions of employment placed him under a post-service restraint that he would neither serve any other competitive firm nor carry on business on his own in similar line for two years at the place of his last posting; and the restriction would come into operation after he left the company. When he was terminated from service, the employee started a business on similar lines. When the matter came for appeal, the Supreme Court held that under Section 27 of the Indian Contract Act, 1872, a service covenant extended beyond the termination of the service was void.</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In </w:t>
      </w:r>
      <w:r w:rsidRPr="00237544">
        <w:rPr>
          <w:rFonts w:ascii="Times New Roman" w:hAnsi="Times New Roman" w:cs="Times New Roman"/>
          <w:iCs/>
          <w:sz w:val="24"/>
          <w:szCs w:val="24"/>
          <w:lang w:eastAsia="en-IN"/>
        </w:rPr>
        <w:t>Star India Pvt Ltd. V. Laxmiraj Seetharam Nayak</w:t>
      </w:r>
      <w:r w:rsidRPr="00237544">
        <w:rPr>
          <w:rStyle w:val="FootnoteReference"/>
          <w:rFonts w:ascii="Times New Roman" w:hAnsi="Times New Roman" w:cs="Times New Roman"/>
          <w:iCs/>
          <w:sz w:val="24"/>
          <w:szCs w:val="24"/>
        </w:rPr>
        <w:footnoteReference w:id="5"/>
      </w:r>
      <w:r w:rsidRPr="00237544">
        <w:rPr>
          <w:rFonts w:ascii="Times New Roman" w:hAnsi="Times New Roman" w:cs="Times New Roman"/>
          <w:sz w:val="24"/>
          <w:szCs w:val="24"/>
          <w:lang w:eastAsia="en-IN"/>
        </w:rPr>
        <w:t>, </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lastRenderedPageBreak/>
        <w:t xml:space="preserve">The Bombay High Court held that an employer has right to terminate the contract of employment on the ground of misconduct; hence, it cannot be said that the employee had absolutely no right to resign from the employment on account of better prospects or other personal reasons. </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In </w:t>
      </w:r>
      <w:r w:rsidRPr="00237544">
        <w:rPr>
          <w:rFonts w:ascii="Times New Roman" w:hAnsi="Times New Roman" w:cs="Times New Roman"/>
          <w:iCs/>
          <w:sz w:val="24"/>
          <w:szCs w:val="24"/>
          <w:lang w:eastAsia="en-IN"/>
        </w:rPr>
        <w:t>Sandhya Organic Chemicals P.Ltd v. United Phosphorous</w:t>
      </w:r>
      <w:r w:rsidRPr="00237544">
        <w:rPr>
          <w:rStyle w:val="FootnoteReference"/>
          <w:rFonts w:ascii="Times New Roman" w:hAnsi="Times New Roman" w:cs="Times New Roman"/>
          <w:iCs/>
          <w:sz w:val="24"/>
          <w:szCs w:val="24"/>
        </w:rPr>
        <w:footnoteReference w:id="6"/>
      </w:r>
      <w:r w:rsidRPr="00237544">
        <w:rPr>
          <w:rFonts w:ascii="Times New Roman" w:hAnsi="Times New Roman" w:cs="Times New Roman"/>
          <w:iCs/>
          <w:sz w:val="24"/>
          <w:szCs w:val="24"/>
          <w:lang w:eastAsia="en-IN"/>
        </w:rPr>
        <w:t>,</w:t>
      </w:r>
    </w:p>
    <w:p w:rsidR="000E384B"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The Gujarat High Court held that a service covenant extended beyond the termination of the service is void. It was held that an employee could not be restrained for all times to come to use his knowledge and experience which he gained during the course of employment either with the employer or with any other employer. </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In </w:t>
      </w:r>
      <w:r w:rsidRPr="00237544">
        <w:rPr>
          <w:rFonts w:ascii="Times New Roman" w:hAnsi="Times New Roman" w:cs="Times New Roman"/>
          <w:iCs/>
          <w:sz w:val="24"/>
          <w:szCs w:val="24"/>
          <w:lang w:eastAsia="en-IN"/>
        </w:rPr>
        <w:t>Lalbhai Dalpatbhai and co. v. Chittaranjan Chandulal Pandya</w:t>
      </w:r>
      <w:r w:rsidRPr="00237544">
        <w:rPr>
          <w:rStyle w:val="FootnoteReference"/>
          <w:rFonts w:ascii="Times New Roman" w:hAnsi="Times New Roman" w:cs="Times New Roman"/>
          <w:iCs/>
          <w:sz w:val="24"/>
          <w:szCs w:val="24"/>
        </w:rPr>
        <w:footnoteReference w:id="7"/>
      </w:r>
      <w:r w:rsidRPr="00237544">
        <w:rPr>
          <w:rFonts w:ascii="Times New Roman" w:hAnsi="Times New Roman" w:cs="Times New Roman"/>
          <w:sz w:val="24"/>
          <w:szCs w:val="24"/>
          <w:lang w:eastAsia="en-IN"/>
        </w:rPr>
        <w:t>,</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The Division Bench of the Gujarat High Court consolidated all the fundamental principles concerning the negative stipulation in the contract of service during the service period and after the service period. If it is not going to benefit the employer in any legitimate manner, the court would not injunct the employee from exercising his skill, training and knowledge merely because the employee has agreed to it.”  </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iCs/>
          <w:sz w:val="24"/>
          <w:szCs w:val="24"/>
          <w:lang w:eastAsia="en-IN"/>
        </w:rPr>
      </w:pPr>
      <w:r w:rsidRPr="00237544">
        <w:rPr>
          <w:rFonts w:ascii="Times New Roman" w:hAnsi="Times New Roman" w:cs="Times New Roman"/>
          <w:sz w:val="24"/>
          <w:szCs w:val="24"/>
          <w:lang w:eastAsia="en-IN"/>
        </w:rPr>
        <w:t>In </w:t>
      </w:r>
      <w:r w:rsidRPr="00237544">
        <w:rPr>
          <w:rFonts w:ascii="Times New Roman" w:hAnsi="Times New Roman" w:cs="Times New Roman"/>
          <w:iCs/>
          <w:sz w:val="24"/>
          <w:szCs w:val="24"/>
          <w:lang w:eastAsia="en-IN"/>
        </w:rPr>
        <w:t>M/S Gujarat Bottling Co.Ltd. &amp; Ors vs The Coca Cola Co. &amp; Ors on 4 August, 1995</w:t>
      </w:r>
      <w:r w:rsidRPr="00237544">
        <w:rPr>
          <w:rStyle w:val="FootnoteReference"/>
          <w:rFonts w:ascii="Times New Roman" w:hAnsi="Times New Roman" w:cs="Times New Roman"/>
          <w:iCs/>
          <w:sz w:val="24"/>
          <w:szCs w:val="24"/>
        </w:rPr>
        <w:footnoteReference w:id="8"/>
      </w:r>
    </w:p>
    <w:p w:rsidR="000E384B"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The Supreme Court exhaustively reviewed the law relating to the validity of the contracts containing a negative covenant in commercial agreements. While construing the provisions of section 27 of the Contract Act, the High Courts in India have held that neither the test of reasonableness nor the principle that the restraint </w:t>
      </w:r>
      <w:r w:rsidRPr="00237544">
        <w:rPr>
          <w:rFonts w:ascii="Times New Roman" w:hAnsi="Times New Roman" w:cs="Times New Roman"/>
          <w:sz w:val="24"/>
          <w:szCs w:val="24"/>
          <w:lang w:eastAsia="en-IN"/>
        </w:rPr>
        <w:lastRenderedPageBreak/>
        <w:t xml:space="preserve">being partial or reasonable are applicable to a case governed by section 27 of the Contract Act, unless it falls within the exception. </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However the court has upheld the non compete principle where is it reasonable:</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In the case The Supreme Court of India in </w:t>
      </w:r>
      <w:r w:rsidRPr="00237544">
        <w:rPr>
          <w:rFonts w:ascii="Times New Roman" w:hAnsi="Times New Roman" w:cs="Times New Roman"/>
          <w:iCs/>
          <w:sz w:val="24"/>
          <w:szCs w:val="24"/>
          <w:lang w:eastAsia="en-IN"/>
        </w:rPr>
        <w:t>Niranjan Shankar Golikari v. The Century Spinning and Manufacturing Company Ltd.</w:t>
      </w:r>
      <w:r w:rsidRPr="00237544">
        <w:rPr>
          <w:rStyle w:val="FootnoteReference"/>
          <w:rFonts w:ascii="Times New Roman" w:hAnsi="Times New Roman" w:cs="Times New Roman"/>
          <w:iCs/>
          <w:sz w:val="24"/>
          <w:szCs w:val="24"/>
        </w:rPr>
        <w:footnoteReference w:id="9"/>
      </w:r>
      <w:bookmarkStart w:id="1" w:name="_ftnref2"/>
      <w:bookmarkEnd w:id="1"/>
      <w:r w:rsidRPr="00237544">
        <w:rPr>
          <w:rFonts w:ascii="Times New Roman" w:hAnsi="Times New Roman" w:cs="Times New Roman"/>
          <w:sz w:val="24"/>
          <w:szCs w:val="24"/>
          <w:lang w:eastAsia="en-IN"/>
        </w:rPr>
        <w:t xml:space="preserve"> observed that restraints or negative covenants in the appointment or contract may be valid if they are reasonable. </w:t>
      </w:r>
    </w:p>
    <w:p w:rsidR="000E384B"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Hence the non-compete covenants used in agreements can be categorized into in term and post term covenants. In an employment contract, the basic interests of the employer which are required to be protected include trade secrets and business connections and other such confidential information. In case of restraints in contracts of employment the nature of business and employment is relevant in assessing the reasonableness of restraints. </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It is well established by the various case laws decided in the courts of India that ‘non compete’ clauses that extend after the termination of employment are not enforceable in India. It is stated clearly in section 27 of the Indian Contract Act, 1872 that agreements in restraint of trade are void. In the garb of confidentiality, an employer cannot be allowed to perpetuate forced employment, as it is hit by Section 27.</w:t>
      </w:r>
    </w:p>
    <w:p w:rsidR="00847D26" w:rsidRPr="00237544" w:rsidRDefault="00847D26" w:rsidP="00544C3C">
      <w:pPr>
        <w:shd w:val="clear" w:color="auto" w:fill="FFFFFF"/>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An employer is not entitled to protect himself against competition on the part of an employee after the employment has ceased. However, a purchaser of a business is entitled to protect himself against competition </w:t>
      </w:r>
      <w:r w:rsidRPr="00237544">
        <w:rPr>
          <w:rFonts w:ascii="Times New Roman" w:hAnsi="Times New Roman" w:cs="Times New Roman"/>
          <w:iCs/>
          <w:sz w:val="24"/>
          <w:szCs w:val="24"/>
          <w:lang w:eastAsia="en-IN"/>
        </w:rPr>
        <w:t>per se </w:t>
      </w:r>
      <w:r w:rsidRPr="00237544">
        <w:rPr>
          <w:rFonts w:ascii="Times New Roman" w:hAnsi="Times New Roman" w:cs="Times New Roman"/>
          <w:sz w:val="24"/>
          <w:szCs w:val="24"/>
          <w:lang w:eastAsia="en-IN"/>
        </w:rPr>
        <w:t xml:space="preserve">on the part of the vendor and it has been upheld that a employer has no legitimate interest in preventing an employee after he/she leaves his service from entering the service of a competitor merely on the grounds that the employee has started working with a competitor, unless the same leads to misuse or an unauthorized disclosure of confidential </w:t>
      </w:r>
      <w:r w:rsidRPr="00237544">
        <w:rPr>
          <w:rFonts w:ascii="Times New Roman" w:hAnsi="Times New Roman" w:cs="Times New Roman"/>
          <w:sz w:val="24"/>
          <w:szCs w:val="24"/>
          <w:lang w:eastAsia="en-IN"/>
        </w:rPr>
        <w:lastRenderedPageBreak/>
        <w:t>information, which has been provided to the employee during his course of employment.</w:t>
      </w:r>
    </w:p>
    <w:p w:rsidR="00847D26" w:rsidRPr="00237544" w:rsidRDefault="00847D26" w:rsidP="00544C3C">
      <w:pPr>
        <w:pStyle w:val="ListParagraph"/>
        <w:numPr>
          <w:ilvl w:val="0"/>
          <w:numId w:val="9"/>
        </w:numPr>
        <w:tabs>
          <w:tab w:val="left" w:pos="720"/>
          <w:tab w:val="left" w:pos="1440"/>
        </w:tabs>
        <w:spacing w:after="360" w:line="360" w:lineRule="auto"/>
        <w:jc w:val="both"/>
        <w:rPr>
          <w:rFonts w:ascii="Times New Roman" w:hAnsi="Times New Roman" w:cs="Times New Roman"/>
          <w:b/>
          <w:bCs/>
          <w:sz w:val="24"/>
          <w:szCs w:val="24"/>
          <w:lang w:eastAsia="en-IN"/>
        </w:rPr>
      </w:pPr>
      <w:r w:rsidRPr="00237544">
        <w:rPr>
          <w:rFonts w:ascii="Times New Roman" w:hAnsi="Times New Roman" w:cs="Times New Roman"/>
          <w:b/>
          <w:bCs/>
          <w:sz w:val="24"/>
          <w:szCs w:val="24"/>
          <w:lang w:eastAsia="en-IN"/>
        </w:rPr>
        <w:t>Maintaining Trade Secrets in Global Trade In Context of Restraint of Trade clause</w:t>
      </w:r>
    </w:p>
    <w:p w:rsidR="00847D26" w:rsidRPr="00237544" w:rsidRDefault="00847D26" w:rsidP="00544C3C">
      <w:pPr>
        <w:pStyle w:val="ListParagraph"/>
        <w:numPr>
          <w:ilvl w:val="1"/>
          <w:numId w:val="9"/>
        </w:numPr>
        <w:tabs>
          <w:tab w:val="left" w:pos="720"/>
          <w:tab w:val="left" w:pos="1440"/>
        </w:tabs>
        <w:spacing w:after="360" w:line="360" w:lineRule="auto"/>
        <w:jc w:val="both"/>
        <w:rPr>
          <w:rFonts w:ascii="Times New Roman" w:hAnsi="Times New Roman" w:cs="Times New Roman"/>
          <w:b/>
          <w:bCs/>
          <w:sz w:val="24"/>
          <w:szCs w:val="24"/>
          <w:lang w:eastAsia="en-IN"/>
        </w:rPr>
      </w:pPr>
      <w:r w:rsidRPr="00237544">
        <w:rPr>
          <w:rFonts w:ascii="Times New Roman" w:hAnsi="Times New Roman" w:cs="Times New Roman"/>
          <w:b/>
          <w:bCs/>
          <w:sz w:val="24"/>
          <w:szCs w:val="24"/>
          <w:lang w:eastAsia="en-IN"/>
        </w:rPr>
        <w:t>Intellectual Property Rights</w:t>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In today’s world almost every person knows what intellectual property is and protection of intellectual property has become a matter of paramount importance for every person involved with intellectual property. Patents, trademarks and copyrights have been the most popular forms of intellectual property till now but there are more forms of intellectual property which are gaining importance in the past few decades, designs and geographical indications being the most popular of them. A still new form of intellectual property which has gained recognition in the past two decades is Trade secrets and it is this form of IP with which we are concerned here.</w:t>
      </w:r>
    </w:p>
    <w:p w:rsidR="00847D26" w:rsidRPr="00237544" w:rsidRDefault="00847D26" w:rsidP="00544C3C">
      <w:pPr>
        <w:pStyle w:val="ListParagraph"/>
        <w:numPr>
          <w:ilvl w:val="1"/>
          <w:numId w:val="9"/>
        </w:num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b/>
          <w:bCs/>
          <w:sz w:val="24"/>
          <w:szCs w:val="24"/>
          <w:lang w:eastAsia="en-IN"/>
        </w:rPr>
        <w:tab/>
        <w:t>Protection of Trade Secrets in India</w:t>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As mentioned above, in India, no substantive authoritative text or case laws are available to determine the nature or ambit of trade secrets. But the Indian courts have tried putting the trade secrets of various businesses under the purview of various other legislations in order to protect them and also they have tried to define what a trade secret is in various cases, some of them are as follows:-</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1. </w:t>
      </w:r>
      <w:r w:rsidRPr="00237544">
        <w:rPr>
          <w:rFonts w:ascii="Times New Roman" w:hAnsi="Times New Roman" w:cs="Times New Roman"/>
          <w:sz w:val="24"/>
          <w:szCs w:val="24"/>
          <w:lang w:eastAsia="en-IN"/>
        </w:rPr>
        <w:tab/>
      </w:r>
      <w:r w:rsidRPr="00237544">
        <w:rPr>
          <w:rFonts w:ascii="Times New Roman" w:hAnsi="Times New Roman" w:cs="Times New Roman"/>
          <w:iCs/>
          <w:sz w:val="24"/>
          <w:szCs w:val="24"/>
          <w:lang w:eastAsia="en-IN"/>
        </w:rPr>
        <w:t>American Express Bank Ltd. v. Ms. Priya Puri</w:t>
      </w:r>
      <w:r w:rsidRPr="00237544">
        <w:rPr>
          <w:rStyle w:val="FootnoteReference"/>
          <w:rFonts w:ascii="Times New Roman" w:hAnsi="Times New Roman" w:cs="Times New Roman"/>
          <w:iCs/>
          <w:sz w:val="24"/>
          <w:szCs w:val="24"/>
        </w:rPr>
        <w:footnoteReference w:id="10"/>
      </w:r>
      <w:r w:rsidRPr="00237544">
        <w:rPr>
          <w:rFonts w:ascii="Times New Roman" w:hAnsi="Times New Roman" w:cs="Times New Roman"/>
          <w:iCs/>
          <w:sz w:val="24"/>
          <w:szCs w:val="24"/>
          <w:lang w:eastAsia="en-IN"/>
        </w:rPr>
        <w:t xml:space="preserve"> </w:t>
      </w:r>
      <w:r w:rsidRPr="00237544">
        <w:rPr>
          <w:rFonts w:ascii="Times New Roman" w:hAnsi="Times New Roman" w:cs="Times New Roman"/>
          <w:sz w:val="24"/>
          <w:szCs w:val="24"/>
          <w:lang w:eastAsia="en-IN"/>
        </w:rPr>
        <w:t xml:space="preserve">in this case defined trade secrets as “… formulae, technical know-how or a peculiar mode or method of business adopted by an employer which is unknown to others.”  </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2. </w:t>
      </w:r>
      <w:r w:rsidRPr="00237544">
        <w:rPr>
          <w:rFonts w:ascii="Times New Roman" w:hAnsi="Times New Roman" w:cs="Times New Roman"/>
          <w:sz w:val="24"/>
          <w:szCs w:val="24"/>
          <w:lang w:eastAsia="en-IN"/>
        </w:rPr>
        <w:tab/>
      </w:r>
      <w:r w:rsidRPr="00237544">
        <w:rPr>
          <w:rFonts w:ascii="Times New Roman" w:hAnsi="Times New Roman" w:cs="Times New Roman"/>
          <w:iCs/>
          <w:sz w:val="24"/>
          <w:szCs w:val="24"/>
          <w:lang w:eastAsia="en-IN"/>
        </w:rPr>
        <w:t>Michael Heath Nathan Johnson v. Subhash Chandra And Ors.</w:t>
      </w:r>
      <w:r w:rsidRPr="00237544">
        <w:rPr>
          <w:rStyle w:val="FootnoteReference"/>
          <w:rFonts w:ascii="Times New Roman" w:hAnsi="Times New Roman" w:cs="Times New Roman"/>
          <w:iCs/>
          <w:sz w:val="24"/>
          <w:szCs w:val="24"/>
        </w:rPr>
        <w:footnoteReference w:id="11"/>
      </w:r>
      <w:r w:rsidRPr="00237544">
        <w:rPr>
          <w:rFonts w:ascii="Times New Roman" w:hAnsi="Times New Roman" w:cs="Times New Roman"/>
          <w:iCs/>
          <w:sz w:val="24"/>
          <w:szCs w:val="24"/>
          <w:lang w:eastAsia="en-IN"/>
        </w:rPr>
        <w:t xml:space="preserve"> </w:t>
      </w:r>
      <w:r w:rsidRPr="00237544">
        <w:rPr>
          <w:rFonts w:ascii="Times New Roman" w:hAnsi="Times New Roman" w:cs="Times New Roman"/>
          <w:sz w:val="24"/>
          <w:szCs w:val="24"/>
          <w:lang w:eastAsia="en-IN"/>
        </w:rPr>
        <w:t xml:space="preserve">and </w:t>
      </w:r>
      <w:r w:rsidRPr="00237544">
        <w:rPr>
          <w:rFonts w:ascii="Times New Roman" w:hAnsi="Times New Roman" w:cs="Times New Roman"/>
          <w:iCs/>
          <w:sz w:val="24"/>
          <w:szCs w:val="24"/>
          <w:lang w:eastAsia="en-IN"/>
        </w:rPr>
        <w:t>John Richard Brady And Ors v. Chemical Process Equipments P. Ltd. And Anr</w:t>
      </w:r>
      <w:r w:rsidRPr="00237544">
        <w:rPr>
          <w:rStyle w:val="FootnoteReference"/>
          <w:rFonts w:ascii="Times New Roman" w:hAnsi="Times New Roman" w:cs="Times New Roman"/>
          <w:iCs/>
          <w:sz w:val="24"/>
          <w:szCs w:val="24"/>
        </w:rPr>
        <w:footnoteReference w:id="12"/>
      </w:r>
      <w:r w:rsidRPr="00237544">
        <w:rPr>
          <w:rFonts w:ascii="Times New Roman" w:hAnsi="Times New Roman" w:cs="Times New Roman"/>
          <w:b/>
          <w:bCs/>
          <w:sz w:val="24"/>
          <w:szCs w:val="24"/>
          <w:lang w:eastAsia="en-IN"/>
        </w:rPr>
        <w:t xml:space="preserve"> </w:t>
      </w:r>
      <w:r w:rsidRPr="00237544">
        <w:rPr>
          <w:rFonts w:ascii="Times New Roman" w:hAnsi="Times New Roman" w:cs="Times New Roman"/>
          <w:sz w:val="24"/>
          <w:szCs w:val="24"/>
          <w:lang w:eastAsia="en-IN"/>
        </w:rPr>
        <w:lastRenderedPageBreak/>
        <w:t>took note of the contentions of the counsels who referred to English decisions to define trade secrets</w:t>
      </w:r>
      <w:r w:rsidR="0042518E" w:rsidRPr="00237544">
        <w:rPr>
          <w:rFonts w:ascii="Times New Roman" w:hAnsi="Times New Roman" w:cs="Times New Roman"/>
          <w:sz w:val="24"/>
          <w:szCs w:val="24"/>
          <w:lang w:eastAsia="en-IN"/>
        </w:rPr>
        <w:t>.</w:t>
      </w:r>
    </w:p>
    <w:p w:rsidR="001139D8" w:rsidRDefault="00847D26" w:rsidP="001139D8">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ab/>
        <w:t>The legislations which are having a connection with the trade secrets can be summed up as</w:t>
      </w:r>
    </w:p>
    <w:p w:rsidR="00847D26" w:rsidRPr="00237544" w:rsidRDefault="00847D26" w:rsidP="001139D8">
      <w:pPr>
        <w:tabs>
          <w:tab w:val="left" w:pos="720"/>
          <w:tab w:val="left" w:pos="1440"/>
        </w:tabs>
        <w:spacing w:after="360" w:line="360" w:lineRule="auto"/>
        <w:rPr>
          <w:rFonts w:ascii="Times New Roman" w:hAnsi="Times New Roman" w:cs="Times New Roman"/>
          <w:sz w:val="24"/>
          <w:szCs w:val="24"/>
          <w:lang w:eastAsia="en-IN"/>
        </w:rPr>
      </w:pPr>
      <w:r w:rsidRPr="00237544">
        <w:rPr>
          <w:rFonts w:ascii="Times New Roman" w:hAnsi="Times New Roman" w:cs="Times New Roman"/>
          <w:sz w:val="24"/>
          <w:szCs w:val="24"/>
          <w:lang w:eastAsia="en-IN"/>
        </w:rPr>
        <w:br/>
        <w:t xml:space="preserve">1. </w:t>
      </w:r>
      <w:r w:rsidRPr="00237544">
        <w:rPr>
          <w:rFonts w:ascii="Times New Roman" w:hAnsi="Times New Roman" w:cs="Times New Roman"/>
          <w:sz w:val="24"/>
          <w:szCs w:val="24"/>
          <w:lang w:eastAsia="en-IN"/>
        </w:rPr>
        <w:tab/>
        <w:t>Copyright Act, 1957</w:t>
      </w:r>
      <w:r w:rsidR="007D0CFD" w:rsidRPr="00237544">
        <w:rPr>
          <w:rFonts w:ascii="Times New Roman" w:hAnsi="Times New Roman" w:cs="Times New Roman"/>
          <w:sz w:val="24"/>
          <w:szCs w:val="24"/>
          <w:lang w:eastAsia="en-IN"/>
        </w:rPr>
        <w:t xml:space="preserve"> </w:t>
      </w:r>
      <w:r w:rsidRPr="00237544">
        <w:rPr>
          <w:rFonts w:ascii="Times New Roman" w:hAnsi="Times New Roman" w:cs="Times New Roman"/>
          <w:sz w:val="24"/>
          <w:szCs w:val="24"/>
          <w:lang w:eastAsia="en-IN"/>
        </w:rPr>
        <w:t xml:space="preserve">[Section 51,55 and 63] </w:t>
      </w:r>
      <w:r w:rsidRPr="00237544">
        <w:rPr>
          <w:rFonts w:ascii="Times New Roman" w:hAnsi="Times New Roman" w:cs="Times New Roman"/>
          <w:sz w:val="24"/>
          <w:szCs w:val="24"/>
          <w:lang w:eastAsia="en-IN"/>
        </w:rPr>
        <w:br/>
        <w:t xml:space="preserve">2. </w:t>
      </w:r>
      <w:r w:rsidRPr="00237544">
        <w:rPr>
          <w:rFonts w:ascii="Times New Roman" w:hAnsi="Times New Roman" w:cs="Times New Roman"/>
          <w:sz w:val="24"/>
          <w:szCs w:val="24"/>
          <w:lang w:eastAsia="en-IN"/>
        </w:rPr>
        <w:tab/>
        <w:t xml:space="preserve">The Designs Act,2000 </w:t>
      </w:r>
      <w:r w:rsidRPr="00237544">
        <w:rPr>
          <w:rFonts w:ascii="Times New Roman" w:hAnsi="Times New Roman" w:cs="Times New Roman"/>
          <w:sz w:val="24"/>
          <w:szCs w:val="24"/>
          <w:lang w:eastAsia="en-IN"/>
        </w:rPr>
        <w:br/>
        <w:t xml:space="preserve">3. </w:t>
      </w:r>
      <w:r w:rsidRPr="00237544">
        <w:rPr>
          <w:rFonts w:ascii="Times New Roman" w:hAnsi="Times New Roman" w:cs="Times New Roman"/>
          <w:sz w:val="24"/>
          <w:szCs w:val="24"/>
          <w:lang w:eastAsia="en-IN"/>
        </w:rPr>
        <w:tab/>
        <w:t xml:space="preserve">The Information Technology Act, 2000[Section 65, 72] </w:t>
      </w:r>
      <w:r w:rsidRPr="00237544">
        <w:rPr>
          <w:rFonts w:ascii="Times New Roman" w:hAnsi="Times New Roman" w:cs="Times New Roman"/>
          <w:sz w:val="24"/>
          <w:szCs w:val="24"/>
          <w:lang w:eastAsia="en-IN"/>
        </w:rPr>
        <w:br/>
        <w:t xml:space="preserve">4. </w:t>
      </w:r>
      <w:r w:rsidRPr="00237544">
        <w:rPr>
          <w:rFonts w:ascii="Times New Roman" w:hAnsi="Times New Roman" w:cs="Times New Roman"/>
          <w:sz w:val="24"/>
          <w:szCs w:val="24"/>
          <w:lang w:eastAsia="en-IN"/>
        </w:rPr>
        <w:tab/>
        <w:t xml:space="preserve">Indian Penal Code [Section 408, 415] </w:t>
      </w:r>
      <w:r w:rsidRPr="00237544">
        <w:rPr>
          <w:rFonts w:ascii="Times New Roman" w:hAnsi="Times New Roman" w:cs="Times New Roman"/>
          <w:sz w:val="24"/>
          <w:szCs w:val="24"/>
          <w:lang w:eastAsia="en-IN"/>
        </w:rPr>
        <w:br/>
        <w:t xml:space="preserve">5. </w:t>
      </w:r>
      <w:r w:rsidRPr="00237544">
        <w:rPr>
          <w:rFonts w:ascii="Times New Roman" w:hAnsi="Times New Roman" w:cs="Times New Roman"/>
          <w:sz w:val="24"/>
          <w:szCs w:val="24"/>
          <w:lang w:eastAsia="en-IN"/>
        </w:rPr>
        <w:tab/>
        <w:t xml:space="preserve">The Indian Contract Act [Section 27] </w:t>
      </w:r>
      <w:r w:rsidRPr="00237544">
        <w:rPr>
          <w:rFonts w:ascii="Times New Roman" w:hAnsi="Times New Roman" w:cs="Times New Roman"/>
          <w:sz w:val="24"/>
          <w:szCs w:val="24"/>
          <w:lang w:eastAsia="en-IN"/>
        </w:rPr>
        <w:br/>
        <w:t xml:space="preserve">6. </w:t>
      </w:r>
      <w:r w:rsidRPr="00237544">
        <w:rPr>
          <w:rFonts w:ascii="Times New Roman" w:hAnsi="Times New Roman" w:cs="Times New Roman"/>
          <w:sz w:val="24"/>
          <w:szCs w:val="24"/>
          <w:lang w:eastAsia="en-IN"/>
        </w:rPr>
        <w:tab/>
        <w:t xml:space="preserve">The Competition Act, 2002 [Section 3] </w:t>
      </w:r>
      <w:r w:rsidRPr="00237544">
        <w:rPr>
          <w:rFonts w:ascii="Times New Roman" w:hAnsi="Times New Roman" w:cs="Times New Roman"/>
          <w:sz w:val="24"/>
          <w:szCs w:val="24"/>
          <w:lang w:eastAsia="en-IN"/>
        </w:rPr>
        <w:br/>
        <w:t xml:space="preserve">7. </w:t>
      </w:r>
      <w:r w:rsidRPr="00237544">
        <w:rPr>
          <w:rFonts w:ascii="Times New Roman" w:hAnsi="Times New Roman" w:cs="Times New Roman"/>
          <w:sz w:val="24"/>
          <w:szCs w:val="24"/>
          <w:lang w:eastAsia="en-IN"/>
        </w:rPr>
        <w:tab/>
        <w:t>Civil Procedure Code</w:t>
      </w:r>
      <w:r w:rsidRPr="00237544">
        <w:rPr>
          <w:rFonts w:ascii="Times New Roman" w:hAnsi="Times New Roman" w:cs="Times New Roman"/>
          <w:sz w:val="24"/>
          <w:szCs w:val="24"/>
          <w:lang w:eastAsia="en-IN"/>
        </w:rPr>
        <w:br/>
        <w:t xml:space="preserve">8. </w:t>
      </w:r>
      <w:r w:rsidRPr="00237544">
        <w:rPr>
          <w:rFonts w:ascii="Times New Roman" w:hAnsi="Times New Roman" w:cs="Times New Roman"/>
          <w:sz w:val="24"/>
          <w:szCs w:val="24"/>
          <w:lang w:eastAsia="en-IN"/>
        </w:rPr>
        <w:tab/>
        <w:t>Criminal Procedure Code</w:t>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Below mentioned are the various cases in which an attempt has been made to protect the trade secrets under the heads of their respective legislations:-</w:t>
      </w:r>
    </w:p>
    <w:p w:rsidR="00847D26" w:rsidRPr="00237544" w:rsidRDefault="00847D26" w:rsidP="00544C3C">
      <w:pPr>
        <w:tabs>
          <w:tab w:val="left" w:pos="720"/>
          <w:tab w:val="left" w:pos="1440"/>
        </w:tabs>
        <w:spacing w:after="360" w:line="360" w:lineRule="auto"/>
        <w:jc w:val="both"/>
        <w:rPr>
          <w:rFonts w:ascii="Times New Roman" w:hAnsi="Times New Roman" w:cs="Times New Roman"/>
          <w:iCs/>
          <w:sz w:val="24"/>
          <w:szCs w:val="24"/>
          <w:lang w:eastAsia="en-IN"/>
        </w:rPr>
      </w:pPr>
      <w:r w:rsidRPr="00237544">
        <w:rPr>
          <w:rFonts w:ascii="Times New Roman" w:hAnsi="Times New Roman" w:cs="Times New Roman"/>
          <w:iCs/>
          <w:sz w:val="24"/>
          <w:szCs w:val="24"/>
          <w:lang w:eastAsia="en-IN"/>
        </w:rPr>
        <w:t>1.</w:t>
      </w:r>
      <w:r w:rsidRPr="00237544">
        <w:rPr>
          <w:rFonts w:ascii="Times New Roman" w:hAnsi="Times New Roman" w:cs="Times New Roman"/>
          <w:iCs/>
          <w:sz w:val="24"/>
          <w:szCs w:val="24"/>
          <w:lang w:eastAsia="en-IN"/>
        </w:rPr>
        <w:tab/>
        <w:t>Copyright Act, 1957</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iCs/>
          <w:sz w:val="24"/>
          <w:szCs w:val="24"/>
          <w:lang w:eastAsia="en-IN"/>
        </w:rPr>
      </w:pPr>
      <w:r w:rsidRPr="00237544">
        <w:rPr>
          <w:rFonts w:ascii="Times New Roman" w:hAnsi="Times New Roman" w:cs="Times New Roman"/>
          <w:sz w:val="24"/>
          <w:szCs w:val="24"/>
          <w:lang w:eastAsia="en-IN"/>
        </w:rPr>
        <w:t xml:space="preserve">A. </w:t>
      </w:r>
      <w:r w:rsidRPr="00237544">
        <w:rPr>
          <w:rFonts w:ascii="Times New Roman" w:hAnsi="Times New Roman" w:cs="Times New Roman"/>
          <w:sz w:val="24"/>
          <w:szCs w:val="24"/>
          <w:lang w:eastAsia="en-IN"/>
        </w:rPr>
        <w:tab/>
      </w:r>
      <w:r w:rsidRPr="00237544">
        <w:rPr>
          <w:rFonts w:ascii="Times New Roman" w:hAnsi="Times New Roman" w:cs="Times New Roman"/>
          <w:iCs/>
          <w:sz w:val="24"/>
          <w:szCs w:val="24"/>
          <w:lang w:eastAsia="en-IN"/>
        </w:rPr>
        <w:t>Burlington Home Shopping Pvt. Ltd. Vs Rajnish Chibber</w:t>
      </w:r>
      <w:r w:rsidRPr="00237544">
        <w:rPr>
          <w:rStyle w:val="FootnoteReference"/>
          <w:rFonts w:ascii="Times New Roman" w:hAnsi="Times New Roman" w:cs="Times New Roman"/>
          <w:iCs/>
          <w:sz w:val="24"/>
          <w:szCs w:val="24"/>
        </w:rPr>
        <w:footnoteReference w:id="13"/>
      </w:r>
      <w:r w:rsidRPr="00237544">
        <w:rPr>
          <w:rFonts w:ascii="Times New Roman" w:hAnsi="Times New Roman" w:cs="Times New Roman"/>
          <w:iCs/>
          <w:sz w:val="24"/>
          <w:szCs w:val="24"/>
          <w:lang w:eastAsia="en-IN"/>
        </w:rPr>
        <w:t xml:space="preserve"> -</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ab/>
        <w:t xml:space="preserve">The main issue in this case was whether a database consisting of compilation of mailing addresses of customers could be subject matter of a copyright and whether the defendant can be said to have committed infringement of the plaintiff's copyright? The court held “a database consisting of compilation of mailing addresses of customers can be subject matter of a copyright and if used by the defendant will amount to an infringement”  </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iCs/>
          <w:sz w:val="24"/>
          <w:szCs w:val="24"/>
          <w:lang w:eastAsia="en-IN"/>
        </w:rPr>
      </w:pPr>
      <w:r w:rsidRPr="00237544">
        <w:rPr>
          <w:rFonts w:ascii="Times New Roman" w:hAnsi="Times New Roman" w:cs="Times New Roman"/>
          <w:sz w:val="24"/>
          <w:szCs w:val="24"/>
          <w:lang w:eastAsia="en-IN"/>
        </w:rPr>
        <w:lastRenderedPageBreak/>
        <w:t xml:space="preserve">B. </w:t>
      </w:r>
      <w:r w:rsidRPr="00237544">
        <w:rPr>
          <w:rFonts w:ascii="Times New Roman" w:hAnsi="Times New Roman" w:cs="Times New Roman"/>
          <w:sz w:val="24"/>
          <w:szCs w:val="24"/>
          <w:lang w:eastAsia="en-IN"/>
        </w:rPr>
        <w:tab/>
      </w:r>
      <w:r w:rsidRPr="00237544">
        <w:rPr>
          <w:rFonts w:ascii="Times New Roman" w:hAnsi="Times New Roman" w:cs="Times New Roman"/>
          <w:iCs/>
          <w:sz w:val="24"/>
          <w:szCs w:val="24"/>
          <w:lang w:eastAsia="en-IN"/>
        </w:rPr>
        <w:t>Mr. Diljeet Titus Vs Mr. Alfred A. Adebare and Ors.</w:t>
      </w:r>
      <w:r w:rsidRPr="00237544">
        <w:rPr>
          <w:rStyle w:val="FootnoteReference"/>
          <w:rFonts w:ascii="Times New Roman" w:hAnsi="Times New Roman" w:cs="Times New Roman"/>
          <w:iCs/>
          <w:sz w:val="24"/>
          <w:szCs w:val="24"/>
        </w:rPr>
        <w:footnoteReference w:id="14"/>
      </w:r>
      <w:r w:rsidRPr="00237544">
        <w:rPr>
          <w:rFonts w:ascii="Times New Roman" w:hAnsi="Times New Roman" w:cs="Times New Roman"/>
          <w:iCs/>
          <w:sz w:val="24"/>
          <w:szCs w:val="24"/>
          <w:lang w:eastAsia="en-IN"/>
        </w:rPr>
        <w:t xml:space="preserve"> -</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ab/>
        <w:t>In this case the issue was whether compilation of list of clients and their addresses amounts to a 'literary work' wherein the author has a copyright? The Court came to the conclusion that list of clients and their addresses amounts to a literary work, which falls under the purview of the copyright act.</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iCs/>
          <w:sz w:val="24"/>
          <w:szCs w:val="24"/>
          <w:lang w:eastAsia="en-IN"/>
        </w:rPr>
      </w:pPr>
      <w:r w:rsidRPr="00237544">
        <w:rPr>
          <w:rFonts w:ascii="Times New Roman" w:hAnsi="Times New Roman" w:cs="Times New Roman"/>
          <w:sz w:val="24"/>
          <w:szCs w:val="24"/>
          <w:lang w:eastAsia="en-IN"/>
        </w:rPr>
        <w:t xml:space="preserve">C. </w:t>
      </w:r>
      <w:r w:rsidRPr="00237544">
        <w:rPr>
          <w:rFonts w:ascii="Times New Roman" w:hAnsi="Times New Roman" w:cs="Times New Roman"/>
          <w:sz w:val="24"/>
          <w:szCs w:val="24"/>
          <w:lang w:eastAsia="en-IN"/>
        </w:rPr>
        <w:tab/>
      </w:r>
      <w:r w:rsidRPr="00237544">
        <w:rPr>
          <w:rFonts w:ascii="Times New Roman" w:hAnsi="Times New Roman" w:cs="Times New Roman"/>
          <w:iCs/>
          <w:sz w:val="24"/>
          <w:szCs w:val="24"/>
          <w:lang w:eastAsia="en-IN"/>
        </w:rPr>
        <w:t>Mr. Anil Gupta and Anr. Vs. Mr. Kunal Dasgupta and Ors</w:t>
      </w:r>
      <w:r w:rsidRPr="00237544">
        <w:rPr>
          <w:rStyle w:val="FootnoteReference"/>
          <w:rFonts w:ascii="Times New Roman" w:hAnsi="Times New Roman" w:cs="Times New Roman"/>
          <w:iCs/>
          <w:sz w:val="24"/>
          <w:szCs w:val="24"/>
        </w:rPr>
        <w:footnoteReference w:id="15"/>
      </w:r>
      <w:r w:rsidRPr="00237544">
        <w:rPr>
          <w:rFonts w:ascii="Times New Roman" w:hAnsi="Times New Roman" w:cs="Times New Roman"/>
          <w:iCs/>
          <w:sz w:val="24"/>
          <w:szCs w:val="24"/>
          <w:lang w:eastAsia="en-IN"/>
        </w:rPr>
        <w:t xml:space="preserve"> -</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ab/>
        <w:t>The court held “concept developed and evolved by the plaintiff is the result of the work done by the plaintiff upon material which may be available for the use of anybody but what makes it confidential is the fact that the plaintiff has used his brain and thus produced a result in the shape of a concept”. And therefore the plaintiff can claim copyright over it.</w:t>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ab/>
        <w:t>In the above cases attempt has been made to protect their trade secrets under Copyright Act. But the courts have not shown consistency in their stand. In</w:t>
      </w:r>
      <w:r w:rsidRPr="00237544">
        <w:rPr>
          <w:rStyle w:val="FootnoteReference"/>
          <w:rFonts w:ascii="Times New Roman" w:hAnsi="Times New Roman" w:cs="Times New Roman"/>
          <w:sz w:val="24"/>
          <w:szCs w:val="24"/>
        </w:rPr>
        <w:footnoteReference w:id="16"/>
      </w:r>
      <w:r w:rsidRPr="00237544">
        <w:rPr>
          <w:rFonts w:ascii="Times New Roman" w:hAnsi="Times New Roman" w:cs="Times New Roman"/>
          <w:sz w:val="24"/>
          <w:szCs w:val="24"/>
          <w:lang w:eastAsia="en-IN"/>
        </w:rPr>
        <w:t xml:space="preserve"> the Delhi High court held that customer list could be protected as copyright. The same court took the opposite view in</w:t>
      </w:r>
      <w:r w:rsidRPr="00237544">
        <w:rPr>
          <w:rStyle w:val="FootnoteReference"/>
          <w:rFonts w:ascii="Times New Roman" w:hAnsi="Times New Roman" w:cs="Times New Roman"/>
          <w:sz w:val="24"/>
          <w:szCs w:val="24"/>
        </w:rPr>
        <w:footnoteReference w:id="17"/>
      </w:r>
      <w:r w:rsidRPr="00237544">
        <w:rPr>
          <w:rFonts w:ascii="Times New Roman" w:hAnsi="Times New Roman" w:cs="Times New Roman"/>
          <w:sz w:val="24"/>
          <w:szCs w:val="24"/>
          <w:lang w:eastAsia="en-IN"/>
        </w:rPr>
        <w:t>, because, the court held, in the case of a customers list there is only compilation and no adaptation. The courts have also held that copyright can be claimed over industrial drawings[</w:t>
      </w:r>
      <w:r w:rsidRPr="00237544">
        <w:rPr>
          <w:rFonts w:ascii="Times New Roman" w:hAnsi="Times New Roman" w:cs="Times New Roman"/>
          <w:iCs/>
          <w:sz w:val="24"/>
          <w:szCs w:val="24"/>
          <w:lang w:eastAsia="en-IN"/>
        </w:rPr>
        <w:t>AIR1987Delhi372</w:t>
      </w:r>
      <w:r w:rsidRPr="00237544">
        <w:rPr>
          <w:rFonts w:ascii="Times New Roman" w:hAnsi="Times New Roman" w:cs="Times New Roman"/>
          <w:sz w:val="24"/>
          <w:szCs w:val="24"/>
          <w:lang w:eastAsia="en-IN"/>
        </w:rPr>
        <w:t>].</w:t>
      </w:r>
    </w:p>
    <w:p w:rsidR="00847D26" w:rsidRPr="00237544" w:rsidRDefault="00847D26" w:rsidP="00544C3C">
      <w:pPr>
        <w:tabs>
          <w:tab w:val="left" w:pos="720"/>
          <w:tab w:val="left" w:pos="1440"/>
        </w:tabs>
        <w:spacing w:after="360" w:line="360" w:lineRule="auto"/>
        <w:jc w:val="both"/>
        <w:rPr>
          <w:rFonts w:ascii="Times New Roman" w:hAnsi="Times New Roman" w:cs="Times New Roman"/>
          <w:iCs/>
          <w:sz w:val="24"/>
          <w:szCs w:val="24"/>
          <w:lang w:eastAsia="en-IN"/>
        </w:rPr>
      </w:pPr>
      <w:r w:rsidRPr="00237544">
        <w:rPr>
          <w:rFonts w:ascii="Times New Roman" w:hAnsi="Times New Roman" w:cs="Times New Roman"/>
          <w:iCs/>
          <w:sz w:val="24"/>
          <w:szCs w:val="24"/>
          <w:lang w:eastAsia="en-IN"/>
        </w:rPr>
        <w:t>2.</w:t>
      </w:r>
      <w:r w:rsidRPr="00237544">
        <w:rPr>
          <w:rFonts w:ascii="Times New Roman" w:hAnsi="Times New Roman" w:cs="Times New Roman"/>
          <w:iCs/>
          <w:sz w:val="24"/>
          <w:szCs w:val="24"/>
          <w:lang w:eastAsia="en-IN"/>
        </w:rPr>
        <w:tab/>
        <w:t>Designs Act, 2000</w:t>
      </w:r>
    </w:p>
    <w:p w:rsidR="00847D26" w:rsidRPr="00237544" w:rsidRDefault="00847D26" w:rsidP="00544C3C">
      <w:pPr>
        <w:tabs>
          <w:tab w:val="left" w:pos="720"/>
          <w:tab w:val="left" w:pos="1440"/>
        </w:tabs>
        <w:spacing w:after="360" w:line="360" w:lineRule="auto"/>
        <w:jc w:val="both"/>
        <w:rPr>
          <w:rFonts w:ascii="Times New Roman" w:hAnsi="Times New Roman" w:cs="Times New Roman"/>
          <w:iCs/>
          <w:sz w:val="24"/>
          <w:szCs w:val="24"/>
          <w:lang w:eastAsia="en-IN"/>
        </w:rPr>
      </w:pPr>
      <w:r w:rsidRPr="00237544">
        <w:rPr>
          <w:rFonts w:ascii="Times New Roman" w:hAnsi="Times New Roman" w:cs="Times New Roman"/>
          <w:sz w:val="24"/>
          <w:szCs w:val="24"/>
          <w:lang w:eastAsia="en-IN"/>
        </w:rPr>
        <w:t xml:space="preserve">A. </w:t>
      </w:r>
      <w:r w:rsidRPr="00237544">
        <w:rPr>
          <w:rFonts w:ascii="Times New Roman" w:hAnsi="Times New Roman" w:cs="Times New Roman"/>
          <w:sz w:val="24"/>
          <w:szCs w:val="24"/>
          <w:lang w:eastAsia="en-IN"/>
        </w:rPr>
        <w:tab/>
      </w:r>
      <w:r w:rsidRPr="00237544">
        <w:rPr>
          <w:rFonts w:ascii="Times New Roman" w:hAnsi="Times New Roman" w:cs="Times New Roman"/>
          <w:iCs/>
          <w:sz w:val="24"/>
          <w:szCs w:val="24"/>
          <w:lang w:eastAsia="en-IN"/>
        </w:rPr>
        <w:t>Tractors and Farm Equipment Ltd. Vs. Green Field Farm Equipments Pvt. Ltd. and Ors.</w:t>
      </w:r>
      <w:r w:rsidRPr="00237544">
        <w:rPr>
          <w:rStyle w:val="FootnoteReference"/>
          <w:rFonts w:ascii="Times New Roman" w:hAnsi="Times New Roman" w:cs="Times New Roman"/>
          <w:iCs/>
          <w:sz w:val="24"/>
          <w:szCs w:val="24"/>
        </w:rPr>
        <w:footnoteReference w:id="18"/>
      </w:r>
      <w:r w:rsidRPr="00237544">
        <w:rPr>
          <w:rFonts w:ascii="Times New Roman" w:hAnsi="Times New Roman" w:cs="Times New Roman"/>
          <w:iCs/>
          <w:sz w:val="24"/>
          <w:szCs w:val="24"/>
          <w:lang w:eastAsia="en-IN"/>
        </w:rPr>
        <w:t xml:space="preserve">- </w:t>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lastRenderedPageBreak/>
        <w:t>The picture that emerges from the above case law is that the court shall entertain injunction only if the same is protected either through Copyright or Designs along with a non-disclosure agreement.</w:t>
      </w:r>
    </w:p>
    <w:p w:rsidR="00847D26" w:rsidRPr="00237544" w:rsidRDefault="00847D26" w:rsidP="00544C3C">
      <w:pPr>
        <w:tabs>
          <w:tab w:val="left" w:pos="720"/>
          <w:tab w:val="left" w:pos="1440"/>
        </w:tabs>
        <w:spacing w:after="360" w:line="360" w:lineRule="auto"/>
        <w:jc w:val="both"/>
        <w:rPr>
          <w:rFonts w:ascii="Times New Roman" w:hAnsi="Times New Roman" w:cs="Times New Roman"/>
          <w:iCs/>
          <w:sz w:val="24"/>
          <w:szCs w:val="24"/>
          <w:lang w:eastAsia="en-IN"/>
        </w:rPr>
      </w:pPr>
      <w:r w:rsidRPr="00237544">
        <w:rPr>
          <w:rFonts w:ascii="Times New Roman" w:hAnsi="Times New Roman" w:cs="Times New Roman"/>
          <w:iCs/>
          <w:sz w:val="24"/>
          <w:szCs w:val="24"/>
          <w:lang w:eastAsia="en-IN"/>
        </w:rPr>
        <w:t>3.</w:t>
      </w:r>
      <w:r w:rsidRPr="00237544">
        <w:rPr>
          <w:rFonts w:ascii="Times New Roman" w:hAnsi="Times New Roman" w:cs="Times New Roman"/>
          <w:iCs/>
          <w:sz w:val="24"/>
          <w:szCs w:val="24"/>
          <w:lang w:eastAsia="en-IN"/>
        </w:rPr>
        <w:tab/>
        <w:t>Attracting Criminal Liability</w:t>
      </w:r>
    </w:p>
    <w:p w:rsidR="00847D26" w:rsidRPr="00237544" w:rsidRDefault="00847D26" w:rsidP="00544C3C">
      <w:pPr>
        <w:tabs>
          <w:tab w:val="left" w:pos="720"/>
          <w:tab w:val="left" w:pos="1440"/>
        </w:tabs>
        <w:spacing w:after="120" w:line="360" w:lineRule="auto"/>
        <w:jc w:val="both"/>
        <w:rPr>
          <w:rFonts w:ascii="Times New Roman" w:hAnsi="Times New Roman" w:cs="Times New Roman"/>
          <w:iCs/>
          <w:sz w:val="24"/>
          <w:szCs w:val="24"/>
          <w:lang w:eastAsia="en-IN"/>
        </w:rPr>
      </w:pPr>
      <w:r w:rsidRPr="00237544">
        <w:rPr>
          <w:rFonts w:ascii="Times New Roman" w:hAnsi="Times New Roman" w:cs="Times New Roman"/>
          <w:sz w:val="24"/>
          <w:szCs w:val="24"/>
          <w:lang w:eastAsia="en-IN"/>
        </w:rPr>
        <w:t xml:space="preserve">A. </w:t>
      </w:r>
      <w:r w:rsidRPr="00237544">
        <w:rPr>
          <w:rFonts w:ascii="Times New Roman" w:hAnsi="Times New Roman" w:cs="Times New Roman"/>
          <w:sz w:val="24"/>
          <w:szCs w:val="24"/>
          <w:lang w:eastAsia="en-IN"/>
        </w:rPr>
        <w:tab/>
      </w:r>
      <w:r w:rsidRPr="00237544">
        <w:rPr>
          <w:rFonts w:ascii="Times New Roman" w:hAnsi="Times New Roman" w:cs="Times New Roman"/>
          <w:iCs/>
          <w:sz w:val="24"/>
          <w:szCs w:val="24"/>
          <w:lang w:eastAsia="en-IN"/>
        </w:rPr>
        <w:t>Pramod s\o Laxmikant Sisamkar and Uday Narayanrao Kirpekar Vs Garware Plastics and Polyester Ltd. and Anr.</w:t>
      </w:r>
      <w:r w:rsidRPr="00237544">
        <w:rPr>
          <w:rStyle w:val="FootnoteReference"/>
          <w:rFonts w:ascii="Times New Roman" w:hAnsi="Times New Roman" w:cs="Times New Roman"/>
          <w:iCs/>
          <w:sz w:val="24"/>
          <w:szCs w:val="24"/>
        </w:rPr>
        <w:footnoteReference w:id="19"/>
      </w:r>
      <w:r w:rsidRPr="00237544">
        <w:rPr>
          <w:rFonts w:ascii="Times New Roman" w:hAnsi="Times New Roman" w:cs="Times New Roman"/>
          <w:iCs/>
          <w:sz w:val="24"/>
          <w:szCs w:val="24"/>
          <w:lang w:eastAsia="en-IN"/>
        </w:rPr>
        <w:t xml:space="preserve"> -</w:t>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The court evades in deciding as to whether it would amount to ‘property’. But, the court had made an observation that if the petitioners use the technical knows how in contravention of the agreement of service, then section 408 and 420 can be attracted.</w:t>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But as the burden of proof in criminal cases is much higher in criminal cases, its scope is minimized. </w:t>
      </w:r>
    </w:p>
    <w:p w:rsidR="00847D26" w:rsidRPr="00237544" w:rsidRDefault="00847D26" w:rsidP="00544C3C">
      <w:pPr>
        <w:tabs>
          <w:tab w:val="left" w:pos="720"/>
          <w:tab w:val="left" w:pos="1440"/>
        </w:tabs>
        <w:spacing w:after="360" w:line="360" w:lineRule="auto"/>
        <w:jc w:val="both"/>
        <w:rPr>
          <w:rFonts w:ascii="Times New Roman" w:hAnsi="Times New Roman" w:cs="Times New Roman"/>
          <w:iCs/>
          <w:sz w:val="24"/>
          <w:szCs w:val="24"/>
          <w:lang w:eastAsia="en-IN"/>
        </w:rPr>
      </w:pPr>
      <w:r w:rsidRPr="00237544">
        <w:rPr>
          <w:rFonts w:ascii="Times New Roman" w:hAnsi="Times New Roman" w:cs="Times New Roman"/>
          <w:iCs/>
          <w:sz w:val="24"/>
          <w:szCs w:val="24"/>
          <w:lang w:eastAsia="en-IN"/>
        </w:rPr>
        <w:t>4.</w:t>
      </w:r>
      <w:r w:rsidRPr="00237544">
        <w:rPr>
          <w:rFonts w:ascii="Times New Roman" w:hAnsi="Times New Roman" w:cs="Times New Roman"/>
          <w:iCs/>
          <w:sz w:val="24"/>
          <w:szCs w:val="24"/>
          <w:lang w:eastAsia="en-IN"/>
        </w:rPr>
        <w:tab/>
        <w:t>Contractual Liability (Section 27 of the Contract Act)</w:t>
      </w:r>
    </w:p>
    <w:p w:rsidR="00847D26" w:rsidRPr="00237544" w:rsidRDefault="00847D26" w:rsidP="00544C3C">
      <w:pPr>
        <w:tabs>
          <w:tab w:val="left" w:pos="720"/>
          <w:tab w:val="left" w:pos="1440"/>
        </w:tabs>
        <w:spacing w:after="360" w:line="360" w:lineRule="auto"/>
        <w:jc w:val="both"/>
        <w:rPr>
          <w:rFonts w:ascii="Times New Roman" w:hAnsi="Times New Roman" w:cs="Times New Roman"/>
          <w:iCs/>
          <w:sz w:val="24"/>
          <w:szCs w:val="24"/>
          <w:lang w:eastAsia="en-IN"/>
        </w:rPr>
      </w:pPr>
      <w:r w:rsidRPr="00237544">
        <w:rPr>
          <w:rFonts w:ascii="Times New Roman" w:hAnsi="Times New Roman" w:cs="Times New Roman"/>
          <w:sz w:val="24"/>
          <w:szCs w:val="24"/>
          <w:lang w:eastAsia="en-IN"/>
        </w:rPr>
        <w:t xml:space="preserve">A. </w:t>
      </w:r>
      <w:r w:rsidRPr="00237544">
        <w:rPr>
          <w:rFonts w:ascii="Times New Roman" w:hAnsi="Times New Roman" w:cs="Times New Roman"/>
          <w:sz w:val="24"/>
          <w:szCs w:val="24"/>
          <w:lang w:eastAsia="en-IN"/>
        </w:rPr>
        <w:tab/>
      </w:r>
      <w:r w:rsidRPr="00237544">
        <w:rPr>
          <w:rFonts w:ascii="Times New Roman" w:hAnsi="Times New Roman" w:cs="Times New Roman"/>
          <w:iCs/>
          <w:sz w:val="24"/>
          <w:szCs w:val="24"/>
          <w:lang w:eastAsia="en-IN"/>
        </w:rPr>
        <w:t>Control Print (India) Limited Vs. Sanjay Sribastab and Ors.</w:t>
      </w:r>
      <w:r w:rsidRPr="00237544">
        <w:rPr>
          <w:rStyle w:val="FootnoteReference"/>
          <w:rFonts w:ascii="Times New Roman" w:hAnsi="Times New Roman" w:cs="Times New Roman"/>
          <w:iCs/>
          <w:sz w:val="24"/>
          <w:szCs w:val="24"/>
        </w:rPr>
        <w:footnoteReference w:id="20"/>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The Court held that in order to prove that the confidential information will be or is being used by the ex-employee, it has to be proved to the satisfaction of the court that the ex-employees or the defendant by virtue of the their employment had access to the secret information which was not available to any outsider unless this is proved there is no scope of granting injunction.</w:t>
      </w:r>
    </w:p>
    <w:p w:rsidR="00847D26" w:rsidRPr="00237544" w:rsidRDefault="00847D26" w:rsidP="00544C3C">
      <w:pPr>
        <w:tabs>
          <w:tab w:val="left" w:pos="720"/>
          <w:tab w:val="left" w:pos="1440"/>
        </w:tabs>
        <w:spacing w:after="360" w:line="360" w:lineRule="auto"/>
        <w:jc w:val="both"/>
        <w:rPr>
          <w:rFonts w:ascii="Times New Roman" w:hAnsi="Times New Roman" w:cs="Times New Roman"/>
          <w:iCs/>
          <w:sz w:val="24"/>
          <w:szCs w:val="24"/>
          <w:lang w:eastAsia="en-IN"/>
        </w:rPr>
      </w:pPr>
      <w:r w:rsidRPr="00237544">
        <w:rPr>
          <w:rFonts w:ascii="Times New Roman" w:hAnsi="Times New Roman" w:cs="Times New Roman"/>
          <w:sz w:val="24"/>
          <w:szCs w:val="24"/>
          <w:lang w:eastAsia="en-IN"/>
        </w:rPr>
        <w:t xml:space="preserve">B. </w:t>
      </w:r>
      <w:r w:rsidRPr="00237544">
        <w:rPr>
          <w:rFonts w:ascii="Times New Roman" w:hAnsi="Times New Roman" w:cs="Times New Roman"/>
          <w:sz w:val="24"/>
          <w:szCs w:val="24"/>
          <w:lang w:eastAsia="en-IN"/>
        </w:rPr>
        <w:tab/>
      </w:r>
      <w:r w:rsidRPr="00237544">
        <w:rPr>
          <w:rFonts w:ascii="Times New Roman" w:hAnsi="Times New Roman" w:cs="Times New Roman"/>
          <w:iCs/>
          <w:sz w:val="24"/>
          <w:szCs w:val="24"/>
          <w:lang w:eastAsia="en-IN"/>
        </w:rPr>
        <w:t>Niranjan Shankar Golikari Vs.The Century Spinning and Mfg. Co. Ltd</w:t>
      </w:r>
      <w:r w:rsidRPr="00237544">
        <w:rPr>
          <w:rStyle w:val="FootnoteReference"/>
          <w:rFonts w:ascii="Times New Roman" w:hAnsi="Times New Roman" w:cs="Times New Roman"/>
          <w:iCs/>
          <w:sz w:val="24"/>
          <w:szCs w:val="24"/>
        </w:rPr>
        <w:footnoteReference w:id="21"/>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This case is an appeal against grant of temporary injunction and the court dismissed the appeal on the ground that Negative covenants operative during period of </w:t>
      </w:r>
      <w:r w:rsidRPr="00237544">
        <w:rPr>
          <w:rFonts w:ascii="Times New Roman" w:hAnsi="Times New Roman" w:cs="Times New Roman"/>
          <w:sz w:val="24"/>
          <w:szCs w:val="24"/>
          <w:lang w:eastAsia="en-IN"/>
        </w:rPr>
        <w:lastRenderedPageBreak/>
        <w:t>contract do not fall under Section 27. Therefore the Contract does not amount to restraint in trade.</w:t>
      </w:r>
    </w:p>
    <w:p w:rsidR="00847D26" w:rsidRPr="00237544" w:rsidRDefault="00847D26" w:rsidP="00544C3C">
      <w:pPr>
        <w:tabs>
          <w:tab w:val="left" w:pos="720"/>
          <w:tab w:val="left" w:pos="1440"/>
        </w:tabs>
        <w:spacing w:after="360" w:line="360" w:lineRule="auto"/>
        <w:jc w:val="both"/>
        <w:rPr>
          <w:rFonts w:ascii="Times New Roman" w:hAnsi="Times New Roman" w:cs="Times New Roman"/>
          <w:iCs/>
          <w:sz w:val="24"/>
          <w:szCs w:val="24"/>
          <w:lang w:eastAsia="en-IN"/>
        </w:rPr>
      </w:pPr>
      <w:r w:rsidRPr="00237544">
        <w:rPr>
          <w:rFonts w:ascii="Times New Roman" w:hAnsi="Times New Roman" w:cs="Times New Roman"/>
          <w:sz w:val="24"/>
          <w:szCs w:val="24"/>
          <w:lang w:eastAsia="en-IN"/>
        </w:rPr>
        <w:t xml:space="preserve">C. </w:t>
      </w:r>
      <w:r w:rsidRPr="00237544">
        <w:rPr>
          <w:rFonts w:ascii="Times New Roman" w:hAnsi="Times New Roman" w:cs="Times New Roman"/>
          <w:sz w:val="24"/>
          <w:szCs w:val="24"/>
          <w:lang w:eastAsia="en-IN"/>
        </w:rPr>
        <w:tab/>
      </w:r>
      <w:r w:rsidRPr="00237544">
        <w:rPr>
          <w:rFonts w:ascii="Times New Roman" w:hAnsi="Times New Roman" w:cs="Times New Roman"/>
          <w:iCs/>
          <w:sz w:val="24"/>
          <w:szCs w:val="24"/>
          <w:lang w:eastAsia="en-IN"/>
        </w:rPr>
        <w:t>Shree Gopal Paper Mills Ltd.Vs.Surendra K. Ganeshdas Malhotra</w:t>
      </w:r>
      <w:r w:rsidRPr="00237544">
        <w:rPr>
          <w:rStyle w:val="FootnoteReference"/>
          <w:rFonts w:ascii="Times New Roman" w:hAnsi="Times New Roman" w:cs="Times New Roman"/>
          <w:iCs/>
          <w:sz w:val="24"/>
          <w:szCs w:val="24"/>
        </w:rPr>
        <w:footnoteReference w:id="22"/>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In this case the plaintiff’s sought to restrain the defendant during the continuance of the agreement of employment. The court did not grant injunction and dismissed the appeal on the following grounds:- </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a. </w:t>
      </w:r>
      <w:r w:rsidRPr="00237544">
        <w:rPr>
          <w:rFonts w:ascii="Times New Roman" w:hAnsi="Times New Roman" w:cs="Times New Roman"/>
          <w:sz w:val="24"/>
          <w:szCs w:val="24"/>
          <w:lang w:eastAsia="en-IN"/>
        </w:rPr>
        <w:tab/>
        <w:t xml:space="preserve">The master is entitled to be protected only in regard to his interests in trade secrets and secret process of manufacture. And also in regard to invasion of his customers </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b. </w:t>
      </w:r>
      <w:r w:rsidRPr="00237544">
        <w:rPr>
          <w:rFonts w:ascii="Times New Roman" w:hAnsi="Times New Roman" w:cs="Times New Roman"/>
          <w:sz w:val="24"/>
          <w:szCs w:val="24"/>
          <w:lang w:eastAsia="en-IN"/>
        </w:rPr>
        <w:tab/>
        <w:t xml:space="preserve">The restraints imposed by the contract are alleged to be not reasonable in the interest of the defendant and to be against public policy. </w:t>
      </w:r>
    </w:p>
    <w:p w:rsidR="00847D26" w:rsidRPr="00237544" w:rsidRDefault="00847D26" w:rsidP="00544C3C">
      <w:pPr>
        <w:tabs>
          <w:tab w:val="left" w:pos="720"/>
          <w:tab w:val="left" w:pos="1440"/>
        </w:tabs>
        <w:spacing w:after="360" w:line="360" w:lineRule="auto"/>
        <w:ind w:left="720" w:hanging="720"/>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c. </w:t>
      </w:r>
      <w:r w:rsidRPr="00237544">
        <w:rPr>
          <w:rFonts w:ascii="Times New Roman" w:hAnsi="Times New Roman" w:cs="Times New Roman"/>
          <w:sz w:val="24"/>
          <w:szCs w:val="24"/>
          <w:lang w:eastAsia="en-IN"/>
        </w:rPr>
        <w:tab/>
        <w:t xml:space="preserve">The master is not entitled to be protected against competition. </w:t>
      </w:r>
      <w:r w:rsidRPr="00237544">
        <w:rPr>
          <w:rFonts w:ascii="Times New Roman" w:hAnsi="Times New Roman" w:cs="Times New Roman"/>
          <w:sz w:val="24"/>
          <w:szCs w:val="24"/>
          <w:lang w:eastAsia="en-IN"/>
        </w:rPr>
        <w:br/>
        <w:t>d. In the present case the restraint sought to be enforced is not against protection of trade secrets or of trade connection.</w:t>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The court held that the said clause restrained the defendants only from doing any activity competing with the business carried out by the plaintiff's company.</w:t>
      </w:r>
    </w:p>
    <w:p w:rsidR="00847D26" w:rsidRPr="00237544" w:rsidRDefault="00847D26" w:rsidP="00544C3C">
      <w:pPr>
        <w:tabs>
          <w:tab w:val="left" w:pos="720"/>
          <w:tab w:val="left" w:pos="1440"/>
        </w:tabs>
        <w:spacing w:after="36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t xml:space="preserve">From the cases discussed we can clearly see that in India trade secrets have been protected using common law principles like equity and fraud. In most cases of these they have been refereed under Section 27 of the Indian Contract Act. Relief claimed in these cases, are enforcement of Non-Disclosure Agreements between the employee and the employer. Generally, an analysis of wave of Indian judicial decisions shows that Indian Courts resist in enforcing Non Competing Agreements. </w:t>
      </w:r>
    </w:p>
    <w:p w:rsidR="00847D26" w:rsidRPr="00237544" w:rsidRDefault="009D571C" w:rsidP="00544C3C">
      <w:pPr>
        <w:tabs>
          <w:tab w:val="left" w:pos="720"/>
          <w:tab w:val="left" w:pos="1440"/>
        </w:tabs>
        <w:spacing w:after="480" w:line="360" w:lineRule="auto"/>
        <w:jc w:val="both"/>
        <w:rPr>
          <w:rFonts w:ascii="Times New Roman" w:hAnsi="Times New Roman" w:cs="Times New Roman"/>
          <w:sz w:val="24"/>
          <w:szCs w:val="24"/>
          <w:lang w:eastAsia="en-IN"/>
        </w:rPr>
      </w:pPr>
      <w:r w:rsidRPr="00237544">
        <w:rPr>
          <w:rFonts w:ascii="Times New Roman" w:hAnsi="Times New Roman" w:cs="Times New Roman"/>
          <w:sz w:val="24"/>
          <w:szCs w:val="24"/>
          <w:lang w:eastAsia="en-IN"/>
        </w:rPr>
        <w:lastRenderedPageBreak/>
        <w:t xml:space="preserve">The </w:t>
      </w:r>
      <w:r w:rsidR="00847D26" w:rsidRPr="00237544">
        <w:rPr>
          <w:rFonts w:ascii="Times New Roman" w:hAnsi="Times New Roman" w:cs="Times New Roman"/>
          <w:sz w:val="24"/>
          <w:szCs w:val="24"/>
          <w:lang w:eastAsia="en-IN"/>
        </w:rPr>
        <w:t xml:space="preserve">Law Commission </w:t>
      </w:r>
      <w:r w:rsidRPr="00237544">
        <w:rPr>
          <w:rFonts w:ascii="Times New Roman" w:hAnsi="Times New Roman" w:cs="Times New Roman"/>
          <w:sz w:val="24"/>
          <w:szCs w:val="24"/>
          <w:lang w:eastAsia="en-IN"/>
        </w:rPr>
        <w:t xml:space="preserve">in its </w:t>
      </w:r>
      <w:r w:rsidR="00847D26" w:rsidRPr="00237544">
        <w:rPr>
          <w:rFonts w:ascii="Times New Roman" w:hAnsi="Times New Roman" w:cs="Times New Roman"/>
          <w:sz w:val="24"/>
          <w:szCs w:val="24"/>
          <w:lang w:eastAsia="en-IN"/>
        </w:rPr>
        <w:t>199</w:t>
      </w:r>
      <w:r w:rsidR="00847D26" w:rsidRPr="00237544">
        <w:rPr>
          <w:rFonts w:ascii="Times New Roman" w:hAnsi="Times New Roman" w:cs="Times New Roman"/>
          <w:sz w:val="24"/>
          <w:szCs w:val="24"/>
          <w:vertAlign w:val="superscript"/>
          <w:lang w:eastAsia="en-IN"/>
        </w:rPr>
        <w:t>th</w:t>
      </w:r>
      <w:r w:rsidRPr="00237544">
        <w:rPr>
          <w:rFonts w:ascii="Times New Roman" w:hAnsi="Times New Roman" w:cs="Times New Roman"/>
          <w:sz w:val="24"/>
          <w:szCs w:val="24"/>
          <w:lang w:eastAsia="en-IN"/>
        </w:rPr>
        <w:t xml:space="preserve"> Report mentioned that </w:t>
      </w:r>
      <w:r w:rsidRPr="00237544">
        <w:rPr>
          <w:rFonts w:ascii="Times New Roman" w:hAnsi="Times New Roman" w:cs="Times New Roman"/>
          <w:sz w:val="24"/>
          <w:szCs w:val="24"/>
        </w:rPr>
        <w:t>t</w:t>
      </w:r>
      <w:r w:rsidR="00847D26" w:rsidRPr="00237544">
        <w:rPr>
          <w:rFonts w:ascii="Times New Roman" w:hAnsi="Times New Roman" w:cs="Times New Roman"/>
          <w:sz w:val="24"/>
          <w:szCs w:val="24"/>
        </w:rPr>
        <w:t>he subject of ‘Unfair (Procedural and Substantive) Terms of</w:t>
      </w:r>
      <w:r w:rsidR="00CA2B61" w:rsidRPr="00237544">
        <w:rPr>
          <w:rFonts w:ascii="Times New Roman" w:hAnsi="Times New Roman" w:cs="Times New Roman"/>
          <w:sz w:val="24"/>
          <w:szCs w:val="24"/>
        </w:rPr>
        <w:t xml:space="preserve"> </w:t>
      </w:r>
      <w:r w:rsidR="00847D26" w:rsidRPr="00237544">
        <w:rPr>
          <w:rFonts w:ascii="Times New Roman" w:hAnsi="Times New Roman" w:cs="Times New Roman"/>
          <w:sz w:val="24"/>
          <w:szCs w:val="24"/>
        </w:rPr>
        <w:t xml:space="preserve">Contract’ has assumed great importance currently in the context of tremendous expansion in trade and business and consumer rights. In the last two decades, several countries have gone in for new laws on the subject in order to protect consumers and even smaller businessmen from bigger commercial entities. Several Law Commissions across the world have taken up the subject for study and recommended new legislation. </w:t>
      </w:r>
    </w:p>
    <w:p w:rsidR="00847D26" w:rsidRPr="00237544" w:rsidRDefault="00847D26" w:rsidP="00544C3C">
      <w:pPr>
        <w:autoSpaceDE w:val="0"/>
        <w:autoSpaceDN w:val="0"/>
        <w:adjustRightInd w:val="0"/>
        <w:spacing w:after="0" w:line="360" w:lineRule="auto"/>
        <w:jc w:val="both"/>
        <w:rPr>
          <w:rFonts w:ascii="Times New Roman" w:hAnsi="Times New Roman" w:cs="Times New Roman"/>
          <w:sz w:val="24"/>
          <w:szCs w:val="24"/>
        </w:rPr>
      </w:pPr>
      <w:r w:rsidRPr="00237544">
        <w:rPr>
          <w:rFonts w:ascii="Times New Roman" w:hAnsi="Times New Roman" w:cs="Times New Roman"/>
          <w:sz w:val="24"/>
          <w:szCs w:val="24"/>
        </w:rPr>
        <w:t>The supreme court in a very decisions being  CIVIL APPEAL NO. 4060 OF 2009, MODERN DENTAL COLLEGE AND RESEARCH CENTRE &amp; ORS.   VERSUS STATE OF MAD</w:t>
      </w:r>
      <w:r w:rsidR="004706BE" w:rsidRPr="00237544">
        <w:rPr>
          <w:rFonts w:ascii="Times New Roman" w:hAnsi="Times New Roman" w:cs="Times New Roman"/>
          <w:sz w:val="24"/>
          <w:szCs w:val="24"/>
        </w:rPr>
        <w:t>HYA PRADESH &amp; ORS. h</w:t>
      </w:r>
      <w:r w:rsidRPr="00237544">
        <w:rPr>
          <w:rFonts w:ascii="Times New Roman" w:hAnsi="Times New Roman" w:cs="Times New Roman"/>
          <w:sz w:val="24"/>
          <w:szCs w:val="24"/>
        </w:rPr>
        <w:t>as again delved into the economic considerations  witnessed allover India and abroad and felt the necessity to regulate the private education system as well.</w:t>
      </w:r>
    </w:p>
    <w:p w:rsidR="00847D26" w:rsidRPr="00237544" w:rsidRDefault="00847D26" w:rsidP="00544C3C">
      <w:pPr>
        <w:autoSpaceDE w:val="0"/>
        <w:autoSpaceDN w:val="0"/>
        <w:adjustRightInd w:val="0"/>
        <w:spacing w:after="0" w:line="360" w:lineRule="auto"/>
        <w:ind w:left="270"/>
        <w:jc w:val="both"/>
        <w:rPr>
          <w:rFonts w:ascii="Times New Roman" w:hAnsi="Times New Roman" w:cs="Times New Roman"/>
          <w:sz w:val="24"/>
          <w:szCs w:val="24"/>
        </w:rPr>
      </w:pPr>
      <w:r w:rsidRPr="00237544">
        <w:rPr>
          <w:rFonts w:ascii="Times New Roman" w:hAnsi="Times New Roman" w:cs="Times New Roman"/>
          <w:sz w:val="24"/>
          <w:szCs w:val="24"/>
        </w:rPr>
        <w:t xml:space="preserve">The court held “No doubt, we have entered into an era of liberalization of economy, famously termed as 'globalization' as well. In such an economy, private players are undoubtedly given much more freedom in economic activities, as the recognition has drawn to the realities that the economic activities, including profession, business, occupation etc. are not normal forte of the State and the State should have minimal role therein. It is for this reason, many sectors which were hitherto State monopolies, like telecom, power, insurance, civil aviation etc. have now opened up for private enterprise. Even in the field of education State/ Government was playing a dominant role inasmuch as it was thought desirable that in a welfare State it is the fundamental duty, as a component of Directive Principles, to impart education to the masses and commoners as well as weaker sections of the society, at affordable rates. It was almost treated as solemn duty of the Government to establish adequate number of educational institutions at all levels, i.e., from primary level to higher education and in all fields including technical, scientific and professional, to cater to the varied sections of the society, particularly, when one-third of the population of the country is poverty stricken with large percentage as illiterate. Regulatory mechanism, or what is called regulatory economics, is the order of </w:t>
      </w:r>
      <w:r w:rsidRPr="00237544">
        <w:rPr>
          <w:rFonts w:ascii="Times New Roman" w:hAnsi="Times New Roman" w:cs="Times New Roman"/>
          <w:sz w:val="24"/>
          <w:szCs w:val="24"/>
        </w:rPr>
        <w:lastRenderedPageBreak/>
        <w:t>the day. In the last 60-70 years, economic policy of this country has travelled from laissez faire to mixed economy to the present era of liberal economy with regulatory regime. With the advent of mixed economy, there was mushroom of public sector and some of the key industries like Aviation, Insurance, Railways, Electricity/Power, Telecommunication, etc. were monopolized by the State. “</w:t>
      </w:r>
    </w:p>
    <w:p w:rsidR="00847D26" w:rsidRPr="00237544" w:rsidRDefault="00847D26" w:rsidP="00544C3C">
      <w:pPr>
        <w:autoSpaceDE w:val="0"/>
        <w:autoSpaceDN w:val="0"/>
        <w:adjustRightInd w:val="0"/>
        <w:spacing w:after="0" w:line="360" w:lineRule="auto"/>
        <w:ind w:left="270"/>
        <w:jc w:val="both"/>
        <w:rPr>
          <w:rFonts w:ascii="Times New Roman" w:hAnsi="Times New Roman" w:cs="Times New Roman"/>
          <w:sz w:val="24"/>
          <w:szCs w:val="24"/>
        </w:rPr>
      </w:pPr>
      <w:r w:rsidRPr="00237544">
        <w:rPr>
          <w:rFonts w:ascii="Times New Roman" w:hAnsi="Times New Roman" w:cs="Times New Roman"/>
          <w:sz w:val="24"/>
          <w:szCs w:val="24"/>
        </w:rPr>
        <w:t xml:space="preserve">      </w:t>
      </w:r>
    </w:p>
    <w:p w:rsidR="00692C89" w:rsidRPr="00533A28" w:rsidRDefault="007D661E" w:rsidP="00533A28">
      <w:pPr>
        <w:pStyle w:val="ListParagraph"/>
        <w:numPr>
          <w:ilvl w:val="0"/>
          <w:numId w:val="27"/>
        </w:numPr>
        <w:spacing w:line="360" w:lineRule="auto"/>
        <w:jc w:val="both"/>
        <w:rPr>
          <w:rFonts w:ascii="Times New Roman" w:hAnsi="Times New Roman" w:cs="Times New Roman"/>
          <w:b/>
          <w:sz w:val="24"/>
          <w:szCs w:val="24"/>
        </w:rPr>
      </w:pPr>
      <w:r w:rsidRPr="00533A28">
        <w:rPr>
          <w:rFonts w:ascii="Times New Roman" w:hAnsi="Times New Roman" w:cs="Times New Roman"/>
          <w:b/>
          <w:sz w:val="24"/>
          <w:szCs w:val="24"/>
        </w:rPr>
        <w:t>Conclusion-</w:t>
      </w:r>
    </w:p>
    <w:p w:rsidR="007D661E" w:rsidRPr="00237544" w:rsidRDefault="007D661E" w:rsidP="00544C3C">
      <w:pPr>
        <w:spacing w:line="360" w:lineRule="auto"/>
        <w:jc w:val="both"/>
        <w:rPr>
          <w:rFonts w:ascii="Times New Roman" w:hAnsi="Times New Roman" w:cs="Times New Roman"/>
          <w:color w:val="474747"/>
          <w:spacing w:val="3"/>
          <w:sz w:val="24"/>
          <w:szCs w:val="24"/>
          <w:shd w:val="clear" w:color="auto" w:fill="FFFFFF"/>
        </w:rPr>
      </w:pPr>
      <w:r w:rsidRPr="00237544">
        <w:rPr>
          <w:rFonts w:ascii="Times New Roman" w:hAnsi="Times New Roman" w:cs="Times New Roman"/>
          <w:sz w:val="24"/>
          <w:szCs w:val="24"/>
        </w:rPr>
        <w:t>In spite of various challenges and hindrances face by this new phenomenon of legal research the advantages are too many to make its strong advocate. The interdisciplinary research being a mixture of several discipline people from various fields of study can relate with the research work attracting a wider audience.</w:t>
      </w:r>
      <w:r w:rsidR="00806D62" w:rsidRPr="00237544">
        <w:rPr>
          <w:rFonts w:ascii="Times New Roman" w:hAnsi="Times New Roman" w:cs="Times New Roman"/>
          <w:sz w:val="24"/>
          <w:szCs w:val="24"/>
        </w:rPr>
        <w:t xml:space="preserve"> It is also explanatory and gives more insight into the result of work. This work allows the researcher to confront such questions which are east expected making the researcher prepared to face any difficult satiation with his research work. </w:t>
      </w:r>
      <w:r w:rsidR="009F3C0E" w:rsidRPr="00237544">
        <w:rPr>
          <w:rFonts w:ascii="Times New Roman" w:hAnsi="Times New Roman" w:cs="Times New Roman"/>
          <w:sz w:val="24"/>
          <w:szCs w:val="24"/>
        </w:rPr>
        <w:t xml:space="preserve">This field by way </w:t>
      </w:r>
      <w:r w:rsidR="009F3C0E" w:rsidRPr="00237544">
        <w:rPr>
          <w:rFonts w:ascii="Times New Roman" w:hAnsi="Times New Roman" w:cs="Times New Roman"/>
          <w:color w:val="474747"/>
          <w:spacing w:val="3"/>
          <w:sz w:val="24"/>
          <w:szCs w:val="24"/>
          <w:shd w:val="clear" w:color="auto" w:fill="FFFFFF"/>
        </w:rPr>
        <w:t>of asking the questions that neighbor one’s discipline, or simply exposing one’s work to other disciplines can pay dividends in strengthening the research methods or the arguments.</w:t>
      </w:r>
    </w:p>
    <w:p w:rsidR="009F3C0E" w:rsidRDefault="009F3C0E" w:rsidP="00544C3C">
      <w:pPr>
        <w:spacing w:line="360" w:lineRule="auto"/>
        <w:jc w:val="both"/>
        <w:rPr>
          <w:rFonts w:ascii="Times New Roman" w:hAnsi="Times New Roman" w:cs="Times New Roman"/>
          <w:color w:val="333333"/>
          <w:sz w:val="24"/>
          <w:szCs w:val="24"/>
          <w:shd w:val="clear" w:color="auto" w:fill="FFFFFF"/>
        </w:rPr>
      </w:pPr>
      <w:r w:rsidRPr="00237544">
        <w:rPr>
          <w:rFonts w:ascii="Times New Roman" w:hAnsi="Times New Roman" w:cs="Times New Roman"/>
          <w:color w:val="474747"/>
          <w:spacing w:val="3"/>
          <w:sz w:val="24"/>
          <w:szCs w:val="24"/>
          <w:shd w:val="clear" w:color="auto" w:fill="FFFFFF"/>
        </w:rPr>
        <w:t xml:space="preserve">While preparing this paper could easily find out how the legislature and judiciary often look beyond the doctrines of law and delve deeper into the sociological changes and economic development witnesses all over the world. This only could lead the two primary organ of our democracy to keep </w:t>
      </w:r>
      <w:r w:rsidR="002F30AC" w:rsidRPr="00237544">
        <w:rPr>
          <w:rFonts w:ascii="Times New Roman" w:hAnsi="Times New Roman" w:cs="Times New Roman"/>
          <w:color w:val="474747"/>
          <w:spacing w:val="3"/>
          <w:sz w:val="24"/>
          <w:szCs w:val="24"/>
          <w:shd w:val="clear" w:color="auto" w:fill="FFFFFF"/>
        </w:rPr>
        <w:t>pace</w:t>
      </w:r>
      <w:r w:rsidRPr="00237544">
        <w:rPr>
          <w:rFonts w:ascii="Times New Roman" w:hAnsi="Times New Roman" w:cs="Times New Roman"/>
          <w:color w:val="474747"/>
          <w:spacing w:val="3"/>
          <w:sz w:val="24"/>
          <w:szCs w:val="24"/>
          <w:shd w:val="clear" w:color="auto" w:fill="FFFFFF"/>
        </w:rPr>
        <w:t xml:space="preserve"> with </w:t>
      </w:r>
      <w:r w:rsidR="0085279E">
        <w:rPr>
          <w:rFonts w:ascii="Times New Roman" w:hAnsi="Times New Roman" w:cs="Times New Roman"/>
          <w:color w:val="474747"/>
          <w:spacing w:val="3"/>
          <w:sz w:val="24"/>
          <w:szCs w:val="24"/>
          <w:shd w:val="clear" w:color="auto" w:fill="FFFFFF"/>
        </w:rPr>
        <w:t>time in terms of making changes</w:t>
      </w:r>
      <w:r w:rsidRPr="00237544">
        <w:rPr>
          <w:rFonts w:ascii="Times New Roman" w:hAnsi="Times New Roman" w:cs="Times New Roman"/>
          <w:color w:val="474747"/>
          <w:spacing w:val="3"/>
          <w:sz w:val="24"/>
          <w:szCs w:val="24"/>
          <w:shd w:val="clear" w:color="auto" w:fill="FFFFFF"/>
        </w:rPr>
        <w:t xml:space="preserve"> and or interpreting provisions of law </w:t>
      </w:r>
      <w:r w:rsidR="00766B31" w:rsidRPr="00237544">
        <w:rPr>
          <w:rFonts w:ascii="Times New Roman" w:hAnsi="Times New Roman" w:cs="Times New Roman"/>
          <w:color w:val="474747"/>
          <w:spacing w:val="3"/>
          <w:sz w:val="24"/>
          <w:szCs w:val="24"/>
          <w:shd w:val="clear" w:color="auto" w:fill="FFFFFF"/>
        </w:rPr>
        <w:t xml:space="preserve"> by adopting the approach of synthesis and integration </w:t>
      </w:r>
      <w:r w:rsidRPr="00237544">
        <w:rPr>
          <w:rFonts w:ascii="Times New Roman" w:hAnsi="Times New Roman" w:cs="Times New Roman"/>
          <w:color w:val="474747"/>
          <w:spacing w:val="3"/>
          <w:sz w:val="24"/>
          <w:szCs w:val="24"/>
          <w:shd w:val="clear" w:color="auto" w:fill="FFFFFF"/>
        </w:rPr>
        <w:t>which is nothing but an eye opener to me.</w:t>
      </w:r>
      <w:r w:rsidR="007019E3" w:rsidRPr="00237544">
        <w:rPr>
          <w:rFonts w:ascii="Times New Roman" w:hAnsi="Times New Roman" w:cs="Times New Roman"/>
          <w:color w:val="474747"/>
          <w:spacing w:val="3"/>
          <w:sz w:val="24"/>
          <w:szCs w:val="24"/>
          <w:shd w:val="clear" w:color="auto" w:fill="FFFFFF"/>
        </w:rPr>
        <w:t xml:space="preserve"> This also helped to understand the fine line of difference among </w:t>
      </w:r>
      <w:r w:rsidR="002F30AC" w:rsidRPr="00237544">
        <w:rPr>
          <w:rFonts w:ascii="Times New Roman" w:hAnsi="Times New Roman" w:cs="Times New Roman"/>
          <w:color w:val="474747"/>
          <w:spacing w:val="3"/>
          <w:sz w:val="24"/>
          <w:szCs w:val="24"/>
          <w:shd w:val="clear" w:color="auto" w:fill="FFFFFF"/>
        </w:rPr>
        <w:t>multi-disciplinary (science of interaction), inter-disciplinary (sc</w:t>
      </w:r>
      <w:r w:rsidR="0085279E">
        <w:rPr>
          <w:rFonts w:ascii="Times New Roman" w:hAnsi="Times New Roman" w:cs="Times New Roman"/>
          <w:color w:val="474747"/>
          <w:spacing w:val="3"/>
          <w:sz w:val="24"/>
          <w:szCs w:val="24"/>
          <w:shd w:val="clear" w:color="auto" w:fill="FFFFFF"/>
        </w:rPr>
        <w:t>ience of integration) and trans-</w:t>
      </w:r>
      <w:r w:rsidR="002F30AC" w:rsidRPr="00237544">
        <w:rPr>
          <w:rFonts w:ascii="Times New Roman" w:hAnsi="Times New Roman" w:cs="Times New Roman"/>
          <w:color w:val="474747"/>
          <w:spacing w:val="3"/>
          <w:sz w:val="24"/>
          <w:szCs w:val="24"/>
          <w:shd w:val="clear" w:color="auto" w:fill="FFFFFF"/>
        </w:rPr>
        <w:t>disciplinary ( science of hybridization)</w:t>
      </w:r>
      <w:r w:rsidR="0085279E">
        <w:rPr>
          <w:rFonts w:ascii="Times New Roman" w:hAnsi="Times New Roman" w:cs="Times New Roman"/>
          <w:color w:val="474747"/>
          <w:spacing w:val="3"/>
          <w:sz w:val="24"/>
          <w:szCs w:val="24"/>
          <w:shd w:val="clear" w:color="auto" w:fill="FFFFFF"/>
        </w:rPr>
        <w:t xml:space="preserve"> </w:t>
      </w:r>
      <w:r w:rsidR="002F30AC" w:rsidRPr="00237544">
        <w:rPr>
          <w:rFonts w:ascii="Times New Roman" w:hAnsi="Times New Roman" w:cs="Times New Roman"/>
          <w:color w:val="474747"/>
          <w:spacing w:val="3"/>
          <w:sz w:val="24"/>
          <w:szCs w:val="24"/>
          <w:shd w:val="clear" w:color="auto" w:fill="FFFFFF"/>
        </w:rPr>
        <w:t>which are often confused with each other.</w:t>
      </w:r>
      <w:r w:rsidR="00740EBF" w:rsidRPr="00237544">
        <w:rPr>
          <w:rFonts w:ascii="Times New Roman" w:hAnsi="Times New Roman" w:cs="Times New Roman"/>
          <w:color w:val="474747"/>
          <w:spacing w:val="3"/>
          <w:sz w:val="24"/>
          <w:szCs w:val="24"/>
          <w:shd w:val="clear" w:color="auto" w:fill="FFFFFF"/>
        </w:rPr>
        <w:t xml:space="preserve"> </w:t>
      </w:r>
      <w:r w:rsidR="00766B31" w:rsidRPr="00237544">
        <w:rPr>
          <w:rFonts w:ascii="Times New Roman" w:hAnsi="Times New Roman" w:cs="Times New Roman"/>
          <w:color w:val="474747"/>
          <w:spacing w:val="3"/>
          <w:sz w:val="24"/>
          <w:szCs w:val="24"/>
          <w:shd w:val="clear" w:color="auto" w:fill="FFFFFF"/>
        </w:rPr>
        <w:t xml:space="preserve">In one line </w:t>
      </w:r>
      <w:r w:rsidR="00740EBF" w:rsidRPr="00237544">
        <w:rPr>
          <w:rFonts w:ascii="Times New Roman" w:hAnsi="Times New Roman" w:cs="Times New Roman"/>
          <w:color w:val="474747"/>
          <w:spacing w:val="3"/>
          <w:sz w:val="24"/>
          <w:szCs w:val="24"/>
          <w:shd w:val="clear" w:color="auto" w:fill="FFFFFF"/>
        </w:rPr>
        <w:t xml:space="preserve">I can conclude that </w:t>
      </w:r>
      <w:r w:rsidR="00740EBF" w:rsidRPr="00237544">
        <w:rPr>
          <w:rFonts w:ascii="Times New Roman" w:hAnsi="Times New Roman" w:cs="Times New Roman"/>
          <w:color w:val="333333"/>
          <w:sz w:val="24"/>
          <w:szCs w:val="24"/>
          <w:shd w:val="clear" w:color="auto" w:fill="FFFFFF"/>
        </w:rPr>
        <w:t xml:space="preserve">interdisciplinary programs draw from two or more academic disciplines </w:t>
      </w:r>
      <w:r w:rsidR="0085279E">
        <w:rPr>
          <w:rFonts w:ascii="Times New Roman" w:hAnsi="Times New Roman" w:cs="Times New Roman"/>
          <w:color w:val="333333"/>
          <w:sz w:val="24"/>
          <w:szCs w:val="24"/>
          <w:shd w:val="clear" w:color="auto" w:fill="FFFFFF"/>
        </w:rPr>
        <w:t>to</w:t>
      </w:r>
      <w:r w:rsidR="00740EBF" w:rsidRPr="00237544">
        <w:rPr>
          <w:rFonts w:ascii="Times New Roman" w:hAnsi="Times New Roman" w:cs="Times New Roman"/>
          <w:color w:val="333333"/>
          <w:sz w:val="24"/>
          <w:szCs w:val="24"/>
          <w:shd w:val="clear" w:color="auto" w:fill="FFFFFF"/>
        </w:rPr>
        <w:t xml:space="preserve"> work together </w:t>
      </w:r>
      <w:r w:rsidR="0085279E">
        <w:rPr>
          <w:rFonts w:ascii="Times New Roman" w:hAnsi="Times New Roman" w:cs="Times New Roman"/>
          <w:color w:val="333333"/>
          <w:sz w:val="24"/>
          <w:szCs w:val="24"/>
          <w:shd w:val="clear" w:color="auto" w:fill="FFFFFF"/>
        </w:rPr>
        <w:t>for creation of</w:t>
      </w:r>
      <w:r w:rsidR="00740EBF" w:rsidRPr="00237544">
        <w:rPr>
          <w:rFonts w:ascii="Times New Roman" w:hAnsi="Times New Roman" w:cs="Times New Roman"/>
          <w:color w:val="333333"/>
          <w:sz w:val="24"/>
          <w:szCs w:val="24"/>
          <w:shd w:val="clear" w:color="auto" w:fill="FFFFFF"/>
        </w:rPr>
        <w:t xml:space="preserve"> a powerful learning experience </w:t>
      </w:r>
      <w:r w:rsidR="0085279E">
        <w:rPr>
          <w:rFonts w:ascii="Times New Roman" w:hAnsi="Times New Roman" w:cs="Times New Roman"/>
          <w:color w:val="333333"/>
          <w:sz w:val="24"/>
          <w:szCs w:val="24"/>
          <w:shd w:val="clear" w:color="auto" w:fill="FFFFFF"/>
        </w:rPr>
        <w:t>which help</w:t>
      </w:r>
      <w:r w:rsidR="00AE03A0">
        <w:rPr>
          <w:rFonts w:ascii="Times New Roman" w:hAnsi="Times New Roman" w:cs="Times New Roman"/>
          <w:color w:val="333333"/>
          <w:sz w:val="24"/>
          <w:szCs w:val="24"/>
          <w:shd w:val="clear" w:color="auto" w:fill="FFFFFF"/>
        </w:rPr>
        <w:t>s in</w:t>
      </w:r>
      <w:r w:rsidR="00740EBF" w:rsidRPr="00237544">
        <w:rPr>
          <w:rFonts w:ascii="Times New Roman" w:hAnsi="Times New Roman" w:cs="Times New Roman"/>
          <w:color w:val="333333"/>
          <w:sz w:val="24"/>
          <w:szCs w:val="24"/>
          <w:shd w:val="clear" w:color="auto" w:fill="FFFFFF"/>
        </w:rPr>
        <w:t xml:space="preserve"> integrative learning, critical thinking, and creative problem solving</w:t>
      </w:r>
      <w:r w:rsidR="009225B9" w:rsidRPr="00237544">
        <w:rPr>
          <w:rFonts w:ascii="Times New Roman" w:hAnsi="Times New Roman" w:cs="Times New Roman"/>
          <w:color w:val="333333"/>
          <w:sz w:val="24"/>
          <w:szCs w:val="24"/>
          <w:shd w:val="clear" w:color="auto" w:fill="FFFFFF"/>
        </w:rPr>
        <w:t xml:space="preserve"> which  I </w:t>
      </w:r>
      <w:r w:rsidR="0085279E">
        <w:rPr>
          <w:rFonts w:ascii="Times New Roman" w:hAnsi="Times New Roman" w:cs="Times New Roman"/>
          <w:color w:val="333333"/>
          <w:sz w:val="24"/>
          <w:szCs w:val="24"/>
          <w:shd w:val="clear" w:color="auto" w:fill="FFFFFF"/>
        </w:rPr>
        <w:t xml:space="preserve">witnessed </w:t>
      </w:r>
      <w:r w:rsidR="0085239F">
        <w:rPr>
          <w:rFonts w:ascii="Times New Roman" w:hAnsi="Times New Roman" w:cs="Times New Roman"/>
          <w:color w:val="333333"/>
          <w:sz w:val="24"/>
          <w:szCs w:val="24"/>
          <w:shd w:val="clear" w:color="auto" w:fill="FFFFFF"/>
        </w:rPr>
        <w:t>while preparing</w:t>
      </w:r>
      <w:r w:rsidR="009225B9" w:rsidRPr="00237544">
        <w:rPr>
          <w:rFonts w:ascii="Times New Roman" w:hAnsi="Times New Roman" w:cs="Times New Roman"/>
          <w:color w:val="333333"/>
          <w:sz w:val="24"/>
          <w:szCs w:val="24"/>
          <w:shd w:val="clear" w:color="auto" w:fill="FFFFFF"/>
        </w:rPr>
        <w:t xml:space="preserve"> this research paper.</w:t>
      </w:r>
      <w:r w:rsidR="00AE03A0">
        <w:rPr>
          <w:rFonts w:ascii="Times New Roman" w:hAnsi="Times New Roman" w:cs="Times New Roman"/>
          <w:color w:val="333333"/>
          <w:sz w:val="24"/>
          <w:szCs w:val="24"/>
          <w:shd w:val="clear" w:color="auto" w:fill="FFFFFF"/>
        </w:rPr>
        <w:t xml:space="preserve"> </w:t>
      </w:r>
      <w:r w:rsidR="00FB0B1F">
        <w:rPr>
          <w:rFonts w:ascii="Times New Roman" w:hAnsi="Times New Roman" w:cs="Times New Roman"/>
          <w:color w:val="333333"/>
          <w:sz w:val="24"/>
          <w:szCs w:val="24"/>
          <w:shd w:val="clear" w:color="auto" w:fill="FFFFFF"/>
        </w:rPr>
        <w:t xml:space="preserve">So if perspective of law and </w:t>
      </w:r>
      <w:r w:rsidR="00FB0B1F">
        <w:rPr>
          <w:rFonts w:ascii="Times New Roman" w:hAnsi="Times New Roman" w:cs="Times New Roman"/>
          <w:color w:val="333333"/>
          <w:sz w:val="24"/>
          <w:szCs w:val="24"/>
          <w:shd w:val="clear" w:color="auto" w:fill="FFFFFF"/>
        </w:rPr>
        <w:lastRenderedPageBreak/>
        <w:t xml:space="preserve">sociology and economy is combined properly to get evidence based approach to evaluation of law it will result in increased effectiveness of </w:t>
      </w:r>
      <w:r w:rsidR="00D55315">
        <w:rPr>
          <w:rFonts w:ascii="Times New Roman" w:hAnsi="Times New Roman" w:cs="Times New Roman"/>
          <w:color w:val="333333"/>
          <w:sz w:val="24"/>
          <w:szCs w:val="24"/>
          <w:shd w:val="clear" w:color="auto" w:fill="FFFFFF"/>
        </w:rPr>
        <w:t xml:space="preserve">existing </w:t>
      </w:r>
      <w:r w:rsidR="00FB0B1F">
        <w:rPr>
          <w:rFonts w:ascii="Times New Roman" w:hAnsi="Times New Roman" w:cs="Times New Roman"/>
          <w:color w:val="333333"/>
          <w:sz w:val="24"/>
          <w:szCs w:val="24"/>
          <w:shd w:val="clear" w:color="auto" w:fill="FFFFFF"/>
        </w:rPr>
        <w:t>legal system.</w:t>
      </w:r>
      <w:r w:rsidR="00AE03A0">
        <w:rPr>
          <w:rFonts w:ascii="Times New Roman" w:hAnsi="Times New Roman" w:cs="Times New Roman"/>
          <w:color w:val="333333"/>
          <w:sz w:val="24"/>
          <w:szCs w:val="24"/>
          <w:shd w:val="clear" w:color="auto" w:fill="FFFFFF"/>
        </w:rPr>
        <w:t>.</w:t>
      </w:r>
    </w:p>
    <w:p w:rsidR="00EA3779" w:rsidRPr="00237544" w:rsidRDefault="00EA3779" w:rsidP="00544C3C">
      <w:pPr>
        <w:tabs>
          <w:tab w:val="left" w:pos="540"/>
        </w:tabs>
        <w:spacing w:line="360" w:lineRule="auto"/>
        <w:jc w:val="both"/>
        <w:rPr>
          <w:rFonts w:ascii="Times New Roman" w:hAnsi="Times New Roman" w:cs="Times New Roman"/>
          <w:sz w:val="24"/>
          <w:szCs w:val="24"/>
        </w:rPr>
      </w:pPr>
    </w:p>
    <w:p w:rsidR="00EA3779" w:rsidRPr="00237544" w:rsidRDefault="00EA3779" w:rsidP="00544C3C">
      <w:pPr>
        <w:spacing w:line="360" w:lineRule="auto"/>
        <w:jc w:val="center"/>
        <w:rPr>
          <w:rFonts w:ascii="Times New Roman" w:hAnsi="Times New Roman" w:cs="Times New Roman"/>
          <w:b/>
          <w:sz w:val="24"/>
          <w:szCs w:val="24"/>
        </w:rPr>
      </w:pPr>
      <w:r w:rsidRPr="00237544">
        <w:rPr>
          <w:rFonts w:ascii="Times New Roman" w:hAnsi="Times New Roman" w:cs="Times New Roman"/>
          <w:b/>
          <w:sz w:val="24"/>
          <w:szCs w:val="24"/>
        </w:rPr>
        <w:t>Prepared By-</w:t>
      </w:r>
    </w:p>
    <w:p w:rsidR="00EA3779" w:rsidRPr="00237544" w:rsidRDefault="00EA3779" w:rsidP="00544C3C">
      <w:pPr>
        <w:spacing w:line="360" w:lineRule="auto"/>
        <w:jc w:val="center"/>
        <w:rPr>
          <w:rFonts w:ascii="Times New Roman" w:hAnsi="Times New Roman" w:cs="Times New Roman"/>
          <w:sz w:val="24"/>
          <w:szCs w:val="24"/>
        </w:rPr>
      </w:pPr>
      <w:r w:rsidRPr="00237544">
        <w:rPr>
          <w:rFonts w:ascii="Times New Roman" w:hAnsi="Times New Roman" w:cs="Times New Roman"/>
          <w:sz w:val="24"/>
          <w:szCs w:val="24"/>
        </w:rPr>
        <w:t>Devajyoti Barman</w:t>
      </w:r>
    </w:p>
    <w:p w:rsidR="00EA3779" w:rsidRPr="00237544" w:rsidRDefault="00EA3779" w:rsidP="00544C3C">
      <w:pPr>
        <w:spacing w:line="360" w:lineRule="auto"/>
        <w:jc w:val="center"/>
        <w:rPr>
          <w:rFonts w:ascii="Times New Roman" w:hAnsi="Times New Roman" w:cs="Times New Roman"/>
          <w:sz w:val="24"/>
          <w:szCs w:val="24"/>
        </w:rPr>
      </w:pPr>
      <w:r w:rsidRPr="00237544">
        <w:rPr>
          <w:rFonts w:ascii="Times New Roman" w:hAnsi="Times New Roman" w:cs="Times New Roman"/>
          <w:sz w:val="24"/>
          <w:szCs w:val="24"/>
        </w:rPr>
        <w:t>B.A ( Hons), PGDHRD, LL.B,LL.M</w:t>
      </w:r>
    </w:p>
    <w:p w:rsidR="00EA3779" w:rsidRPr="00237544" w:rsidRDefault="00EA3779" w:rsidP="00544C3C">
      <w:pPr>
        <w:spacing w:line="360" w:lineRule="auto"/>
        <w:jc w:val="center"/>
        <w:rPr>
          <w:rFonts w:ascii="Times New Roman" w:hAnsi="Times New Roman" w:cs="Times New Roman"/>
          <w:sz w:val="24"/>
          <w:szCs w:val="24"/>
        </w:rPr>
      </w:pPr>
      <w:r w:rsidRPr="00237544">
        <w:rPr>
          <w:rFonts w:ascii="Times New Roman" w:hAnsi="Times New Roman" w:cs="Times New Roman"/>
          <w:sz w:val="24"/>
          <w:szCs w:val="24"/>
        </w:rPr>
        <w:t>Advocate, High Court, Calcutta</w:t>
      </w:r>
    </w:p>
    <w:p w:rsidR="00EA3779" w:rsidRPr="00237544" w:rsidRDefault="00EA3779" w:rsidP="00544C3C">
      <w:pPr>
        <w:spacing w:line="360" w:lineRule="auto"/>
        <w:jc w:val="center"/>
        <w:rPr>
          <w:rFonts w:ascii="Times New Roman" w:hAnsi="Times New Roman" w:cs="Times New Roman"/>
          <w:sz w:val="24"/>
          <w:szCs w:val="24"/>
        </w:rPr>
      </w:pPr>
      <w:r w:rsidRPr="00237544">
        <w:rPr>
          <w:rFonts w:ascii="Times New Roman" w:hAnsi="Times New Roman" w:cs="Times New Roman"/>
          <w:sz w:val="24"/>
          <w:szCs w:val="24"/>
        </w:rPr>
        <w:t>Managing Partner- Ace Legal</w:t>
      </w:r>
    </w:p>
    <w:p w:rsidR="00EA3779" w:rsidRPr="00237544" w:rsidRDefault="00EA3779" w:rsidP="00544C3C">
      <w:pPr>
        <w:spacing w:line="360" w:lineRule="auto"/>
        <w:jc w:val="center"/>
        <w:rPr>
          <w:rFonts w:ascii="Times New Roman" w:hAnsi="Times New Roman" w:cs="Times New Roman"/>
          <w:sz w:val="24"/>
          <w:szCs w:val="24"/>
        </w:rPr>
      </w:pPr>
      <w:r w:rsidRPr="00237544">
        <w:rPr>
          <w:rFonts w:ascii="Times New Roman" w:hAnsi="Times New Roman" w:cs="Times New Roman"/>
          <w:sz w:val="24"/>
          <w:szCs w:val="24"/>
        </w:rPr>
        <w:t>www.acelegalfirm.com</w:t>
      </w:r>
    </w:p>
    <w:p w:rsidR="00EA3779" w:rsidRPr="00237544" w:rsidRDefault="00EA3779" w:rsidP="00544C3C">
      <w:pPr>
        <w:spacing w:line="360" w:lineRule="auto"/>
        <w:jc w:val="both"/>
        <w:rPr>
          <w:rFonts w:ascii="Times New Roman" w:hAnsi="Times New Roman" w:cs="Times New Roman"/>
          <w:sz w:val="24"/>
          <w:szCs w:val="24"/>
        </w:rPr>
      </w:pPr>
    </w:p>
    <w:p w:rsidR="00062E35" w:rsidRPr="001139D8" w:rsidRDefault="00062E35" w:rsidP="00544C3C">
      <w:pPr>
        <w:tabs>
          <w:tab w:val="left" w:pos="720"/>
          <w:tab w:val="left" w:pos="1440"/>
        </w:tabs>
        <w:autoSpaceDE w:val="0"/>
        <w:autoSpaceDN w:val="0"/>
        <w:adjustRightInd w:val="0"/>
        <w:spacing w:after="360" w:line="360" w:lineRule="auto"/>
        <w:jc w:val="center"/>
        <w:rPr>
          <w:rFonts w:ascii="Times New Roman" w:hAnsi="Times New Roman" w:cs="Times New Roman"/>
          <w:iCs/>
          <w:sz w:val="24"/>
          <w:szCs w:val="24"/>
          <w:u w:val="single"/>
        </w:rPr>
      </w:pPr>
      <w:r w:rsidRPr="001139D8">
        <w:rPr>
          <w:rFonts w:ascii="Times New Roman" w:hAnsi="Times New Roman" w:cs="Times New Roman"/>
          <w:iCs/>
          <w:sz w:val="24"/>
          <w:szCs w:val="24"/>
          <w:u w:val="single"/>
        </w:rPr>
        <w:t>BIBLIOGRAPHY</w:t>
      </w:r>
    </w:p>
    <w:p w:rsidR="00062E35" w:rsidRPr="00237544" w:rsidRDefault="00FF7F81"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hyperlink r:id="rId10" w:history="1">
        <w:r w:rsidR="00062E35" w:rsidRPr="00237544">
          <w:rPr>
            <w:rStyle w:val="Hyperlink"/>
            <w:rFonts w:ascii="Times New Roman" w:hAnsi="Times New Roman" w:cs="Times New Roman"/>
            <w:color w:val="auto"/>
            <w:sz w:val="24"/>
            <w:szCs w:val="24"/>
            <w:u w:val="none"/>
          </w:rPr>
          <w:t>Dutt on CONTRACT - The Indian Contract Act, 1872</w:t>
        </w:r>
      </w:hyperlink>
      <w:r w:rsidR="00062E35" w:rsidRPr="00237544">
        <w:rPr>
          <w:rFonts w:ascii="Times New Roman" w:hAnsi="Times New Roman" w:cs="Times New Roman"/>
          <w:sz w:val="24"/>
          <w:szCs w:val="24"/>
        </w:rPr>
        <w:t xml:space="preserve"> </w:t>
      </w:r>
    </w:p>
    <w:p w:rsidR="00062E35" w:rsidRPr="00237544" w:rsidRDefault="00FF7F81"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hyperlink r:id="rId11" w:history="1">
        <w:r w:rsidR="00062E35" w:rsidRPr="00237544">
          <w:rPr>
            <w:rStyle w:val="Hyperlink"/>
            <w:rFonts w:ascii="Times New Roman" w:hAnsi="Times New Roman" w:cs="Times New Roman"/>
            <w:color w:val="auto"/>
            <w:sz w:val="24"/>
            <w:szCs w:val="24"/>
            <w:u w:val="none"/>
          </w:rPr>
          <w:t>INDIAN CONTRACT ACT, 1872</w:t>
        </w:r>
      </w:hyperlink>
      <w:r w:rsidR="00062E35" w:rsidRPr="00237544">
        <w:rPr>
          <w:rFonts w:ascii="Times New Roman" w:hAnsi="Times New Roman" w:cs="Times New Roman"/>
          <w:sz w:val="24"/>
          <w:szCs w:val="24"/>
        </w:rPr>
        <w:t xml:space="preserve"> </w:t>
      </w:r>
      <w:hyperlink r:id="rId12" w:history="1">
        <w:r w:rsidR="00062E35" w:rsidRPr="00237544">
          <w:rPr>
            <w:rStyle w:val="Hyperlink"/>
            <w:rFonts w:ascii="Times New Roman" w:hAnsi="Times New Roman" w:cs="Times New Roman"/>
            <w:color w:val="auto"/>
            <w:sz w:val="24"/>
            <w:szCs w:val="24"/>
            <w:u w:val="none"/>
          </w:rPr>
          <w:t>Pollock &amp; Mulla, revised &amp; edited by Nilima Bhadbhade</w:t>
        </w:r>
      </w:hyperlink>
      <w:r w:rsidR="00062E35" w:rsidRPr="00237544">
        <w:rPr>
          <w:rFonts w:ascii="Times New Roman" w:hAnsi="Times New Roman" w:cs="Times New Roman"/>
          <w:sz w:val="24"/>
          <w:szCs w:val="24"/>
        </w:rPr>
        <w:t>14th edition, 2013</w:t>
      </w:r>
    </w:p>
    <w:p w:rsidR="00062E35" w:rsidRPr="00237544" w:rsidRDefault="00FF7F81"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hyperlink r:id="rId13" w:history="1">
        <w:r w:rsidR="00062E35" w:rsidRPr="00237544">
          <w:rPr>
            <w:rStyle w:val="Hyperlink"/>
            <w:rFonts w:ascii="Times New Roman" w:hAnsi="Times New Roman" w:cs="Times New Roman"/>
            <w:color w:val="auto"/>
            <w:sz w:val="24"/>
            <w:szCs w:val="24"/>
            <w:u w:val="none"/>
          </w:rPr>
          <w:t>The Indian Contract  Act, 1872</w:t>
        </w:r>
      </w:hyperlink>
      <w:r w:rsidR="00062E35" w:rsidRPr="00237544">
        <w:rPr>
          <w:rFonts w:ascii="Times New Roman" w:hAnsi="Times New Roman" w:cs="Times New Roman"/>
          <w:sz w:val="24"/>
          <w:szCs w:val="24"/>
        </w:rPr>
        <w:t xml:space="preserve"> </w:t>
      </w:r>
      <w:hyperlink r:id="rId14" w:history="1">
        <w:r w:rsidR="00062E35" w:rsidRPr="00237544">
          <w:rPr>
            <w:rStyle w:val="Hyperlink"/>
            <w:rFonts w:ascii="Times New Roman" w:hAnsi="Times New Roman" w:cs="Times New Roman"/>
            <w:color w:val="auto"/>
            <w:sz w:val="24"/>
            <w:szCs w:val="24"/>
            <w:u w:val="none"/>
          </w:rPr>
          <w:t>Private Publication</w:t>
        </w:r>
      </w:hyperlink>
      <w:r w:rsidR="00062E35" w:rsidRPr="00237544">
        <w:rPr>
          <w:rFonts w:ascii="Times New Roman" w:hAnsi="Times New Roman" w:cs="Times New Roman"/>
          <w:sz w:val="24"/>
          <w:szCs w:val="24"/>
        </w:rPr>
        <w:t xml:space="preserve"> Latest Bare Act</w:t>
      </w:r>
    </w:p>
    <w:p w:rsidR="00062E35" w:rsidRPr="00237544" w:rsidRDefault="00062E35"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r w:rsidRPr="00237544">
        <w:rPr>
          <w:rFonts w:ascii="Times New Roman" w:hAnsi="Times New Roman" w:cs="Times New Roman"/>
          <w:sz w:val="24"/>
          <w:szCs w:val="24"/>
        </w:rPr>
        <w:t xml:space="preserve">The Contract Act, 1872, The Sale of Goods Act, 1930 and The Partnership Act, 1932 </w:t>
      </w:r>
      <w:hyperlink r:id="rId15" w:history="1">
        <w:r w:rsidRPr="00237544">
          <w:rPr>
            <w:rStyle w:val="Hyperlink"/>
            <w:rFonts w:ascii="Times New Roman" w:hAnsi="Times New Roman" w:cs="Times New Roman"/>
            <w:color w:val="auto"/>
            <w:sz w:val="24"/>
            <w:szCs w:val="24"/>
            <w:u w:val="none"/>
          </w:rPr>
          <w:t>Dr. B.L.Babel</w:t>
        </w:r>
      </w:hyperlink>
      <w:r w:rsidRPr="00237544">
        <w:rPr>
          <w:rFonts w:ascii="Times New Roman" w:hAnsi="Times New Roman" w:cs="Times New Roman"/>
          <w:sz w:val="24"/>
          <w:szCs w:val="24"/>
        </w:rPr>
        <w:t>8th Edition,</w:t>
      </w:r>
    </w:p>
    <w:p w:rsidR="00062E35" w:rsidRPr="00237544" w:rsidRDefault="00FF7F81"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hyperlink r:id="rId16" w:history="1">
        <w:r w:rsidR="00062E35" w:rsidRPr="00237544">
          <w:rPr>
            <w:rStyle w:val="Hyperlink"/>
            <w:rFonts w:ascii="Times New Roman" w:hAnsi="Times New Roman" w:cs="Times New Roman"/>
            <w:color w:val="auto"/>
            <w:sz w:val="24"/>
            <w:szCs w:val="24"/>
            <w:u w:val="none"/>
          </w:rPr>
          <w:t>Law Relating to Indian Contract Act, 1872</w:t>
        </w:r>
      </w:hyperlink>
      <w:r w:rsidR="00062E35" w:rsidRPr="00237544">
        <w:rPr>
          <w:rFonts w:ascii="Times New Roman" w:hAnsi="Times New Roman" w:cs="Times New Roman"/>
          <w:sz w:val="24"/>
          <w:szCs w:val="24"/>
        </w:rPr>
        <w:t xml:space="preserve"> </w:t>
      </w:r>
      <w:hyperlink r:id="rId17" w:history="1">
        <w:r w:rsidR="00062E35" w:rsidRPr="00237544">
          <w:rPr>
            <w:rStyle w:val="Hyperlink"/>
            <w:rFonts w:ascii="Times New Roman" w:hAnsi="Times New Roman" w:cs="Times New Roman"/>
            <w:color w:val="auto"/>
            <w:sz w:val="24"/>
            <w:szCs w:val="24"/>
            <w:u w:val="none"/>
          </w:rPr>
          <w:t>M.L.Bhargava (Advocate)</w:t>
        </w:r>
      </w:hyperlink>
      <w:r w:rsidR="00062E35" w:rsidRPr="00237544">
        <w:rPr>
          <w:rFonts w:ascii="Times New Roman" w:hAnsi="Times New Roman" w:cs="Times New Roman"/>
          <w:sz w:val="24"/>
          <w:szCs w:val="24"/>
        </w:rPr>
        <w:t>2009</w:t>
      </w:r>
    </w:p>
    <w:p w:rsidR="00062E35" w:rsidRPr="00237544" w:rsidRDefault="00FF7F81"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hyperlink r:id="rId18" w:history="1">
        <w:r w:rsidR="00062E35" w:rsidRPr="00237544">
          <w:rPr>
            <w:rStyle w:val="Hyperlink"/>
            <w:rFonts w:ascii="Times New Roman" w:hAnsi="Times New Roman" w:cs="Times New Roman"/>
            <w:color w:val="auto"/>
            <w:sz w:val="24"/>
            <w:szCs w:val="24"/>
            <w:u w:val="none"/>
          </w:rPr>
          <w:t>Digest of Indian Contract Act, 1872 (1991-2010)</w:t>
        </w:r>
      </w:hyperlink>
      <w:r w:rsidR="00062E35" w:rsidRPr="00237544">
        <w:rPr>
          <w:rFonts w:ascii="Times New Roman" w:hAnsi="Times New Roman" w:cs="Times New Roman"/>
          <w:sz w:val="24"/>
          <w:szCs w:val="24"/>
        </w:rPr>
        <w:t xml:space="preserve"> </w:t>
      </w:r>
      <w:hyperlink r:id="rId19" w:history="1">
        <w:r w:rsidR="00062E35" w:rsidRPr="00237544">
          <w:rPr>
            <w:rStyle w:val="Hyperlink"/>
            <w:rFonts w:ascii="Times New Roman" w:hAnsi="Times New Roman" w:cs="Times New Roman"/>
            <w:color w:val="auto"/>
            <w:sz w:val="24"/>
            <w:szCs w:val="24"/>
            <w:u w:val="none"/>
          </w:rPr>
          <w:t>Sandeep Bhalla (Advocate)</w:t>
        </w:r>
      </w:hyperlink>
      <w:r w:rsidR="00062E35" w:rsidRPr="00237544">
        <w:rPr>
          <w:rFonts w:ascii="Times New Roman" w:hAnsi="Times New Roman" w:cs="Times New Roman"/>
          <w:sz w:val="24"/>
          <w:szCs w:val="24"/>
        </w:rPr>
        <w:t xml:space="preserve"> 2nd edition, 2010R</w:t>
      </w:r>
    </w:p>
    <w:p w:rsidR="00062E35" w:rsidRPr="00237544" w:rsidRDefault="00FF7F81"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hyperlink r:id="rId20" w:history="1">
        <w:r w:rsidR="00062E35" w:rsidRPr="00237544">
          <w:rPr>
            <w:rStyle w:val="Hyperlink"/>
            <w:rFonts w:ascii="Times New Roman" w:hAnsi="Times New Roman" w:cs="Times New Roman"/>
            <w:color w:val="auto"/>
            <w:sz w:val="24"/>
            <w:szCs w:val="24"/>
            <w:u w:val="none"/>
          </w:rPr>
          <w:t>The Indian CONTRACT Act, 1872 and Tenders (in single Volume)</w:t>
        </w:r>
      </w:hyperlink>
      <w:hyperlink r:id="rId21" w:history="1">
        <w:r w:rsidR="00062E35" w:rsidRPr="00237544">
          <w:rPr>
            <w:rStyle w:val="Hyperlink"/>
            <w:rFonts w:ascii="Times New Roman" w:hAnsi="Times New Roman" w:cs="Times New Roman"/>
            <w:color w:val="auto"/>
            <w:sz w:val="24"/>
            <w:szCs w:val="24"/>
            <w:u w:val="none"/>
          </w:rPr>
          <w:t>Sanjiva Row</w:t>
        </w:r>
      </w:hyperlink>
      <w:r w:rsidR="00062E35" w:rsidRPr="00237544">
        <w:rPr>
          <w:rFonts w:ascii="Times New Roman" w:hAnsi="Times New Roman" w:cs="Times New Roman"/>
          <w:sz w:val="24"/>
          <w:szCs w:val="24"/>
        </w:rPr>
        <w:t xml:space="preserve"> 12th edition, 2013</w:t>
      </w:r>
    </w:p>
    <w:p w:rsidR="00237544" w:rsidRPr="00237544" w:rsidRDefault="00FF7F81"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hyperlink r:id="rId22" w:history="1">
        <w:r w:rsidR="00062E35" w:rsidRPr="00237544">
          <w:rPr>
            <w:rStyle w:val="Hyperlink"/>
            <w:rFonts w:ascii="Times New Roman" w:hAnsi="Times New Roman" w:cs="Times New Roman"/>
            <w:color w:val="auto"/>
            <w:sz w:val="24"/>
            <w:szCs w:val="24"/>
            <w:u w:val="none"/>
          </w:rPr>
          <w:t>Handbook on Law Relating to Tender BID (Under Indian Contract Act, 1872) with Model BID Document</w:t>
        </w:r>
      </w:hyperlink>
      <w:r w:rsidR="00062E35" w:rsidRPr="00237544">
        <w:rPr>
          <w:rFonts w:ascii="Times New Roman" w:hAnsi="Times New Roman" w:cs="Times New Roman"/>
          <w:sz w:val="24"/>
          <w:szCs w:val="24"/>
        </w:rPr>
        <w:t xml:space="preserve"> </w:t>
      </w:r>
      <w:hyperlink r:id="rId23" w:history="1">
        <w:r w:rsidR="00062E35" w:rsidRPr="00237544">
          <w:rPr>
            <w:rStyle w:val="Hyperlink"/>
            <w:rFonts w:ascii="Times New Roman" w:hAnsi="Times New Roman" w:cs="Times New Roman"/>
            <w:color w:val="auto"/>
            <w:sz w:val="24"/>
            <w:szCs w:val="24"/>
            <w:u w:val="none"/>
          </w:rPr>
          <w:t>B.V.R.Sarma (Advocate)</w:t>
        </w:r>
      </w:hyperlink>
      <w:r w:rsidR="00062E35" w:rsidRPr="00237544">
        <w:rPr>
          <w:rFonts w:ascii="Times New Roman" w:hAnsi="Times New Roman" w:cs="Times New Roman"/>
          <w:sz w:val="24"/>
          <w:szCs w:val="24"/>
        </w:rPr>
        <w:t xml:space="preserve"> 2011</w:t>
      </w:r>
      <w:r w:rsidR="00237544" w:rsidRPr="00237544">
        <w:rPr>
          <w:rFonts w:ascii="Times New Roman" w:hAnsi="Times New Roman" w:cs="Times New Roman"/>
          <w:sz w:val="24"/>
          <w:szCs w:val="24"/>
        </w:rPr>
        <w:t>.</w:t>
      </w:r>
    </w:p>
    <w:p w:rsidR="00237544" w:rsidRPr="00237544" w:rsidRDefault="00AE03A0"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Mathias S.Siems on Taxonomy of Interdisciplinary Legal Research</w:t>
      </w:r>
    </w:p>
    <w:p w:rsidR="00237544" w:rsidRPr="00237544" w:rsidRDefault="00237544"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r w:rsidRPr="00237544">
        <w:rPr>
          <w:rFonts w:ascii="Times New Roman" w:hAnsi="Times New Roman" w:cs="Times New Roman"/>
          <w:sz w:val="24"/>
          <w:szCs w:val="24"/>
        </w:rPr>
        <w:t xml:space="preserve">Folkers, G. (2010), Interdisziplinär forschen, aber wie?, </w:t>
      </w:r>
      <w:r w:rsidRPr="00237544">
        <w:rPr>
          <w:rFonts w:ascii="Times New Roman" w:hAnsi="Times New Roman" w:cs="Times New Roman"/>
          <w:iCs/>
          <w:sz w:val="24"/>
          <w:szCs w:val="24"/>
        </w:rPr>
        <w:t>Schweizerischer Nationalfonds</w:t>
      </w:r>
      <w:r w:rsidRPr="00237544">
        <w:rPr>
          <w:rFonts w:ascii="Times New Roman" w:hAnsi="Times New Roman" w:cs="Times New Roman"/>
          <w:sz w:val="24"/>
          <w:szCs w:val="24"/>
        </w:rPr>
        <w:t>,</w:t>
      </w:r>
    </w:p>
    <w:p w:rsidR="00237544" w:rsidRPr="00237544" w:rsidRDefault="00237544"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r w:rsidRPr="00237544">
        <w:rPr>
          <w:rFonts w:ascii="Times New Roman" w:hAnsi="Times New Roman" w:cs="Times New Roman"/>
          <w:sz w:val="24"/>
          <w:szCs w:val="24"/>
        </w:rPr>
        <w:t>Klein, J.T. &amp; Newell, W.H. (1987), Advancing Interdisciplinary Studies, in Jerry Graff &amp; James Ratcliff , Handbook of the Undergraduate Curriculum, San Francisco: Jossey-Bass, pp. 393-394.</w:t>
      </w:r>
    </w:p>
    <w:p w:rsidR="00237544" w:rsidRPr="00237544" w:rsidRDefault="00237544"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Upe</w:t>
      </w:r>
      <w:r w:rsidRPr="00237544">
        <w:rPr>
          <w:rFonts w:ascii="Times New Roman" w:hAnsi="Times New Roman" w:cs="Times New Roman"/>
          <w:sz w:val="24"/>
          <w:szCs w:val="24"/>
        </w:rPr>
        <w:t xml:space="preserve">ndra Baxi, </w:t>
      </w:r>
      <w:r w:rsidRPr="00237544">
        <w:rPr>
          <w:rFonts w:ascii="Times New Roman" w:hAnsi="Times New Roman" w:cs="Times New Roman"/>
          <w:iCs/>
          <w:sz w:val="24"/>
          <w:szCs w:val="24"/>
        </w:rPr>
        <w:t>The</w:t>
      </w:r>
      <w:r w:rsidRPr="00237544">
        <w:rPr>
          <w:rFonts w:ascii="Times New Roman" w:hAnsi="Times New Roman" w:cs="Times New Roman"/>
          <w:sz w:val="24"/>
          <w:szCs w:val="24"/>
        </w:rPr>
        <w:t xml:space="preserve"> </w:t>
      </w:r>
      <w:r w:rsidRPr="00237544">
        <w:rPr>
          <w:rFonts w:ascii="Times New Roman" w:hAnsi="Times New Roman" w:cs="Times New Roman"/>
          <w:iCs/>
          <w:sz w:val="24"/>
          <w:szCs w:val="24"/>
        </w:rPr>
        <w:t xml:space="preserve">Indian Supreme Court and Politics </w:t>
      </w:r>
      <w:r w:rsidRPr="00237544">
        <w:rPr>
          <w:rFonts w:ascii="Times New Roman" w:hAnsi="Times New Roman" w:cs="Times New Roman"/>
          <w:sz w:val="24"/>
          <w:szCs w:val="24"/>
        </w:rPr>
        <w:t>( 1980).</w:t>
      </w:r>
    </w:p>
    <w:p w:rsidR="00237544" w:rsidRDefault="00237544"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r w:rsidRPr="00237544">
        <w:rPr>
          <w:rFonts w:ascii="Times New Roman" w:hAnsi="Times New Roman" w:cs="Times New Roman"/>
          <w:sz w:val="24"/>
          <w:szCs w:val="24"/>
        </w:rPr>
        <w:t xml:space="preserve"> Bishwa B. Chatterjee, </w:t>
      </w:r>
      <w:r w:rsidRPr="00237544">
        <w:rPr>
          <w:rFonts w:ascii="Times New Roman" w:hAnsi="Times New Roman" w:cs="Times New Roman"/>
          <w:iCs/>
          <w:sz w:val="24"/>
          <w:szCs w:val="24"/>
        </w:rPr>
        <w:t xml:space="preserve">Impact a/Social Legislation all Social Change </w:t>
      </w:r>
      <w:r w:rsidRPr="00237544">
        <w:rPr>
          <w:rFonts w:ascii="Times New Roman" w:hAnsi="Times New Roman" w:cs="Times New Roman"/>
          <w:sz w:val="24"/>
          <w:szCs w:val="24"/>
        </w:rPr>
        <w:t>(1971);</w:t>
      </w:r>
    </w:p>
    <w:p w:rsidR="00533A28" w:rsidRPr="00237544" w:rsidRDefault="00533A28"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Paper on Indian Legal Research by Rajkumari Agarwala.</w:t>
      </w:r>
    </w:p>
    <w:p w:rsidR="00237544" w:rsidRDefault="00237544"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r w:rsidRPr="00237544">
        <w:rPr>
          <w:rFonts w:ascii="Times New Roman" w:hAnsi="Times New Roman" w:cs="Times New Roman"/>
          <w:sz w:val="24"/>
          <w:szCs w:val="24"/>
        </w:rPr>
        <w:t>Law Commission Reports</w:t>
      </w:r>
    </w:p>
    <w:p w:rsidR="00B3297A" w:rsidRDefault="00B3297A"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E-Book in scribd</w:t>
      </w:r>
      <w:r w:rsidR="0083305C">
        <w:rPr>
          <w:rFonts w:ascii="Times New Roman" w:hAnsi="Times New Roman" w:cs="Times New Roman"/>
          <w:sz w:val="24"/>
          <w:szCs w:val="24"/>
        </w:rPr>
        <w:t>.com</w:t>
      </w:r>
    </w:p>
    <w:p w:rsidR="0083305C" w:rsidRDefault="0083305C" w:rsidP="00544C3C">
      <w:pPr>
        <w:numPr>
          <w:ilvl w:val="0"/>
          <w:numId w:val="26"/>
        </w:numPr>
        <w:tabs>
          <w:tab w:val="left" w:pos="720"/>
          <w:tab w:val="left" w:pos="1440"/>
        </w:tabs>
        <w:autoSpaceDE w:val="0"/>
        <w:autoSpaceDN w:val="0"/>
        <w:adjustRightInd w:val="0"/>
        <w:spacing w:after="36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Online </w:t>
      </w:r>
      <w:r w:rsidR="001139D8">
        <w:rPr>
          <w:rFonts w:ascii="Times New Roman" w:hAnsi="Times New Roman" w:cs="Times New Roman"/>
          <w:sz w:val="24"/>
          <w:szCs w:val="24"/>
        </w:rPr>
        <w:t>searches</w:t>
      </w:r>
    </w:p>
    <w:p w:rsidR="00331697" w:rsidRPr="00237544" w:rsidRDefault="00331697" w:rsidP="00544C3C">
      <w:pPr>
        <w:tabs>
          <w:tab w:val="left" w:pos="720"/>
          <w:tab w:val="left" w:pos="1440"/>
        </w:tabs>
        <w:autoSpaceDE w:val="0"/>
        <w:autoSpaceDN w:val="0"/>
        <w:adjustRightInd w:val="0"/>
        <w:spacing w:after="360" w:line="360" w:lineRule="auto"/>
        <w:ind w:left="720"/>
        <w:jc w:val="both"/>
        <w:rPr>
          <w:rFonts w:ascii="Times New Roman" w:hAnsi="Times New Roman" w:cs="Times New Roman"/>
          <w:sz w:val="24"/>
          <w:szCs w:val="24"/>
        </w:rPr>
      </w:pPr>
      <w:r>
        <w:rPr>
          <w:rFonts w:ascii="Times New Roman" w:hAnsi="Times New Roman" w:cs="Times New Roman"/>
          <w:sz w:val="24"/>
          <w:szCs w:val="24"/>
        </w:rPr>
        <w:t>-------------------------------------------o----------------------------------------------</w:t>
      </w:r>
    </w:p>
    <w:p w:rsidR="00237544" w:rsidRPr="00237544" w:rsidRDefault="00237544" w:rsidP="00544C3C">
      <w:pPr>
        <w:autoSpaceDE w:val="0"/>
        <w:autoSpaceDN w:val="0"/>
        <w:adjustRightInd w:val="0"/>
        <w:spacing w:after="0" w:line="360" w:lineRule="auto"/>
        <w:rPr>
          <w:rFonts w:ascii="Times New Roman" w:hAnsi="Times New Roman" w:cs="Times New Roman"/>
          <w:sz w:val="24"/>
          <w:szCs w:val="24"/>
        </w:rPr>
      </w:pPr>
    </w:p>
    <w:p w:rsidR="007D661E" w:rsidRPr="00237544" w:rsidRDefault="007D661E" w:rsidP="00544C3C">
      <w:pPr>
        <w:spacing w:line="360" w:lineRule="auto"/>
        <w:jc w:val="both"/>
        <w:rPr>
          <w:rFonts w:ascii="Times New Roman" w:hAnsi="Times New Roman" w:cs="Times New Roman"/>
          <w:sz w:val="24"/>
          <w:szCs w:val="24"/>
        </w:rPr>
      </w:pPr>
    </w:p>
    <w:sectPr w:rsidR="007D661E" w:rsidRPr="00237544" w:rsidSect="00692C89">
      <w:footerReference w:type="default" r:id="rId24"/>
      <w:pgSz w:w="12240" w:h="15840"/>
      <w:pgMar w:top="1440" w:right="1440" w:bottom="1440" w:left="27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6B1C" w:rsidRDefault="002B6B1C" w:rsidP="00847D26">
      <w:pPr>
        <w:spacing w:after="0" w:line="240" w:lineRule="auto"/>
      </w:pPr>
      <w:r>
        <w:separator/>
      </w:r>
    </w:p>
  </w:endnote>
  <w:endnote w:type="continuationSeparator" w:id="1">
    <w:p w:rsidR="002B6B1C" w:rsidRDefault="002B6B1C" w:rsidP="00847D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0985"/>
      <w:docPartObj>
        <w:docPartGallery w:val="Page Numbers (Bottom of Page)"/>
        <w:docPartUnique/>
      </w:docPartObj>
    </w:sdtPr>
    <w:sdtContent>
      <w:sdt>
        <w:sdtPr>
          <w:id w:val="565050523"/>
          <w:docPartObj>
            <w:docPartGallery w:val="Page Numbers (Top of Page)"/>
            <w:docPartUnique/>
          </w:docPartObj>
        </w:sdtPr>
        <w:sdtContent>
          <w:p w:rsidR="001139D8" w:rsidRDefault="001139D8">
            <w:pPr>
              <w:pStyle w:val="Footer"/>
              <w:jc w:val="right"/>
            </w:pPr>
            <w:r>
              <w:t xml:space="preserve">Page </w:t>
            </w:r>
            <w:r w:rsidR="00FF7F81">
              <w:rPr>
                <w:b/>
                <w:sz w:val="24"/>
                <w:szCs w:val="24"/>
              </w:rPr>
              <w:fldChar w:fldCharType="begin"/>
            </w:r>
            <w:r>
              <w:rPr>
                <w:b/>
              </w:rPr>
              <w:instrText xml:space="preserve"> PAGE </w:instrText>
            </w:r>
            <w:r w:rsidR="00FF7F81">
              <w:rPr>
                <w:b/>
                <w:sz w:val="24"/>
                <w:szCs w:val="24"/>
              </w:rPr>
              <w:fldChar w:fldCharType="separate"/>
            </w:r>
            <w:r w:rsidR="00DC18F4">
              <w:rPr>
                <w:b/>
                <w:noProof/>
              </w:rPr>
              <w:t>1</w:t>
            </w:r>
            <w:r w:rsidR="00FF7F81">
              <w:rPr>
                <w:b/>
                <w:sz w:val="24"/>
                <w:szCs w:val="24"/>
              </w:rPr>
              <w:fldChar w:fldCharType="end"/>
            </w:r>
            <w:r>
              <w:t xml:space="preserve"> of </w:t>
            </w:r>
            <w:r w:rsidR="00FF7F81">
              <w:rPr>
                <w:b/>
                <w:sz w:val="24"/>
                <w:szCs w:val="24"/>
              </w:rPr>
              <w:fldChar w:fldCharType="begin"/>
            </w:r>
            <w:r>
              <w:rPr>
                <w:b/>
              </w:rPr>
              <w:instrText xml:space="preserve"> NUMPAGES  </w:instrText>
            </w:r>
            <w:r w:rsidR="00FF7F81">
              <w:rPr>
                <w:b/>
                <w:sz w:val="24"/>
                <w:szCs w:val="24"/>
              </w:rPr>
              <w:fldChar w:fldCharType="separate"/>
            </w:r>
            <w:r w:rsidR="00DC18F4">
              <w:rPr>
                <w:b/>
                <w:noProof/>
              </w:rPr>
              <w:t>28</w:t>
            </w:r>
            <w:r w:rsidR="00FF7F81">
              <w:rPr>
                <w:b/>
                <w:sz w:val="24"/>
                <w:szCs w:val="24"/>
              </w:rPr>
              <w:fldChar w:fldCharType="end"/>
            </w:r>
          </w:p>
        </w:sdtContent>
      </w:sdt>
    </w:sdtContent>
  </w:sdt>
  <w:p w:rsidR="001139D8" w:rsidRDefault="001139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6B1C" w:rsidRDefault="002B6B1C" w:rsidP="00847D26">
      <w:pPr>
        <w:spacing w:after="0" w:line="240" w:lineRule="auto"/>
      </w:pPr>
      <w:r>
        <w:separator/>
      </w:r>
    </w:p>
  </w:footnote>
  <w:footnote w:type="continuationSeparator" w:id="1">
    <w:p w:rsidR="002B6B1C" w:rsidRDefault="002B6B1C" w:rsidP="00847D26">
      <w:pPr>
        <w:spacing w:after="0" w:line="240" w:lineRule="auto"/>
      </w:pPr>
      <w:r>
        <w:continuationSeparator/>
      </w:r>
    </w:p>
  </w:footnote>
  <w:footnote w:id="2">
    <w:p w:rsidR="001139D8" w:rsidRPr="004C34FD" w:rsidRDefault="001139D8" w:rsidP="00847D26">
      <w:pPr>
        <w:pStyle w:val="FootnoteText"/>
        <w:tabs>
          <w:tab w:val="left" w:pos="189"/>
        </w:tabs>
        <w:spacing w:before="0" w:beforeAutospacing="0" w:after="0" w:afterAutospacing="0"/>
        <w:ind w:left="189" w:hanging="189"/>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sz w:val="20"/>
          <w:szCs w:val="20"/>
        </w:rPr>
        <w:tab/>
      </w:r>
      <w:r w:rsidRPr="004C34FD">
        <w:rPr>
          <w:rFonts w:ascii="Bookman Old Style" w:hAnsi="Bookman Old Style" w:cs="Bookman Old Style"/>
          <w:i/>
          <w:iCs/>
          <w:sz w:val="20"/>
          <w:szCs w:val="20"/>
        </w:rPr>
        <w:t>Percept D' Mark (India) Pvt. Ltd v Zaheer Khan [AIR 2006 SC 3426]</w:t>
      </w:r>
      <w:r w:rsidRPr="004C34FD">
        <w:rPr>
          <w:rFonts w:ascii="Bookman Old Style" w:hAnsi="Bookman Old Style" w:cs="Bookman Old Style"/>
          <w:sz w:val="20"/>
          <w:szCs w:val="20"/>
        </w:rPr>
        <w:t> </w:t>
      </w:r>
    </w:p>
  </w:footnote>
  <w:footnote w:id="3">
    <w:p w:rsidR="001139D8" w:rsidRPr="004C34FD" w:rsidRDefault="001139D8" w:rsidP="00847D26">
      <w:pPr>
        <w:pStyle w:val="FootnoteText"/>
        <w:tabs>
          <w:tab w:val="left" w:pos="189"/>
          <w:tab w:val="left" w:pos="270"/>
        </w:tabs>
        <w:spacing w:before="0" w:beforeAutospacing="0" w:after="0" w:afterAutospacing="0"/>
        <w:ind w:left="189" w:hanging="189"/>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sz w:val="20"/>
          <w:szCs w:val="20"/>
        </w:rPr>
        <w:tab/>
      </w:r>
      <w:r w:rsidRPr="004C34FD">
        <w:rPr>
          <w:rFonts w:ascii="Bookman Old Style" w:hAnsi="Bookman Old Style" w:cs="Bookman Old Style"/>
          <w:i/>
          <w:iCs/>
          <w:sz w:val="20"/>
          <w:szCs w:val="20"/>
        </w:rPr>
        <w:t>Desiccant Rotors International Pvt Ltd v Bappaditya Sarkar &amp; Anr [I.A. No.5455/2008, I.A. No.5454/2008 &amp; I.A. No.5453/2008 in CS(OS) No.337/2008</w:t>
      </w:r>
      <w:r w:rsidRPr="004C34FD">
        <w:rPr>
          <w:rFonts w:ascii="Bookman Old Style" w:hAnsi="Bookman Old Style" w:cs="Bookman Old Style"/>
          <w:sz w:val="20"/>
          <w:szCs w:val="20"/>
        </w:rPr>
        <w:t>]</w:t>
      </w:r>
    </w:p>
  </w:footnote>
  <w:footnote w:id="4">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 [1980 AIR 1717, 1980 SCR(3)1278</w:t>
      </w:r>
      <w:r w:rsidRPr="004C34FD">
        <w:rPr>
          <w:rFonts w:ascii="Bookman Old Style" w:hAnsi="Bookman Old Style" w:cs="Bookman Old Style"/>
          <w:sz w:val="20"/>
          <w:szCs w:val="20"/>
        </w:rPr>
        <w:t>]</w:t>
      </w:r>
    </w:p>
  </w:footnote>
  <w:footnote w:id="5">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 [2003(3) Bom CR 563, 2003(3)MhLj 726]</w:t>
      </w:r>
    </w:p>
  </w:footnote>
  <w:footnote w:id="6">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 [AIR 1997 Guj 177]</w:t>
      </w:r>
    </w:p>
  </w:footnote>
  <w:footnote w:id="7">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[AIR 1966 Guj 189, (1966) GLR 493]</w:t>
      </w:r>
    </w:p>
  </w:footnote>
  <w:footnote w:id="8">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[1995 AIR 2372, 1995 SCC (5) 545]</w:t>
      </w:r>
    </w:p>
  </w:footnote>
  <w:footnote w:id="9">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[1967 AIR 1098, 1967 SCR (2)378]</w:t>
      </w:r>
    </w:p>
  </w:footnote>
  <w:footnote w:id="10">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(2006)III LLJ 540(Del)</w:t>
      </w:r>
      <w:r w:rsidRPr="004C34FD">
        <w:rPr>
          <w:rFonts w:ascii="Bookman Old Style" w:hAnsi="Bookman Old Style"/>
          <w:i/>
          <w:iCs/>
          <w:sz w:val="20"/>
          <w:szCs w:val="20"/>
        </w:rPr>
        <w:t xml:space="preserve">, </w:t>
      </w:r>
      <w:r w:rsidRPr="004C34FD">
        <w:rPr>
          <w:rFonts w:ascii="Bookman Old Style" w:hAnsi="Bookman Old Style" w:cs="Bookman Old Style"/>
          <w:i/>
          <w:iCs/>
          <w:sz w:val="20"/>
          <w:szCs w:val="20"/>
        </w:rPr>
        <w:t>Delhi High Court</w:t>
      </w:r>
    </w:p>
  </w:footnote>
  <w:footnote w:id="11">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[60(1995) DLT]</w:t>
      </w:r>
    </w:p>
  </w:footnote>
  <w:footnote w:id="12">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[AIR 1987 Delhi]</w:t>
      </w:r>
    </w:p>
  </w:footnote>
  <w:footnote w:id="13">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[61(1995) DLT6]</w:t>
      </w:r>
    </w:p>
  </w:footnote>
  <w:footnote w:id="14">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[2006(32)PTC609]</w:t>
      </w:r>
    </w:p>
  </w:footnote>
  <w:footnote w:id="15">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[97 (2002) DLT 257]</w:t>
      </w:r>
    </w:p>
  </w:footnote>
  <w:footnote w:id="16">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Burlington Home case[61(1995) DLT 6]</w:t>
      </w:r>
    </w:p>
  </w:footnote>
  <w:footnote w:id="17">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American Express case[(2006)IIILLJ540Del]</w:t>
      </w:r>
    </w:p>
  </w:footnote>
  <w:footnote w:id="18">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[ 2006(32)PTC343(MAD)]</w:t>
      </w:r>
    </w:p>
  </w:footnote>
  <w:footnote w:id="19">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[1986 (3) Bom.CR411]</w:t>
      </w:r>
    </w:p>
  </w:footnote>
  <w:footnote w:id="20">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[(2006) 2CAL LT145(HC)]</w:t>
      </w:r>
    </w:p>
  </w:footnote>
  <w:footnote w:id="21">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[AIR1967SC1098]</w:t>
      </w:r>
    </w:p>
  </w:footnote>
  <w:footnote w:id="22">
    <w:p w:rsidR="001139D8" w:rsidRPr="004C34FD" w:rsidRDefault="001139D8" w:rsidP="00847D26">
      <w:pPr>
        <w:pStyle w:val="FootnoteText"/>
        <w:spacing w:before="0" w:beforeAutospacing="0" w:after="0" w:afterAutospacing="0"/>
        <w:jc w:val="both"/>
        <w:rPr>
          <w:rFonts w:ascii="Bookman Old Style" w:hAnsi="Bookman Old Style"/>
          <w:sz w:val="20"/>
          <w:szCs w:val="20"/>
          <w:lang w:val="en-US"/>
        </w:rPr>
      </w:pPr>
      <w:r w:rsidRPr="004C34FD">
        <w:rPr>
          <w:rStyle w:val="FootnoteReference"/>
          <w:rFonts w:ascii="Bookman Old Style" w:hAnsi="Bookman Old Style"/>
          <w:sz w:val="20"/>
          <w:szCs w:val="20"/>
        </w:rPr>
        <w:footnoteRef/>
      </w:r>
      <w:r w:rsidRPr="004C34FD">
        <w:rPr>
          <w:rFonts w:ascii="Bookman Old Style" w:hAnsi="Bookman Old Style"/>
          <w:sz w:val="20"/>
          <w:szCs w:val="20"/>
        </w:rPr>
        <w:t xml:space="preserve"> </w:t>
      </w:r>
      <w:r w:rsidRPr="004C34FD">
        <w:rPr>
          <w:rFonts w:ascii="Bookman Old Style" w:hAnsi="Bookman Old Style" w:cs="Bookman Old Style"/>
          <w:i/>
          <w:iCs/>
          <w:sz w:val="20"/>
          <w:szCs w:val="20"/>
        </w:rPr>
        <w:t>[AIR1962Cal61]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5529"/>
    <w:multiLevelType w:val="multilevel"/>
    <w:tmpl w:val="9ED02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CB6D6F"/>
    <w:multiLevelType w:val="hybridMultilevel"/>
    <w:tmpl w:val="F1224F74"/>
    <w:lvl w:ilvl="0" w:tplc="A06847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C124EE"/>
    <w:multiLevelType w:val="hybridMultilevel"/>
    <w:tmpl w:val="9230E87C"/>
    <w:lvl w:ilvl="0" w:tplc="3DC2B6C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4834342"/>
    <w:multiLevelType w:val="hybridMultilevel"/>
    <w:tmpl w:val="9E2C7A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0E72B7"/>
    <w:multiLevelType w:val="hybridMultilevel"/>
    <w:tmpl w:val="E878F750"/>
    <w:lvl w:ilvl="0" w:tplc="0526F3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A9530FA"/>
    <w:multiLevelType w:val="hybridMultilevel"/>
    <w:tmpl w:val="52141B02"/>
    <w:lvl w:ilvl="0" w:tplc="5652EDE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773B19"/>
    <w:multiLevelType w:val="hybridMultilevel"/>
    <w:tmpl w:val="FBB4B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5F191B"/>
    <w:multiLevelType w:val="hybridMultilevel"/>
    <w:tmpl w:val="0146361C"/>
    <w:lvl w:ilvl="0" w:tplc="CFF219F4">
      <w:start w:val="2"/>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DDC01CB"/>
    <w:multiLevelType w:val="hybridMultilevel"/>
    <w:tmpl w:val="008E8262"/>
    <w:lvl w:ilvl="0" w:tplc="FDDEE02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49047BF"/>
    <w:multiLevelType w:val="hybridMultilevel"/>
    <w:tmpl w:val="4628ED3C"/>
    <w:lvl w:ilvl="0" w:tplc="C0424472">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5180F7D"/>
    <w:multiLevelType w:val="hybridMultilevel"/>
    <w:tmpl w:val="4EE4FE7E"/>
    <w:lvl w:ilvl="0" w:tplc="A0A673F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BC47ECB"/>
    <w:multiLevelType w:val="hybridMultilevel"/>
    <w:tmpl w:val="9E885C42"/>
    <w:lvl w:ilvl="0" w:tplc="CE984EDA">
      <w:start w:val="1"/>
      <w:numFmt w:val="decimal"/>
      <w:lvlText w:val="%1."/>
      <w:lvlJc w:val="left"/>
      <w:pPr>
        <w:ind w:left="786" w:hanging="360"/>
      </w:pPr>
      <w:rPr>
        <w:b w:val="0"/>
        <w:bCs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2">
    <w:nsid w:val="3D4F2EBA"/>
    <w:multiLevelType w:val="hybridMultilevel"/>
    <w:tmpl w:val="EE920D74"/>
    <w:lvl w:ilvl="0" w:tplc="83E693F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F0E45AE"/>
    <w:multiLevelType w:val="hybridMultilevel"/>
    <w:tmpl w:val="30DCF652"/>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4">
    <w:nsid w:val="3F43279D"/>
    <w:multiLevelType w:val="multilevel"/>
    <w:tmpl w:val="E1922602"/>
    <w:lvl w:ilvl="0">
      <w:start w:val="1"/>
      <w:numFmt w:val="bullet"/>
      <w:lvlText w:val=""/>
      <w:lvlJc w:val="left"/>
      <w:pPr>
        <w:tabs>
          <w:tab w:val="num" w:pos="720"/>
        </w:tabs>
        <w:ind w:left="720" w:hanging="360"/>
      </w:pPr>
      <w:rPr>
        <w:rFonts w:ascii="Symbol" w:hAnsi="Symbol" w:cs="Symbol" w:hint="default"/>
        <w:sz w:val="20"/>
        <w:szCs w:val="20"/>
      </w:rPr>
    </w:lvl>
    <w:lvl w:ilvl="1">
      <w:start w:val="1"/>
      <w:numFmt w:val="lowerRoman"/>
      <w:lvlText w:val="%2."/>
      <w:lvlJc w:val="left"/>
      <w:pPr>
        <w:ind w:left="1800" w:hanging="720"/>
      </w:pPr>
      <w:rPr>
        <w:rFonts w:hint="default"/>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5">
    <w:nsid w:val="41D12F67"/>
    <w:multiLevelType w:val="hybridMultilevel"/>
    <w:tmpl w:val="143C8B66"/>
    <w:lvl w:ilvl="0" w:tplc="182A80B0">
      <w:start w:val="1"/>
      <w:numFmt w:val="decimal"/>
      <w:lvlText w:val="%1."/>
      <w:lvlJc w:val="left"/>
      <w:pPr>
        <w:tabs>
          <w:tab w:val="num" w:pos="0"/>
        </w:tabs>
        <w:ind w:left="0" w:firstLine="0"/>
      </w:pPr>
      <w:rPr>
        <w:rFonts w:ascii="Bookman Old Style" w:hAnsi="Bookman Old Style" w:cs="Tahoma" w:hint="default"/>
        <w:b w:val="0"/>
        <w:i w:val="0"/>
        <w:sz w:val="26"/>
        <w:szCs w:val="26"/>
      </w:rPr>
    </w:lvl>
    <w:lvl w:ilvl="1" w:tplc="FB9AD7C8">
      <w:start w:val="2"/>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EB422F2"/>
    <w:multiLevelType w:val="hybridMultilevel"/>
    <w:tmpl w:val="450C3040"/>
    <w:lvl w:ilvl="0" w:tplc="62DC180E">
      <w:start w:val="1"/>
      <w:numFmt w:val="lowerRoman"/>
      <w:lvlText w:val="%1."/>
      <w:lvlJc w:val="left"/>
      <w:pPr>
        <w:ind w:left="1080" w:hanging="72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7">
    <w:nsid w:val="55380DAE"/>
    <w:multiLevelType w:val="hybridMultilevel"/>
    <w:tmpl w:val="63A8C104"/>
    <w:lvl w:ilvl="0" w:tplc="9FE2184C">
      <w:start w:val="1"/>
      <w:numFmt w:val="decimal"/>
      <w:lvlText w:val="%1."/>
      <w:lvlJc w:val="left"/>
      <w:pPr>
        <w:ind w:left="720" w:hanging="360"/>
      </w:pPr>
      <w:rPr>
        <w:rFonts w:ascii="Bookman Old Style" w:hAnsi="Bookman Old Style" w:cs="Bookman Old Style" w:hint="default"/>
        <w:b/>
        <w:color w:val="auto"/>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DD72F5"/>
    <w:multiLevelType w:val="multilevel"/>
    <w:tmpl w:val="E922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7C4742"/>
    <w:multiLevelType w:val="multilevel"/>
    <w:tmpl w:val="F104B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D1368C1"/>
    <w:multiLevelType w:val="hybridMultilevel"/>
    <w:tmpl w:val="95C8A776"/>
    <w:lvl w:ilvl="0" w:tplc="A8CAEDA0">
      <w:start w:val="1"/>
      <w:numFmt w:val="lowerRoman"/>
      <w:lvlText w:val="%1."/>
      <w:lvlJc w:val="left"/>
      <w:pPr>
        <w:ind w:left="1080" w:hanging="720"/>
      </w:pPr>
      <w:rPr>
        <w:rFonts w:hint="default"/>
        <w:b/>
        <w:bCs/>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1">
    <w:nsid w:val="5F186406"/>
    <w:multiLevelType w:val="hybridMultilevel"/>
    <w:tmpl w:val="AFA4AA16"/>
    <w:lvl w:ilvl="0" w:tplc="F8EC1206">
      <w:start w:val="1"/>
      <w:numFmt w:val="lowerRoman"/>
      <w:lvlText w:val="%1."/>
      <w:lvlJc w:val="left"/>
      <w:pPr>
        <w:ind w:left="1800" w:hanging="720"/>
      </w:pPr>
      <w:rPr>
        <w:rFonts w:hint="default"/>
      </w:rPr>
    </w:lvl>
    <w:lvl w:ilvl="1" w:tplc="40090019">
      <w:start w:val="1"/>
      <w:numFmt w:val="lowerLetter"/>
      <w:lvlText w:val="%2."/>
      <w:lvlJc w:val="left"/>
      <w:pPr>
        <w:ind w:left="2160" w:hanging="360"/>
      </w:pPr>
    </w:lvl>
    <w:lvl w:ilvl="2" w:tplc="4009001B">
      <w:start w:val="1"/>
      <w:numFmt w:val="lowerRoman"/>
      <w:lvlText w:val="%3."/>
      <w:lvlJc w:val="right"/>
      <w:pPr>
        <w:ind w:left="2880" w:hanging="180"/>
      </w:pPr>
    </w:lvl>
    <w:lvl w:ilvl="3" w:tplc="4009000F">
      <w:start w:val="1"/>
      <w:numFmt w:val="decimal"/>
      <w:lvlText w:val="%4."/>
      <w:lvlJc w:val="left"/>
      <w:pPr>
        <w:ind w:left="3600" w:hanging="360"/>
      </w:pPr>
    </w:lvl>
    <w:lvl w:ilvl="4" w:tplc="40090019">
      <w:start w:val="1"/>
      <w:numFmt w:val="lowerLetter"/>
      <w:lvlText w:val="%5."/>
      <w:lvlJc w:val="left"/>
      <w:pPr>
        <w:ind w:left="4320" w:hanging="360"/>
      </w:pPr>
    </w:lvl>
    <w:lvl w:ilvl="5" w:tplc="4009001B">
      <w:start w:val="1"/>
      <w:numFmt w:val="lowerRoman"/>
      <w:lvlText w:val="%6."/>
      <w:lvlJc w:val="right"/>
      <w:pPr>
        <w:ind w:left="5040" w:hanging="180"/>
      </w:pPr>
    </w:lvl>
    <w:lvl w:ilvl="6" w:tplc="4009000F">
      <w:start w:val="1"/>
      <w:numFmt w:val="decimal"/>
      <w:lvlText w:val="%7."/>
      <w:lvlJc w:val="left"/>
      <w:pPr>
        <w:ind w:left="5760" w:hanging="360"/>
      </w:pPr>
    </w:lvl>
    <w:lvl w:ilvl="7" w:tplc="40090019">
      <w:start w:val="1"/>
      <w:numFmt w:val="lowerLetter"/>
      <w:lvlText w:val="%8."/>
      <w:lvlJc w:val="left"/>
      <w:pPr>
        <w:ind w:left="6480" w:hanging="360"/>
      </w:pPr>
    </w:lvl>
    <w:lvl w:ilvl="8" w:tplc="4009001B">
      <w:start w:val="1"/>
      <w:numFmt w:val="lowerRoman"/>
      <w:lvlText w:val="%9."/>
      <w:lvlJc w:val="right"/>
      <w:pPr>
        <w:ind w:left="7200" w:hanging="180"/>
      </w:pPr>
    </w:lvl>
  </w:abstractNum>
  <w:abstractNum w:abstractNumId="22">
    <w:nsid w:val="65326C06"/>
    <w:multiLevelType w:val="hybridMultilevel"/>
    <w:tmpl w:val="D46A6B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A053DC"/>
    <w:multiLevelType w:val="hybridMultilevel"/>
    <w:tmpl w:val="DE0E3EF2"/>
    <w:lvl w:ilvl="0" w:tplc="E282190A">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3DE6FB02">
      <w:start w:val="6"/>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2E87BBA"/>
    <w:multiLevelType w:val="hybridMultilevel"/>
    <w:tmpl w:val="084A5356"/>
    <w:lvl w:ilvl="0" w:tplc="94D66D9A">
      <w:start w:val="1"/>
      <w:numFmt w:val="lowerRoman"/>
      <w:lvlText w:val="%1."/>
      <w:lvlJc w:val="left"/>
      <w:pPr>
        <w:ind w:left="1080" w:hanging="72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5">
    <w:nsid w:val="78507750"/>
    <w:multiLevelType w:val="multilevel"/>
    <w:tmpl w:val="3D66EA92"/>
    <w:lvl w:ilvl="0">
      <w:start w:val="1"/>
      <w:numFmt w:val="bullet"/>
      <w:lvlText w:val=""/>
      <w:lvlJc w:val="left"/>
      <w:pPr>
        <w:tabs>
          <w:tab w:val="num" w:pos="720"/>
        </w:tabs>
        <w:ind w:left="720" w:hanging="360"/>
      </w:pPr>
      <w:rPr>
        <w:rFonts w:ascii="Symbol" w:hAnsi="Symbol" w:hint="default"/>
        <w:sz w:val="20"/>
      </w:rPr>
    </w:lvl>
    <w:lvl w:ilvl="1">
      <w:start w:val="3"/>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E3A5C35"/>
    <w:multiLevelType w:val="hybridMultilevel"/>
    <w:tmpl w:val="24D69304"/>
    <w:lvl w:ilvl="0" w:tplc="ADB440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0"/>
  </w:num>
  <w:num w:numId="3">
    <w:abstractNumId w:val="12"/>
  </w:num>
  <w:num w:numId="4">
    <w:abstractNumId w:val="18"/>
  </w:num>
  <w:num w:numId="5">
    <w:abstractNumId w:val="19"/>
  </w:num>
  <w:num w:numId="6">
    <w:abstractNumId w:val="0"/>
  </w:num>
  <w:num w:numId="7">
    <w:abstractNumId w:val="25"/>
  </w:num>
  <w:num w:numId="8">
    <w:abstractNumId w:val="16"/>
  </w:num>
  <w:num w:numId="9">
    <w:abstractNumId w:val="24"/>
  </w:num>
  <w:num w:numId="10">
    <w:abstractNumId w:val="14"/>
  </w:num>
  <w:num w:numId="11">
    <w:abstractNumId w:val="21"/>
  </w:num>
  <w:num w:numId="12">
    <w:abstractNumId w:val="20"/>
  </w:num>
  <w:num w:numId="13">
    <w:abstractNumId w:val="17"/>
  </w:num>
  <w:num w:numId="14">
    <w:abstractNumId w:val="6"/>
  </w:num>
  <w:num w:numId="15">
    <w:abstractNumId w:val="22"/>
  </w:num>
  <w:num w:numId="16">
    <w:abstractNumId w:val="3"/>
  </w:num>
  <w:num w:numId="17">
    <w:abstractNumId w:val="26"/>
  </w:num>
  <w:num w:numId="18">
    <w:abstractNumId w:val="4"/>
  </w:num>
  <w:num w:numId="19">
    <w:abstractNumId w:val="7"/>
  </w:num>
  <w:num w:numId="20">
    <w:abstractNumId w:val="2"/>
  </w:num>
  <w:num w:numId="21">
    <w:abstractNumId w:val="5"/>
  </w:num>
  <w:num w:numId="22">
    <w:abstractNumId w:val="8"/>
  </w:num>
  <w:num w:numId="23">
    <w:abstractNumId w:val="23"/>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5"/>
  </w:num>
  <w:num w:numId="2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847D26"/>
    <w:rsid w:val="0005704C"/>
    <w:rsid w:val="00062938"/>
    <w:rsid w:val="00062E35"/>
    <w:rsid w:val="00064F9F"/>
    <w:rsid w:val="00076B61"/>
    <w:rsid w:val="000868B2"/>
    <w:rsid w:val="000E384B"/>
    <w:rsid w:val="000F1014"/>
    <w:rsid w:val="00104B7C"/>
    <w:rsid w:val="001139D8"/>
    <w:rsid w:val="00127CCE"/>
    <w:rsid w:val="00174A23"/>
    <w:rsid w:val="001B5769"/>
    <w:rsid w:val="001F33AF"/>
    <w:rsid w:val="00210E36"/>
    <w:rsid w:val="002218FD"/>
    <w:rsid w:val="00237544"/>
    <w:rsid w:val="002B6B1C"/>
    <w:rsid w:val="002B7F18"/>
    <w:rsid w:val="002E56D5"/>
    <w:rsid w:val="002F30AC"/>
    <w:rsid w:val="00331697"/>
    <w:rsid w:val="003437B8"/>
    <w:rsid w:val="003760E0"/>
    <w:rsid w:val="00385975"/>
    <w:rsid w:val="00396E46"/>
    <w:rsid w:val="003B1F9F"/>
    <w:rsid w:val="003C50E6"/>
    <w:rsid w:val="0042518E"/>
    <w:rsid w:val="0044748D"/>
    <w:rsid w:val="004630F5"/>
    <w:rsid w:val="004706BE"/>
    <w:rsid w:val="00484759"/>
    <w:rsid w:val="00521F75"/>
    <w:rsid w:val="00531ED9"/>
    <w:rsid w:val="00533A28"/>
    <w:rsid w:val="00544C3C"/>
    <w:rsid w:val="00573A29"/>
    <w:rsid w:val="005A1245"/>
    <w:rsid w:val="005E4C60"/>
    <w:rsid w:val="0062368F"/>
    <w:rsid w:val="00635213"/>
    <w:rsid w:val="006526DD"/>
    <w:rsid w:val="006577F6"/>
    <w:rsid w:val="00692C89"/>
    <w:rsid w:val="006C4A20"/>
    <w:rsid w:val="006E49B3"/>
    <w:rsid w:val="007019E3"/>
    <w:rsid w:val="007038F5"/>
    <w:rsid w:val="00706ACA"/>
    <w:rsid w:val="00710EB9"/>
    <w:rsid w:val="007134CA"/>
    <w:rsid w:val="00713B31"/>
    <w:rsid w:val="00715260"/>
    <w:rsid w:val="0071651E"/>
    <w:rsid w:val="00740EBF"/>
    <w:rsid w:val="00742B2D"/>
    <w:rsid w:val="00766B31"/>
    <w:rsid w:val="007869BE"/>
    <w:rsid w:val="007B4FA9"/>
    <w:rsid w:val="007D0CFD"/>
    <w:rsid w:val="007D1ED9"/>
    <w:rsid w:val="007D661E"/>
    <w:rsid w:val="00803159"/>
    <w:rsid w:val="00806D62"/>
    <w:rsid w:val="0083305C"/>
    <w:rsid w:val="00847D26"/>
    <w:rsid w:val="0085239F"/>
    <w:rsid w:val="0085279E"/>
    <w:rsid w:val="008641CE"/>
    <w:rsid w:val="00882369"/>
    <w:rsid w:val="009055F1"/>
    <w:rsid w:val="009225B9"/>
    <w:rsid w:val="00931355"/>
    <w:rsid w:val="009679F8"/>
    <w:rsid w:val="0099423F"/>
    <w:rsid w:val="009B00E7"/>
    <w:rsid w:val="009C7E9B"/>
    <w:rsid w:val="009D3581"/>
    <w:rsid w:val="009D571C"/>
    <w:rsid w:val="009F3C0E"/>
    <w:rsid w:val="00A65B32"/>
    <w:rsid w:val="00AD12DC"/>
    <w:rsid w:val="00AE03A0"/>
    <w:rsid w:val="00B1106C"/>
    <w:rsid w:val="00B3297A"/>
    <w:rsid w:val="00B35D00"/>
    <w:rsid w:val="00B426E8"/>
    <w:rsid w:val="00BA7333"/>
    <w:rsid w:val="00BB0C00"/>
    <w:rsid w:val="00C4403F"/>
    <w:rsid w:val="00C855EC"/>
    <w:rsid w:val="00CA2B61"/>
    <w:rsid w:val="00CC3E23"/>
    <w:rsid w:val="00CE2055"/>
    <w:rsid w:val="00CF7326"/>
    <w:rsid w:val="00D420A3"/>
    <w:rsid w:val="00D55315"/>
    <w:rsid w:val="00D63A2F"/>
    <w:rsid w:val="00D91231"/>
    <w:rsid w:val="00D922AC"/>
    <w:rsid w:val="00DC18F4"/>
    <w:rsid w:val="00DD1F93"/>
    <w:rsid w:val="00E6641F"/>
    <w:rsid w:val="00E70CE7"/>
    <w:rsid w:val="00EA3779"/>
    <w:rsid w:val="00EC75B6"/>
    <w:rsid w:val="00F032F2"/>
    <w:rsid w:val="00F348BB"/>
    <w:rsid w:val="00F468C4"/>
    <w:rsid w:val="00F65C7D"/>
    <w:rsid w:val="00F65FF5"/>
    <w:rsid w:val="00FB0B1F"/>
    <w:rsid w:val="00FF7F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938"/>
  </w:style>
  <w:style w:type="paragraph" w:styleId="Heading2">
    <w:name w:val="heading 2"/>
    <w:basedOn w:val="Normal"/>
    <w:next w:val="Normal"/>
    <w:link w:val="Heading2Char"/>
    <w:uiPriority w:val="9"/>
    <w:unhideWhenUsed/>
    <w:qFormat/>
    <w:rsid w:val="00847D2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7D26"/>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99"/>
    <w:qFormat/>
    <w:rsid w:val="00847D26"/>
    <w:pPr>
      <w:ind w:left="720"/>
      <w:contextualSpacing/>
    </w:pPr>
  </w:style>
  <w:style w:type="paragraph" w:styleId="Footer">
    <w:name w:val="footer"/>
    <w:basedOn w:val="Normal"/>
    <w:link w:val="FooterChar"/>
    <w:uiPriority w:val="99"/>
    <w:unhideWhenUsed/>
    <w:rsid w:val="00847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D26"/>
  </w:style>
  <w:style w:type="character" w:customStyle="1" w:styleId="apple-converted-space">
    <w:name w:val="apple-converted-space"/>
    <w:basedOn w:val="DefaultParagraphFont"/>
    <w:uiPriority w:val="99"/>
    <w:rsid w:val="00847D26"/>
  </w:style>
  <w:style w:type="character" w:styleId="Emphasis">
    <w:name w:val="Emphasis"/>
    <w:basedOn w:val="DefaultParagraphFont"/>
    <w:uiPriority w:val="20"/>
    <w:qFormat/>
    <w:rsid w:val="00847D26"/>
    <w:rPr>
      <w:i/>
      <w:iCs/>
    </w:rPr>
  </w:style>
  <w:style w:type="paragraph" w:customStyle="1" w:styleId="a">
    <w:name w:val="a"/>
    <w:basedOn w:val="Normal"/>
    <w:rsid w:val="00847D2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47D26"/>
    <w:pPr>
      <w:spacing w:after="0" w:line="240" w:lineRule="auto"/>
    </w:pPr>
    <w:rPr>
      <w:rFonts w:eastAsiaTheme="minorHAnsi"/>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47D26"/>
    <w:rPr>
      <w:color w:val="0000FF"/>
      <w:u w:val="single"/>
    </w:rPr>
  </w:style>
  <w:style w:type="paragraph" w:styleId="FootnoteText">
    <w:name w:val="footnote text"/>
    <w:basedOn w:val="Normal"/>
    <w:link w:val="FootnoteTextChar"/>
    <w:uiPriority w:val="99"/>
    <w:semiHidden/>
    <w:rsid w:val="00847D26"/>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FootnoteTextChar">
    <w:name w:val="Footnote Text Char"/>
    <w:basedOn w:val="DefaultParagraphFont"/>
    <w:link w:val="FootnoteText"/>
    <w:uiPriority w:val="99"/>
    <w:semiHidden/>
    <w:rsid w:val="00847D26"/>
    <w:rPr>
      <w:rFonts w:ascii="Times New Roman" w:eastAsia="Times New Roman" w:hAnsi="Times New Roman" w:cs="Times New Roman"/>
      <w:sz w:val="24"/>
      <w:szCs w:val="24"/>
      <w:lang w:val="en-IN" w:eastAsia="en-IN"/>
    </w:rPr>
  </w:style>
  <w:style w:type="character" w:styleId="FootnoteReference">
    <w:name w:val="footnote reference"/>
    <w:semiHidden/>
    <w:rsid w:val="00847D26"/>
    <w:rPr>
      <w:vertAlign w:val="superscript"/>
    </w:rPr>
  </w:style>
  <w:style w:type="paragraph" w:styleId="HTMLPreformatted">
    <w:name w:val="HTML Preformatted"/>
    <w:basedOn w:val="Normal"/>
    <w:link w:val="HTMLPreformattedChar"/>
    <w:uiPriority w:val="99"/>
    <w:rsid w:val="00062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en-IN"/>
    </w:rPr>
  </w:style>
  <w:style w:type="character" w:customStyle="1" w:styleId="HTMLPreformattedChar">
    <w:name w:val="HTML Preformatted Char"/>
    <w:basedOn w:val="DefaultParagraphFont"/>
    <w:link w:val="HTMLPreformatted"/>
    <w:uiPriority w:val="99"/>
    <w:rsid w:val="00062E35"/>
    <w:rPr>
      <w:rFonts w:ascii="Courier New" w:eastAsia="Calibri" w:hAnsi="Courier New" w:cs="Times New Roman"/>
      <w:sz w:val="20"/>
      <w:szCs w:val="20"/>
      <w:lang w:eastAsia="en-IN"/>
    </w:rPr>
  </w:style>
  <w:style w:type="paragraph" w:styleId="Header">
    <w:name w:val="header"/>
    <w:basedOn w:val="Normal"/>
    <w:link w:val="HeaderChar"/>
    <w:uiPriority w:val="99"/>
    <w:semiHidden/>
    <w:unhideWhenUsed/>
    <w:rsid w:val="00F468C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68C4"/>
  </w:style>
  <w:style w:type="paragraph" w:styleId="BalloonText">
    <w:name w:val="Balloon Text"/>
    <w:basedOn w:val="Normal"/>
    <w:link w:val="BalloonTextChar"/>
    <w:uiPriority w:val="99"/>
    <w:semiHidden/>
    <w:unhideWhenUsed/>
    <w:rsid w:val="00F468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8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ankanoon.org/doc/4234/" TargetMode="External"/><Relationship Id="rId13" Type="http://schemas.openxmlformats.org/officeDocument/2006/relationships/hyperlink" Target="http://jainbookagency.com/newdetails.aspx?id=33653" TargetMode="External"/><Relationship Id="rId18" Type="http://schemas.openxmlformats.org/officeDocument/2006/relationships/hyperlink" Target="http://jainbookagency.com/newdetails.aspx?id=76229"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jainbookagency.com/booksearch.aspx?aname=Sanjiva%20Row" TargetMode="External"/><Relationship Id="rId7" Type="http://schemas.openxmlformats.org/officeDocument/2006/relationships/hyperlink" Target="https://indiankanoon.org/doc/148942/" TargetMode="External"/><Relationship Id="rId12" Type="http://schemas.openxmlformats.org/officeDocument/2006/relationships/hyperlink" Target="http://jainbookagency.com/booksearch.aspx?aname=Pollock%20&amp;amp;%20Mulla,%20revised%20&amp;amp;%20edited%20by%20Nilima%20Bhadbhade" TargetMode="External"/><Relationship Id="rId17" Type="http://schemas.openxmlformats.org/officeDocument/2006/relationships/hyperlink" Target="http://jainbookagency.com/booksearch.aspx?aname=M.L.Bhargava%20(Advocat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jainbookagency.com/newdetails.aspx?id=46183" TargetMode="External"/><Relationship Id="rId20" Type="http://schemas.openxmlformats.org/officeDocument/2006/relationships/hyperlink" Target="http://jainbookagency.com/newdetails.aspx?id=2020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ainbookagency.com/newdetails.aspx?id=132003"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jainbookagency.com/booksearch.aspx?aname=Dr.%20B.L.Babel" TargetMode="External"/><Relationship Id="rId23" Type="http://schemas.openxmlformats.org/officeDocument/2006/relationships/hyperlink" Target="http://jainbookagency.com/booksearch.aspx?aname=B.V.R.Sarma%20(Advocate)" TargetMode="External"/><Relationship Id="rId10" Type="http://schemas.openxmlformats.org/officeDocument/2006/relationships/hyperlink" Target="http://jainbookagency.com/newdetails.aspx?id=4218" TargetMode="External"/><Relationship Id="rId19" Type="http://schemas.openxmlformats.org/officeDocument/2006/relationships/hyperlink" Target="http://jainbookagency.com/booksearch.aspx?aname=Sandeep%20Bhalla%20(Advocate)" TargetMode="External"/><Relationship Id="rId4" Type="http://schemas.openxmlformats.org/officeDocument/2006/relationships/webSettings" Target="webSettings.xml"/><Relationship Id="rId9" Type="http://schemas.openxmlformats.org/officeDocument/2006/relationships/hyperlink" Target="https://indiankanoon.org/doc/1406604/" TargetMode="External"/><Relationship Id="rId14" Type="http://schemas.openxmlformats.org/officeDocument/2006/relationships/hyperlink" Target="http://jainbookagency.com/booksearch.aspx?aname=Private%20Publication" TargetMode="External"/><Relationship Id="rId22" Type="http://schemas.openxmlformats.org/officeDocument/2006/relationships/hyperlink" Target="http://jainbookagency.com/newdetails.aspx?id=819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558</TotalTime>
  <Pages>28</Pages>
  <Words>7370</Words>
  <Characters>42015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67</cp:revision>
  <cp:lastPrinted>2017-03-23T04:18:00Z</cp:lastPrinted>
  <dcterms:created xsi:type="dcterms:W3CDTF">2017-03-07T02:17:00Z</dcterms:created>
  <dcterms:modified xsi:type="dcterms:W3CDTF">2017-10-13T02:04:00Z</dcterms:modified>
</cp:coreProperties>
</file>