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F8C" w:rsidRPr="00242746" w:rsidRDefault="00EF0F8C" w:rsidP="00EF0F8C">
      <w:pPr>
        <w:jc w:val="center"/>
        <w:rPr>
          <w:rFonts w:ascii="Times New Roman" w:hAnsi="Times New Roman" w:cs="Times New Roman"/>
          <w:b/>
          <w:sz w:val="40"/>
          <w:szCs w:val="40"/>
        </w:rPr>
      </w:pPr>
      <w:r>
        <w:rPr>
          <w:rFonts w:ascii="Times New Roman" w:hAnsi="Times New Roman" w:cs="Times New Roman"/>
          <w:b/>
          <w:sz w:val="40"/>
          <w:szCs w:val="40"/>
        </w:rPr>
        <w:t>“Trial of warrant cases</w:t>
      </w:r>
      <w:r w:rsidRPr="00242746">
        <w:rPr>
          <w:rFonts w:ascii="Times New Roman" w:hAnsi="Times New Roman" w:cs="Times New Roman"/>
          <w:b/>
          <w:sz w:val="40"/>
          <w:szCs w:val="40"/>
        </w:rPr>
        <w:t>”</w:t>
      </w:r>
    </w:p>
    <w:p w:rsidR="00446335" w:rsidRDefault="00446335" w:rsidP="00EF0F8C">
      <w:pPr>
        <w:jc w:val="center"/>
        <w:rPr>
          <w:rFonts w:ascii="Times New Roman" w:hAnsi="Times New Roman" w:cs="Times New Roman"/>
          <w:sz w:val="32"/>
          <w:szCs w:val="32"/>
        </w:rPr>
      </w:pPr>
    </w:p>
    <w:p w:rsidR="00446335" w:rsidRDefault="00446335" w:rsidP="00EF0F8C">
      <w:pPr>
        <w:jc w:val="center"/>
        <w:rPr>
          <w:rFonts w:ascii="Times New Roman" w:hAnsi="Times New Roman" w:cs="Times New Roman"/>
          <w:sz w:val="32"/>
          <w:szCs w:val="32"/>
        </w:rPr>
      </w:pPr>
    </w:p>
    <w:p w:rsidR="00EF0F8C" w:rsidRPr="00242746" w:rsidRDefault="00E31566" w:rsidP="00EF0F8C">
      <w:pPr>
        <w:jc w:val="center"/>
        <w:rPr>
          <w:rFonts w:ascii="Times New Roman" w:hAnsi="Times New Roman" w:cs="Times New Roman"/>
          <w:sz w:val="32"/>
          <w:szCs w:val="32"/>
        </w:rPr>
      </w:pPr>
      <w:r>
        <w:rPr>
          <w:rFonts w:ascii="Times New Roman" w:hAnsi="Times New Roman" w:cs="Times New Roman"/>
          <w:sz w:val="32"/>
          <w:szCs w:val="32"/>
        </w:rPr>
        <w:t>Article</w:t>
      </w:r>
    </w:p>
    <w:p w:rsidR="00EF0F8C" w:rsidRDefault="00E31566" w:rsidP="00EF0F8C">
      <w:pPr>
        <w:jc w:val="center"/>
        <w:rPr>
          <w:rFonts w:ascii="Times New Roman" w:hAnsi="Times New Roman" w:cs="Times New Roman"/>
          <w:sz w:val="32"/>
          <w:szCs w:val="32"/>
        </w:rPr>
      </w:pPr>
      <w:r>
        <w:rPr>
          <w:rFonts w:ascii="Times New Roman" w:hAnsi="Times New Roman" w:cs="Times New Roman"/>
          <w:sz w:val="32"/>
          <w:szCs w:val="32"/>
        </w:rPr>
        <w:t>Submittted by</w:t>
      </w:r>
    </w:p>
    <w:p w:rsidR="00E31566" w:rsidRDefault="00E31566" w:rsidP="00EF0F8C">
      <w:pPr>
        <w:jc w:val="center"/>
        <w:rPr>
          <w:rFonts w:ascii="Times New Roman" w:hAnsi="Times New Roman" w:cs="Times New Roman"/>
          <w:sz w:val="32"/>
          <w:szCs w:val="32"/>
        </w:rPr>
      </w:pPr>
      <w:r>
        <w:rPr>
          <w:rFonts w:ascii="Times New Roman" w:hAnsi="Times New Roman" w:cs="Times New Roman"/>
          <w:sz w:val="32"/>
          <w:szCs w:val="32"/>
        </w:rPr>
        <w:t xml:space="preserve">A.R.POORVAJA </w:t>
      </w:r>
    </w:p>
    <w:p w:rsidR="00446335" w:rsidRPr="00242746" w:rsidRDefault="00446335" w:rsidP="00EF0F8C">
      <w:pPr>
        <w:jc w:val="center"/>
        <w:rPr>
          <w:rFonts w:ascii="Times New Roman" w:hAnsi="Times New Roman" w:cs="Times New Roman"/>
          <w:sz w:val="32"/>
          <w:szCs w:val="32"/>
        </w:rPr>
      </w:pPr>
      <w:r>
        <w:rPr>
          <w:rFonts w:ascii="Times New Roman" w:hAnsi="Times New Roman" w:cs="Times New Roman"/>
          <w:sz w:val="32"/>
          <w:szCs w:val="32"/>
        </w:rPr>
        <w:t>4</w:t>
      </w:r>
      <w:r w:rsidRPr="00446335">
        <w:rPr>
          <w:rFonts w:ascii="Times New Roman" w:hAnsi="Times New Roman" w:cs="Times New Roman"/>
          <w:sz w:val="32"/>
          <w:szCs w:val="32"/>
          <w:vertAlign w:val="superscript"/>
        </w:rPr>
        <w:t>th</w:t>
      </w:r>
      <w:r>
        <w:rPr>
          <w:rFonts w:ascii="Times New Roman" w:hAnsi="Times New Roman" w:cs="Times New Roman"/>
          <w:sz w:val="32"/>
          <w:szCs w:val="32"/>
        </w:rPr>
        <w:t xml:space="preserve"> yr BALLB  (hons)</w:t>
      </w:r>
    </w:p>
    <w:p w:rsidR="00EF0F8C" w:rsidRDefault="00EF0F8C" w:rsidP="00EF0F8C">
      <w:pPr>
        <w:jc w:val="center"/>
        <w:rPr>
          <w:rFonts w:ascii="Times New Roman" w:hAnsi="Times New Roman" w:cs="Times New Roman"/>
          <w:b/>
          <w:sz w:val="40"/>
          <w:szCs w:val="40"/>
        </w:rPr>
      </w:pPr>
      <w:r w:rsidRPr="00242746">
        <w:rPr>
          <w:rFonts w:ascii="Times New Roman" w:hAnsi="Times New Roman" w:cs="Times New Roman"/>
          <w:b/>
          <w:sz w:val="40"/>
          <w:szCs w:val="40"/>
        </w:rPr>
        <w:t>Tamil Nadu National Law School, Trichy</w:t>
      </w:r>
      <w:r w:rsidR="00446335">
        <w:rPr>
          <w:rFonts w:ascii="Times New Roman" w:hAnsi="Times New Roman" w:cs="Times New Roman"/>
          <w:b/>
          <w:sz w:val="40"/>
          <w:szCs w:val="40"/>
        </w:rPr>
        <w:t>.</w:t>
      </w:r>
    </w:p>
    <w:p w:rsidR="00446335" w:rsidRDefault="00446335" w:rsidP="00EF0F8C">
      <w:pPr>
        <w:jc w:val="center"/>
        <w:rPr>
          <w:rFonts w:ascii="Times New Roman" w:hAnsi="Times New Roman" w:cs="Times New Roman"/>
          <w:sz w:val="40"/>
          <w:szCs w:val="40"/>
        </w:rPr>
      </w:pPr>
      <w:r>
        <w:rPr>
          <w:rFonts w:ascii="Times New Roman" w:hAnsi="Times New Roman" w:cs="Times New Roman"/>
          <w:sz w:val="40"/>
          <w:szCs w:val="40"/>
        </w:rPr>
        <w:t xml:space="preserve">Contact: 08754670087 </w:t>
      </w:r>
    </w:p>
    <w:p w:rsidR="00446335" w:rsidRPr="00446335" w:rsidRDefault="00446335" w:rsidP="00EF0F8C">
      <w:pPr>
        <w:jc w:val="center"/>
        <w:rPr>
          <w:rFonts w:ascii="Times New Roman" w:hAnsi="Times New Roman" w:cs="Times New Roman"/>
          <w:sz w:val="40"/>
          <w:szCs w:val="40"/>
        </w:rPr>
      </w:pPr>
      <w:r>
        <w:rPr>
          <w:rFonts w:ascii="Times New Roman" w:hAnsi="Times New Roman" w:cs="Times New Roman"/>
          <w:sz w:val="40"/>
          <w:szCs w:val="40"/>
        </w:rPr>
        <w:t xml:space="preserve">Mail id: </w:t>
      </w:r>
      <w:hyperlink r:id="rId8" w:history="1">
        <w:r w:rsidR="00EF58C9" w:rsidRPr="00D20C5B">
          <w:rPr>
            <w:rStyle w:val="Hyperlink"/>
            <w:rFonts w:ascii="Times New Roman" w:hAnsi="Times New Roman" w:cs="Times New Roman"/>
            <w:sz w:val="40"/>
            <w:szCs w:val="40"/>
          </w:rPr>
          <w:t>poorvajaraghupathy@gmail.com</w:t>
        </w:r>
      </w:hyperlink>
      <w:r w:rsidR="00EF58C9">
        <w:rPr>
          <w:rFonts w:ascii="Times New Roman" w:hAnsi="Times New Roman" w:cs="Times New Roman"/>
          <w:sz w:val="40"/>
          <w:szCs w:val="40"/>
        </w:rPr>
        <w:t xml:space="preserve"> </w:t>
      </w:r>
    </w:p>
    <w:p w:rsidR="00A04AA6" w:rsidRPr="00E31566" w:rsidRDefault="00A04AA6" w:rsidP="00E31566">
      <w:pPr>
        <w:jc w:val="center"/>
        <w:rPr>
          <w:rFonts w:ascii="Times New Roman" w:hAnsi="Times New Roman" w:cs="Times New Roman"/>
          <w:sz w:val="32"/>
          <w:szCs w:val="32"/>
        </w:rPr>
      </w:pPr>
    </w:p>
    <w:p w:rsidR="00A04AA6" w:rsidRDefault="00A04AA6" w:rsidP="00137BDB">
      <w:pPr>
        <w:spacing w:line="360" w:lineRule="auto"/>
        <w:jc w:val="center"/>
        <w:rPr>
          <w:rFonts w:ascii="Times New Roman" w:hAnsi="Times New Roman" w:cs="Times New Roman"/>
          <w:b/>
          <w:sz w:val="28"/>
          <w:szCs w:val="24"/>
          <w:u w:val="single"/>
        </w:rPr>
      </w:pPr>
    </w:p>
    <w:p w:rsidR="00EF0F8C" w:rsidRDefault="00EF0F8C" w:rsidP="00137BDB">
      <w:pPr>
        <w:spacing w:line="360" w:lineRule="auto"/>
        <w:jc w:val="center"/>
        <w:rPr>
          <w:rFonts w:ascii="Times New Roman" w:hAnsi="Times New Roman" w:cs="Times New Roman"/>
          <w:b/>
          <w:sz w:val="28"/>
          <w:szCs w:val="24"/>
          <w:u w:val="single"/>
        </w:rPr>
      </w:pPr>
    </w:p>
    <w:p w:rsidR="00EF58C9" w:rsidRDefault="00EF58C9" w:rsidP="00137BDB">
      <w:pPr>
        <w:spacing w:line="360" w:lineRule="auto"/>
        <w:jc w:val="center"/>
        <w:rPr>
          <w:rFonts w:ascii="Times New Roman" w:hAnsi="Times New Roman" w:cs="Times New Roman"/>
          <w:b/>
          <w:sz w:val="28"/>
          <w:szCs w:val="24"/>
          <w:u w:val="single"/>
        </w:rPr>
      </w:pPr>
    </w:p>
    <w:p w:rsidR="00EF58C9" w:rsidRDefault="00EF58C9" w:rsidP="00137BDB">
      <w:pPr>
        <w:spacing w:line="360" w:lineRule="auto"/>
        <w:jc w:val="center"/>
        <w:rPr>
          <w:rFonts w:ascii="Times New Roman" w:hAnsi="Times New Roman" w:cs="Times New Roman"/>
          <w:b/>
          <w:sz w:val="28"/>
          <w:szCs w:val="24"/>
          <w:u w:val="single"/>
        </w:rPr>
      </w:pPr>
    </w:p>
    <w:p w:rsidR="00EF58C9" w:rsidRDefault="00EF58C9" w:rsidP="00137BDB">
      <w:pPr>
        <w:spacing w:line="360" w:lineRule="auto"/>
        <w:jc w:val="center"/>
        <w:rPr>
          <w:rFonts w:ascii="Times New Roman" w:hAnsi="Times New Roman" w:cs="Times New Roman"/>
          <w:b/>
          <w:sz w:val="28"/>
          <w:szCs w:val="24"/>
          <w:u w:val="single"/>
        </w:rPr>
      </w:pPr>
    </w:p>
    <w:p w:rsidR="00EF58C9" w:rsidRDefault="00EF58C9" w:rsidP="00137BDB">
      <w:pPr>
        <w:spacing w:line="360" w:lineRule="auto"/>
        <w:jc w:val="center"/>
        <w:rPr>
          <w:rFonts w:ascii="Times New Roman" w:hAnsi="Times New Roman" w:cs="Times New Roman"/>
          <w:b/>
          <w:sz w:val="28"/>
          <w:szCs w:val="24"/>
          <w:u w:val="single"/>
        </w:rPr>
      </w:pPr>
    </w:p>
    <w:p w:rsidR="00EF58C9" w:rsidRDefault="00EF58C9" w:rsidP="00137BDB">
      <w:pPr>
        <w:spacing w:line="360" w:lineRule="auto"/>
        <w:jc w:val="center"/>
        <w:rPr>
          <w:rFonts w:ascii="Times New Roman" w:hAnsi="Times New Roman" w:cs="Times New Roman"/>
          <w:b/>
          <w:sz w:val="28"/>
          <w:szCs w:val="24"/>
          <w:u w:val="single"/>
        </w:rPr>
      </w:pPr>
      <w:bookmarkStart w:id="0" w:name="_GoBack"/>
      <w:bookmarkEnd w:id="0"/>
    </w:p>
    <w:p w:rsidR="00EF0F8C" w:rsidRDefault="00EF0F8C" w:rsidP="00137BDB">
      <w:pPr>
        <w:spacing w:line="360" w:lineRule="auto"/>
        <w:jc w:val="center"/>
        <w:rPr>
          <w:rFonts w:ascii="Times New Roman" w:hAnsi="Times New Roman" w:cs="Times New Roman"/>
          <w:b/>
          <w:sz w:val="28"/>
          <w:szCs w:val="24"/>
          <w:u w:val="single"/>
        </w:rPr>
      </w:pPr>
    </w:p>
    <w:p w:rsidR="00EF0F8C" w:rsidRDefault="00EF0F8C" w:rsidP="00137BDB">
      <w:pPr>
        <w:spacing w:line="360" w:lineRule="auto"/>
        <w:jc w:val="center"/>
        <w:rPr>
          <w:rFonts w:ascii="Times New Roman" w:hAnsi="Times New Roman" w:cs="Times New Roman"/>
          <w:b/>
          <w:sz w:val="28"/>
          <w:szCs w:val="24"/>
          <w:u w:val="single"/>
        </w:rPr>
      </w:pPr>
      <w:r>
        <w:rPr>
          <w:rFonts w:ascii="Times New Roman" w:hAnsi="Times New Roman" w:cs="Times New Roman"/>
          <w:b/>
          <w:sz w:val="28"/>
          <w:szCs w:val="24"/>
          <w:u w:val="single"/>
        </w:rPr>
        <w:lastRenderedPageBreak/>
        <w:t>Index of authorities</w:t>
      </w:r>
    </w:p>
    <w:p w:rsidR="00EF0F8C" w:rsidRDefault="00BA4C67" w:rsidP="00BA4C67">
      <w:pPr>
        <w:spacing w:line="360" w:lineRule="auto"/>
        <w:rPr>
          <w:rFonts w:ascii="Times New Roman" w:hAnsi="Times New Roman" w:cs="Times New Roman"/>
          <w:b/>
          <w:sz w:val="28"/>
          <w:szCs w:val="24"/>
          <w:u w:val="single"/>
        </w:rPr>
      </w:pPr>
      <w:r>
        <w:rPr>
          <w:rFonts w:ascii="Times New Roman" w:hAnsi="Times New Roman" w:cs="Times New Roman"/>
          <w:b/>
          <w:sz w:val="28"/>
          <w:szCs w:val="24"/>
          <w:u w:val="single"/>
        </w:rPr>
        <w:t>List of statutes:</w:t>
      </w:r>
    </w:p>
    <w:p w:rsidR="00BA4C67" w:rsidRPr="00BA4C67" w:rsidRDefault="00BA4C67" w:rsidP="00BA4C67">
      <w:pPr>
        <w:pStyle w:val="ListParagraph"/>
        <w:numPr>
          <w:ilvl w:val="0"/>
          <w:numId w:val="22"/>
        </w:numPr>
        <w:spacing w:line="360" w:lineRule="auto"/>
        <w:jc w:val="both"/>
        <w:rPr>
          <w:rFonts w:ascii="Times New Roman" w:hAnsi="Times New Roman" w:cs="Times New Roman"/>
          <w:b/>
          <w:sz w:val="28"/>
          <w:szCs w:val="24"/>
          <w:u w:val="single"/>
        </w:rPr>
      </w:pPr>
      <w:r>
        <w:rPr>
          <w:rFonts w:ascii="Times New Roman" w:hAnsi="Times New Roman" w:cs="Times New Roman"/>
          <w:sz w:val="24"/>
          <w:szCs w:val="24"/>
        </w:rPr>
        <w:t>Constitution of India, 1950</w:t>
      </w:r>
    </w:p>
    <w:p w:rsidR="00BA4C67" w:rsidRPr="00BA4C67" w:rsidRDefault="00BA4C67" w:rsidP="00BA4C67">
      <w:pPr>
        <w:pStyle w:val="ListParagraph"/>
        <w:numPr>
          <w:ilvl w:val="0"/>
          <w:numId w:val="22"/>
        </w:numPr>
        <w:spacing w:line="360" w:lineRule="auto"/>
        <w:jc w:val="both"/>
        <w:rPr>
          <w:rFonts w:ascii="Times New Roman" w:hAnsi="Times New Roman" w:cs="Times New Roman"/>
          <w:b/>
          <w:sz w:val="28"/>
          <w:szCs w:val="24"/>
          <w:u w:val="single"/>
        </w:rPr>
      </w:pPr>
      <w:r>
        <w:rPr>
          <w:rFonts w:ascii="Times New Roman" w:hAnsi="Times New Roman" w:cs="Times New Roman"/>
          <w:sz w:val="24"/>
          <w:szCs w:val="24"/>
        </w:rPr>
        <w:t>Criminal Procedure Code, 1973</w:t>
      </w:r>
    </w:p>
    <w:p w:rsidR="00BA4C67" w:rsidRPr="00BA4C67" w:rsidRDefault="00BA4C67" w:rsidP="00BA4C67">
      <w:pPr>
        <w:pStyle w:val="ListParagraph"/>
        <w:numPr>
          <w:ilvl w:val="0"/>
          <w:numId w:val="22"/>
        </w:numPr>
        <w:spacing w:line="360" w:lineRule="auto"/>
        <w:jc w:val="both"/>
        <w:rPr>
          <w:rFonts w:ascii="Times New Roman" w:hAnsi="Times New Roman" w:cs="Times New Roman"/>
          <w:b/>
          <w:sz w:val="28"/>
          <w:szCs w:val="24"/>
          <w:u w:val="single"/>
        </w:rPr>
      </w:pPr>
      <w:r>
        <w:rPr>
          <w:rFonts w:ascii="Times New Roman" w:hAnsi="Times New Roman" w:cs="Times New Roman"/>
          <w:sz w:val="24"/>
          <w:szCs w:val="24"/>
        </w:rPr>
        <w:t>Indian Evidence Act,1872</w:t>
      </w:r>
    </w:p>
    <w:p w:rsidR="00BA4C67" w:rsidRPr="00BA4C67" w:rsidRDefault="00BA4C67" w:rsidP="00BA4C67">
      <w:pPr>
        <w:pStyle w:val="ListParagraph"/>
        <w:numPr>
          <w:ilvl w:val="0"/>
          <w:numId w:val="22"/>
        </w:numPr>
        <w:spacing w:line="360" w:lineRule="auto"/>
        <w:jc w:val="both"/>
        <w:rPr>
          <w:rFonts w:ascii="Times New Roman" w:hAnsi="Times New Roman" w:cs="Times New Roman"/>
          <w:b/>
          <w:sz w:val="28"/>
          <w:szCs w:val="24"/>
          <w:u w:val="single"/>
        </w:rPr>
      </w:pPr>
      <w:r>
        <w:rPr>
          <w:rFonts w:ascii="Times New Roman" w:hAnsi="Times New Roman" w:cs="Times New Roman"/>
          <w:sz w:val="24"/>
          <w:szCs w:val="24"/>
        </w:rPr>
        <w:t>Indian Penal Code,1860</w:t>
      </w:r>
    </w:p>
    <w:p w:rsidR="00BA4C67" w:rsidRDefault="00BA4C67" w:rsidP="00BA4C67">
      <w:pPr>
        <w:spacing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Table of cases:</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bCs/>
          <w:iCs/>
          <w:sz w:val="24"/>
          <w:szCs w:val="24"/>
        </w:rPr>
        <w:t xml:space="preserve">Adalat Prasad v. Rooplal Jindal, (2004)7 SCC 338. </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Aslam Ikbal Wali Mohammed v. State of Karnataka, 1976 Cri LJ 317,319 (Kant).</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iCs/>
          <w:sz w:val="24"/>
          <w:szCs w:val="24"/>
        </w:rPr>
        <w:t>Bhajja Vs. Emperor</w:t>
      </w:r>
      <w:r w:rsidRPr="002A6E29">
        <w:rPr>
          <w:rFonts w:ascii="Times New Roman" w:hAnsi="Times New Roman" w:cs="Times New Roman"/>
          <w:sz w:val="24"/>
          <w:szCs w:val="24"/>
        </w:rPr>
        <w:t xml:space="preserve">, (1939) 40 Cri LJ 549. </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Budhan Choudary v.State of Bihar, AIR 1955 SC 191.</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G.D.Chadha v. State of Rajasthan, 1972 Cri LJ 1585,1587 (Raj).</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 xml:space="preserve">Ghisia v. State, AIR 1959 Raj 266. </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Gopal Chauhan v. Satya, 1979 Cri LJ 446 (HP).</w:t>
      </w:r>
    </w:p>
    <w:p w:rsidR="002A6E29" w:rsidRPr="002A6E29" w:rsidRDefault="002A6E29" w:rsidP="00BA4C67">
      <w:pPr>
        <w:pStyle w:val="ListParagraph"/>
        <w:numPr>
          <w:ilvl w:val="0"/>
          <w:numId w:val="23"/>
        </w:numPr>
        <w:spacing w:line="360" w:lineRule="auto"/>
        <w:jc w:val="both"/>
        <w:rPr>
          <w:rFonts w:ascii="Times New Roman" w:hAnsi="Times New Roman" w:cs="Times New Roman"/>
          <w:sz w:val="24"/>
          <w:szCs w:val="24"/>
        </w:rPr>
      </w:pPr>
      <w:r w:rsidRPr="002A6E29">
        <w:rPr>
          <w:rFonts w:ascii="Times New Roman" w:hAnsi="Times New Roman" w:cs="Times New Roman"/>
          <w:sz w:val="24"/>
          <w:szCs w:val="24"/>
        </w:rPr>
        <w:t>Hiralal Gopilal Rathore v. State of M.P., 1988 Cr LJ 457 (M.P).</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In Re Appavu Padayachi, 16 Cr LJ 250.</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In re Gannon Dunkley &amp; Co , AIR 1950 Mad 837.</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Jodha Singh v. Emperor, AIR 1923 All 285,286.</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bCs/>
          <w:iCs/>
          <w:sz w:val="24"/>
          <w:szCs w:val="24"/>
        </w:rPr>
        <w:t>K.M. Mathew v. State of Kerala, (1992) I SCC 217.</w:t>
      </w:r>
      <w:r w:rsidRPr="002A6E29">
        <w:rPr>
          <w:rFonts w:ascii="Times New Roman" w:hAnsi="Times New Roman" w:cs="Times New Roman"/>
          <w:sz w:val="24"/>
          <w:szCs w:val="24"/>
        </w:rPr>
        <w:t xml:space="preserve"> </w:t>
      </w:r>
    </w:p>
    <w:p w:rsidR="002A6E29" w:rsidRPr="002A6E29" w:rsidRDefault="002A6E29" w:rsidP="002A6E29">
      <w:pPr>
        <w:pStyle w:val="ListParagraph"/>
        <w:numPr>
          <w:ilvl w:val="0"/>
          <w:numId w:val="23"/>
        </w:numPr>
        <w:spacing w:line="360" w:lineRule="auto"/>
        <w:jc w:val="both"/>
        <w:rPr>
          <w:rFonts w:ascii="Times New Roman" w:hAnsi="Times New Roman" w:cs="Times New Roman"/>
          <w:sz w:val="24"/>
          <w:szCs w:val="24"/>
        </w:rPr>
      </w:pPr>
      <w:r w:rsidRPr="002A6E29">
        <w:rPr>
          <w:rFonts w:ascii="Times New Roman" w:hAnsi="Times New Roman" w:cs="Times New Roman"/>
          <w:sz w:val="24"/>
          <w:szCs w:val="24"/>
        </w:rPr>
        <w:t>Kaju v. State, 1985 CrLJ 368  (Cal-DB).</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Mahabir Prasad v. State, AIR 1958 Orissa 11.</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Mahabir v. State, AIR 1958 Orissa 11.</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Mahant Abhey Dass v. S.Gurdial singh, 1971 Cri LJ 691.</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Nandkumar Krishnarao Navgire v. Jananath Laxman Kushalkar, 1998 SCC (Cri) 637.</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Parvin Chandra Mody v. State of Andra Pradesh, AIR 1965 SC 1185.</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Sayeeda Farhana Shamim v. State of Bihar, (2008) 8 SCC 218.</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Shyam Sunder Rout v. State of Orissa, 1991 Cri LJ 1595 (Ori).</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lastRenderedPageBreak/>
        <w:t>State of Karnataka v. Dhandapani Modaliar, 1992 Cri LJ  24 (Kant).</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State of Kerala v. Chippan Appu, 1959 Ker LJ 1379.</w:t>
      </w:r>
    </w:p>
    <w:p w:rsidR="002A6E29" w:rsidRPr="002A6E29" w:rsidRDefault="002A6E29" w:rsidP="002A6E29">
      <w:pPr>
        <w:pStyle w:val="ListParagraph"/>
        <w:numPr>
          <w:ilvl w:val="0"/>
          <w:numId w:val="23"/>
        </w:numPr>
        <w:spacing w:line="360" w:lineRule="auto"/>
        <w:jc w:val="both"/>
        <w:rPr>
          <w:rFonts w:ascii="Times New Roman" w:hAnsi="Times New Roman" w:cs="Times New Roman"/>
          <w:sz w:val="24"/>
          <w:szCs w:val="24"/>
        </w:rPr>
      </w:pPr>
      <w:r w:rsidRPr="002A6E29">
        <w:rPr>
          <w:rFonts w:ascii="Times New Roman" w:hAnsi="Times New Roman" w:cs="Times New Roman"/>
          <w:iCs/>
          <w:sz w:val="24"/>
          <w:szCs w:val="24"/>
        </w:rPr>
        <w:t xml:space="preserve">State of U.P Vs. Babu, </w:t>
      </w:r>
      <w:r w:rsidRPr="002A6E29">
        <w:rPr>
          <w:rFonts w:ascii="Times New Roman" w:hAnsi="Times New Roman" w:cs="Times New Roman"/>
          <w:sz w:val="24"/>
          <w:szCs w:val="24"/>
        </w:rPr>
        <w:t>1991 CrLJ 991.</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State v. Bhimcharan, (1962) 2 Cri LJ 83.</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State v. Thomba, 1971 Cr LJ 734.</w:t>
      </w:r>
    </w:p>
    <w:p w:rsidR="002A6E29" w:rsidRPr="002A6E29"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bCs/>
          <w:iCs/>
          <w:sz w:val="24"/>
          <w:szCs w:val="24"/>
        </w:rPr>
        <w:t>SubramaniumSethuraman v. State of Maharashtra</w:t>
      </w:r>
      <w:r w:rsidRPr="002A6E29">
        <w:rPr>
          <w:rFonts w:ascii="Times New Roman" w:hAnsi="Times New Roman" w:cs="Times New Roman"/>
          <w:sz w:val="24"/>
          <w:szCs w:val="24"/>
        </w:rPr>
        <w:t>, (2004) 13 SCC 324.</w:t>
      </w:r>
    </w:p>
    <w:p w:rsidR="002A6E29" w:rsidRPr="002A6E29" w:rsidRDefault="002A6E29" w:rsidP="002A6E29">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T.N.Janardhanan Pillai v. State, 1992 Cri LJ 436 (Ker).</w:t>
      </w:r>
    </w:p>
    <w:p w:rsidR="002A6E29" w:rsidRPr="0028211D" w:rsidRDefault="002A6E29" w:rsidP="00BA4C67">
      <w:pPr>
        <w:pStyle w:val="ListParagraph"/>
        <w:numPr>
          <w:ilvl w:val="0"/>
          <w:numId w:val="23"/>
        </w:numPr>
        <w:spacing w:line="360" w:lineRule="auto"/>
        <w:jc w:val="both"/>
        <w:rPr>
          <w:rFonts w:ascii="Times New Roman" w:hAnsi="Times New Roman" w:cs="Times New Roman"/>
          <w:b/>
          <w:sz w:val="24"/>
          <w:szCs w:val="24"/>
          <w:u w:val="single"/>
        </w:rPr>
      </w:pPr>
      <w:r w:rsidRPr="002A6E29">
        <w:rPr>
          <w:rFonts w:ascii="Times New Roman" w:hAnsi="Times New Roman" w:cs="Times New Roman"/>
          <w:sz w:val="24"/>
          <w:szCs w:val="24"/>
        </w:rPr>
        <w:t>Venkateswara Rao v. State A.C.B, 1979 Cri LJ 255,257 (AP).</w:t>
      </w:r>
    </w:p>
    <w:p w:rsidR="0028211D" w:rsidRPr="0028211D" w:rsidRDefault="0028211D" w:rsidP="0028211D">
      <w:pPr>
        <w:spacing w:line="360" w:lineRule="auto"/>
        <w:jc w:val="both"/>
        <w:rPr>
          <w:rFonts w:ascii="Times New Roman" w:hAnsi="Times New Roman" w:cs="Times New Roman"/>
          <w:b/>
          <w:sz w:val="28"/>
          <w:szCs w:val="24"/>
          <w:u w:val="single"/>
        </w:rPr>
      </w:pPr>
      <w:r w:rsidRPr="0028211D">
        <w:rPr>
          <w:rFonts w:ascii="Times New Roman" w:hAnsi="Times New Roman" w:cs="Times New Roman"/>
          <w:b/>
          <w:sz w:val="28"/>
          <w:szCs w:val="24"/>
          <w:u w:val="single"/>
        </w:rPr>
        <w:t>List of abbreviations:</w:t>
      </w:r>
    </w:p>
    <w:tbl>
      <w:tblPr>
        <w:tblStyle w:val="TableGrid"/>
        <w:tblW w:w="0" w:type="auto"/>
        <w:tblLook w:val="04A0" w:firstRow="1" w:lastRow="0" w:firstColumn="1" w:lastColumn="0" w:noHBand="0" w:noVBand="1"/>
      </w:tblPr>
      <w:tblGrid>
        <w:gridCol w:w="2808"/>
        <w:gridCol w:w="6434"/>
      </w:tblGrid>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AIR</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All India Reporter</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Anr</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Another</w:t>
            </w:r>
          </w:p>
        </w:tc>
      </w:tr>
      <w:tr w:rsidR="003842F4" w:rsidRPr="007F0228" w:rsidTr="00A373CE">
        <w:trPr>
          <w:trHeight w:val="319"/>
        </w:trPr>
        <w:tc>
          <w:tcPr>
            <w:tcW w:w="2808"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AP</w:t>
            </w:r>
          </w:p>
        </w:tc>
        <w:tc>
          <w:tcPr>
            <w:tcW w:w="6434"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Andhra Pradesh</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Art</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Article</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Cr.P.C.</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Criminal Procedure Code</w:t>
            </w:r>
          </w:p>
        </w:tc>
      </w:tr>
      <w:tr w:rsidR="003842F4" w:rsidRPr="007F0228" w:rsidTr="00A373CE">
        <w:trPr>
          <w:trHeight w:val="319"/>
        </w:trPr>
        <w:tc>
          <w:tcPr>
            <w:tcW w:w="2808"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Cri LJ</w:t>
            </w:r>
          </w:p>
        </w:tc>
        <w:tc>
          <w:tcPr>
            <w:tcW w:w="6434"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Criminal Law Journal</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HC</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High Court</w:t>
            </w:r>
          </w:p>
        </w:tc>
      </w:tr>
      <w:tr w:rsidR="003842F4" w:rsidRPr="007F0228" w:rsidTr="00A373CE">
        <w:trPr>
          <w:trHeight w:val="319"/>
        </w:trPr>
        <w:tc>
          <w:tcPr>
            <w:tcW w:w="2808"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HP</w:t>
            </w:r>
          </w:p>
        </w:tc>
        <w:tc>
          <w:tcPr>
            <w:tcW w:w="6434"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Himachal Pradesh</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IPC</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Indian Penal Code, 1860</w:t>
            </w:r>
          </w:p>
        </w:tc>
      </w:tr>
      <w:tr w:rsidR="003842F4" w:rsidRPr="007F0228" w:rsidTr="00A373CE">
        <w:trPr>
          <w:trHeight w:val="319"/>
        </w:trPr>
        <w:tc>
          <w:tcPr>
            <w:tcW w:w="2808"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 xml:space="preserve">Kant </w:t>
            </w:r>
          </w:p>
        </w:tc>
        <w:tc>
          <w:tcPr>
            <w:tcW w:w="6434"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Karnataka</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Ker</w:t>
            </w:r>
          </w:p>
        </w:tc>
        <w:tc>
          <w:tcPr>
            <w:tcW w:w="6434" w:type="dxa"/>
          </w:tcPr>
          <w:p w:rsidR="003842F4" w:rsidRPr="007F0228"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Kerala</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Ltd</w:t>
            </w:r>
          </w:p>
        </w:tc>
        <w:tc>
          <w:tcPr>
            <w:tcW w:w="6434" w:type="dxa"/>
          </w:tcPr>
          <w:p w:rsidR="003842F4" w:rsidRPr="007F0228" w:rsidRDefault="003842F4" w:rsidP="00A373CE">
            <w:pPr>
              <w:spacing w:line="360" w:lineRule="auto"/>
              <w:ind w:left="23760" w:hanging="23760"/>
              <w:rPr>
                <w:rFonts w:ascii="Times New Roman" w:hAnsi="Times New Roman" w:cs="Times New Roman"/>
                <w:sz w:val="24"/>
                <w:szCs w:val="24"/>
              </w:rPr>
            </w:pPr>
            <w:r w:rsidRPr="007F0228">
              <w:rPr>
                <w:rFonts w:ascii="Times New Roman" w:hAnsi="Times New Roman" w:cs="Times New Roman"/>
                <w:sz w:val="24"/>
                <w:szCs w:val="24"/>
              </w:rPr>
              <w:t>Limited</w:t>
            </w:r>
          </w:p>
        </w:tc>
      </w:tr>
      <w:tr w:rsidR="003842F4" w:rsidRPr="007F0228" w:rsidTr="00A373CE">
        <w:trPr>
          <w:trHeight w:val="113"/>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 xml:space="preserve">Ors. </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Others</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i/>
                <w:sz w:val="24"/>
                <w:szCs w:val="24"/>
              </w:rPr>
            </w:pPr>
            <w:r w:rsidRPr="007F0228">
              <w:rPr>
                <w:rFonts w:ascii="Times New Roman" w:hAnsi="Times New Roman" w:cs="Times New Roman"/>
                <w:i/>
                <w:sz w:val="24"/>
                <w:szCs w:val="24"/>
              </w:rPr>
              <w:t>p.</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Page Number</w:t>
            </w:r>
          </w:p>
        </w:tc>
      </w:tr>
      <w:tr w:rsidR="003842F4" w:rsidRPr="007F0228" w:rsidTr="00A373CE">
        <w:trPr>
          <w:trHeight w:val="319"/>
        </w:trPr>
        <w:tc>
          <w:tcPr>
            <w:tcW w:w="2808"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 xml:space="preserve">Raj </w:t>
            </w:r>
          </w:p>
        </w:tc>
        <w:tc>
          <w:tcPr>
            <w:tcW w:w="6434" w:type="dxa"/>
          </w:tcPr>
          <w:p w:rsidR="003842F4" w:rsidRDefault="003842F4" w:rsidP="00A373CE">
            <w:pPr>
              <w:spacing w:line="360" w:lineRule="auto"/>
              <w:rPr>
                <w:rFonts w:ascii="Times New Roman" w:hAnsi="Times New Roman" w:cs="Times New Roman"/>
                <w:sz w:val="24"/>
                <w:szCs w:val="24"/>
              </w:rPr>
            </w:pPr>
            <w:r>
              <w:rPr>
                <w:rFonts w:ascii="Times New Roman" w:hAnsi="Times New Roman" w:cs="Times New Roman"/>
                <w:sz w:val="24"/>
                <w:szCs w:val="24"/>
              </w:rPr>
              <w:t>Rajasthan</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S/s,ss</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 xml:space="preserve">Section, Sections </w:t>
            </w:r>
          </w:p>
        </w:tc>
      </w:tr>
      <w:tr w:rsidR="003842F4" w:rsidRPr="007F0228" w:rsidTr="00A373CE">
        <w:trPr>
          <w:trHeight w:val="329"/>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SC</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Supreme Court</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SCC</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Supreme Court Cases</w:t>
            </w:r>
          </w:p>
        </w:tc>
      </w:tr>
      <w:tr w:rsidR="003842F4" w:rsidRPr="007F0228" w:rsidTr="00A373CE">
        <w:trPr>
          <w:trHeight w:val="319"/>
        </w:trPr>
        <w:tc>
          <w:tcPr>
            <w:tcW w:w="2808"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v./ vs.</w:t>
            </w:r>
          </w:p>
        </w:tc>
        <w:tc>
          <w:tcPr>
            <w:tcW w:w="6434" w:type="dxa"/>
          </w:tcPr>
          <w:p w:rsidR="003842F4" w:rsidRPr="007F0228" w:rsidRDefault="003842F4" w:rsidP="00A373CE">
            <w:pPr>
              <w:spacing w:line="360" w:lineRule="auto"/>
              <w:rPr>
                <w:rFonts w:ascii="Times New Roman" w:hAnsi="Times New Roman" w:cs="Times New Roman"/>
                <w:sz w:val="24"/>
                <w:szCs w:val="24"/>
              </w:rPr>
            </w:pPr>
            <w:r w:rsidRPr="007F0228">
              <w:rPr>
                <w:rFonts w:ascii="Times New Roman" w:hAnsi="Times New Roman" w:cs="Times New Roman"/>
                <w:sz w:val="24"/>
                <w:szCs w:val="24"/>
              </w:rPr>
              <w:t>Versus</w:t>
            </w:r>
          </w:p>
        </w:tc>
      </w:tr>
    </w:tbl>
    <w:p w:rsidR="0028211D" w:rsidRDefault="0028211D" w:rsidP="00137BDB">
      <w:pPr>
        <w:spacing w:line="360" w:lineRule="auto"/>
        <w:jc w:val="center"/>
        <w:rPr>
          <w:rFonts w:ascii="Times New Roman" w:hAnsi="Times New Roman" w:cs="Times New Roman"/>
          <w:b/>
          <w:sz w:val="28"/>
          <w:szCs w:val="24"/>
          <w:u w:val="single"/>
        </w:rPr>
      </w:pPr>
    </w:p>
    <w:p w:rsidR="00CE387F" w:rsidRPr="00CE387F" w:rsidRDefault="00CE387F" w:rsidP="00137BDB">
      <w:pPr>
        <w:spacing w:line="360" w:lineRule="auto"/>
        <w:jc w:val="center"/>
        <w:rPr>
          <w:rFonts w:ascii="Times New Roman" w:hAnsi="Times New Roman" w:cs="Times New Roman"/>
          <w:b/>
          <w:sz w:val="28"/>
          <w:szCs w:val="24"/>
          <w:u w:val="single"/>
        </w:rPr>
      </w:pPr>
      <w:r w:rsidRPr="00CE387F">
        <w:rPr>
          <w:rFonts w:ascii="Times New Roman" w:hAnsi="Times New Roman" w:cs="Times New Roman"/>
          <w:b/>
          <w:sz w:val="28"/>
          <w:szCs w:val="24"/>
          <w:u w:val="single"/>
        </w:rPr>
        <w:lastRenderedPageBreak/>
        <w:t>Chapter I</w:t>
      </w:r>
    </w:p>
    <w:p w:rsidR="005E0D09" w:rsidRPr="00CE387F" w:rsidRDefault="005E0D09" w:rsidP="00AE3D06">
      <w:pPr>
        <w:pStyle w:val="ListParagraph"/>
        <w:numPr>
          <w:ilvl w:val="1"/>
          <w:numId w:val="16"/>
        </w:numPr>
        <w:spacing w:line="360" w:lineRule="auto"/>
        <w:jc w:val="both"/>
        <w:rPr>
          <w:rFonts w:ascii="Times New Roman" w:hAnsi="Times New Roman" w:cs="Times New Roman"/>
          <w:b/>
          <w:sz w:val="28"/>
          <w:szCs w:val="24"/>
        </w:rPr>
      </w:pPr>
      <w:r w:rsidRPr="00CE387F">
        <w:rPr>
          <w:rFonts w:ascii="Times New Roman" w:hAnsi="Times New Roman" w:cs="Times New Roman"/>
          <w:b/>
          <w:sz w:val="28"/>
          <w:szCs w:val="24"/>
        </w:rPr>
        <w:t>Introduction:</w:t>
      </w:r>
    </w:p>
    <w:p w:rsidR="00170960" w:rsidRPr="00486567" w:rsidRDefault="005E0D09"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One of the fruitful things that is given by Britain to India, during her reign was the laws of the British legal system especially the concept of criminal justice system and its related legislations. Our Indian Penal Code, Evidence Act</w:t>
      </w:r>
      <w:r w:rsidR="00170960" w:rsidRPr="00486567">
        <w:rPr>
          <w:rFonts w:ascii="Times New Roman" w:hAnsi="Times New Roman" w:cs="Times New Roman"/>
          <w:sz w:val="24"/>
          <w:szCs w:val="24"/>
        </w:rPr>
        <w:t xml:space="preserve"> and</w:t>
      </w:r>
      <w:r w:rsidRPr="00486567">
        <w:rPr>
          <w:rFonts w:ascii="Times New Roman" w:hAnsi="Times New Roman" w:cs="Times New Roman"/>
          <w:sz w:val="24"/>
          <w:szCs w:val="24"/>
        </w:rPr>
        <w:t xml:space="preserve"> Civil Procedure Code are the prod</w:t>
      </w:r>
      <w:r w:rsidR="00170960" w:rsidRPr="00486567">
        <w:rPr>
          <w:rFonts w:ascii="Times New Roman" w:hAnsi="Times New Roman" w:cs="Times New Roman"/>
          <w:sz w:val="24"/>
          <w:szCs w:val="24"/>
        </w:rPr>
        <w:t>ucts of the British legislators, which underwent only minor changes even after the independence till now. Likewise, the Criminal Procedure Code was also introduced by the British, laid a concrete foundation for the present Criminal Procedure Code, 1973, which deals with the procedure to be followed by various courts in any criminal proceedings. In addition to it, the Act also imposes duties on the police officers who are a part of the criminal justice system in India. This paper focuses on the chapter 19</w:t>
      </w:r>
      <w:r w:rsidR="00170960" w:rsidRPr="00486567">
        <w:rPr>
          <w:rFonts w:ascii="Times New Roman" w:hAnsi="Times New Roman" w:cs="Times New Roman"/>
          <w:sz w:val="24"/>
          <w:szCs w:val="24"/>
          <w:vertAlign w:val="superscript"/>
        </w:rPr>
        <w:t xml:space="preserve"> </w:t>
      </w:r>
      <w:r w:rsidR="00170960" w:rsidRPr="00CE387F">
        <w:rPr>
          <w:rFonts w:ascii="Times New Roman" w:hAnsi="Times New Roman" w:cs="Times New Roman"/>
          <w:b/>
          <w:sz w:val="24"/>
          <w:szCs w:val="24"/>
        </w:rPr>
        <w:t>- ‘Trial of warrant cases by the Magistrates’</w:t>
      </w:r>
      <w:r w:rsidR="00170960" w:rsidRPr="00486567">
        <w:rPr>
          <w:rFonts w:ascii="Times New Roman" w:hAnsi="Times New Roman" w:cs="Times New Roman"/>
          <w:sz w:val="24"/>
          <w:szCs w:val="24"/>
        </w:rPr>
        <w:t>, which forms a crucial part of the Act.</w:t>
      </w:r>
    </w:p>
    <w:p w:rsidR="005E0D09" w:rsidRPr="00486567" w:rsidRDefault="00170960"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scope of the project is limited</w:t>
      </w:r>
      <w:r w:rsidR="002530B6" w:rsidRPr="00486567">
        <w:rPr>
          <w:rFonts w:ascii="Times New Roman" w:hAnsi="Times New Roman" w:cs="Times New Roman"/>
          <w:sz w:val="24"/>
          <w:szCs w:val="24"/>
        </w:rPr>
        <w:t xml:space="preserve"> to the </w:t>
      </w:r>
      <w:r w:rsidRPr="00486567">
        <w:rPr>
          <w:rFonts w:ascii="Times New Roman" w:hAnsi="Times New Roman" w:cs="Times New Roman"/>
          <w:sz w:val="24"/>
          <w:szCs w:val="24"/>
        </w:rPr>
        <w:t>study on warrant cases amd its trial proceedings. And cons</w:t>
      </w:r>
      <w:r w:rsidR="00CE387F">
        <w:rPr>
          <w:rFonts w:ascii="Times New Roman" w:hAnsi="Times New Roman" w:cs="Times New Roman"/>
          <w:sz w:val="24"/>
          <w:szCs w:val="24"/>
        </w:rPr>
        <w:t>e</w:t>
      </w:r>
      <w:r w:rsidRPr="00486567">
        <w:rPr>
          <w:rFonts w:ascii="Times New Roman" w:hAnsi="Times New Roman" w:cs="Times New Roman"/>
          <w:sz w:val="24"/>
          <w:szCs w:val="24"/>
        </w:rPr>
        <w:t>quentially, the paper also expla</w:t>
      </w:r>
      <w:r w:rsidR="002530B6" w:rsidRPr="00486567">
        <w:rPr>
          <w:rFonts w:ascii="Times New Roman" w:hAnsi="Times New Roman" w:cs="Times New Roman"/>
          <w:sz w:val="24"/>
          <w:szCs w:val="24"/>
        </w:rPr>
        <w:t>ins briefly about other types of trials, to classify and distinguish the trial of warrant cases from others</w:t>
      </w:r>
      <w:r w:rsidR="00CE387F">
        <w:rPr>
          <w:rFonts w:ascii="Times New Roman" w:hAnsi="Times New Roman" w:cs="Times New Roman"/>
          <w:sz w:val="24"/>
          <w:szCs w:val="24"/>
        </w:rPr>
        <w:t xml:space="preserve"> and also to classify the in-built provisions</w:t>
      </w:r>
      <w:r w:rsidR="002530B6" w:rsidRPr="00486567">
        <w:rPr>
          <w:rFonts w:ascii="Times New Roman" w:hAnsi="Times New Roman" w:cs="Times New Roman"/>
          <w:sz w:val="24"/>
          <w:szCs w:val="24"/>
        </w:rPr>
        <w:t>.</w:t>
      </w:r>
    </w:p>
    <w:p w:rsidR="00CE387F" w:rsidRDefault="00CE387F" w:rsidP="00AE3D06">
      <w:pPr>
        <w:spacing w:line="360" w:lineRule="auto"/>
        <w:jc w:val="both"/>
        <w:rPr>
          <w:rFonts w:ascii="Times New Roman" w:hAnsi="Times New Roman" w:cs="Times New Roman"/>
          <w:b/>
          <w:sz w:val="28"/>
          <w:szCs w:val="24"/>
        </w:rPr>
      </w:pPr>
    </w:p>
    <w:p w:rsidR="002530B6" w:rsidRPr="00486567" w:rsidRDefault="00CE387F" w:rsidP="00AE3D06">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1.2 </w:t>
      </w:r>
      <w:r w:rsidR="002530B6" w:rsidRPr="00486567">
        <w:rPr>
          <w:rFonts w:ascii="Times New Roman" w:hAnsi="Times New Roman" w:cs="Times New Roman"/>
          <w:b/>
          <w:sz w:val="28"/>
          <w:szCs w:val="24"/>
        </w:rPr>
        <w:t>Research objectives:</w:t>
      </w:r>
    </w:p>
    <w:p w:rsidR="002530B6" w:rsidRPr="00486567" w:rsidRDefault="002530B6" w:rsidP="00AE3D06">
      <w:pPr>
        <w:pStyle w:val="ListParagraph"/>
        <w:numPr>
          <w:ilvl w:val="0"/>
          <w:numId w:val="1"/>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To study about the warrant cases and their significance</w:t>
      </w:r>
    </w:p>
    <w:p w:rsidR="002530B6" w:rsidRPr="00486567" w:rsidRDefault="002530B6" w:rsidP="00AE3D06">
      <w:pPr>
        <w:pStyle w:val="ListParagraph"/>
        <w:numPr>
          <w:ilvl w:val="0"/>
          <w:numId w:val="1"/>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To bring out the difference between trial of warrant cases and suh other trials</w:t>
      </w:r>
    </w:p>
    <w:p w:rsidR="002530B6" w:rsidRPr="00486567" w:rsidRDefault="002530B6" w:rsidP="00AE3D06">
      <w:pPr>
        <w:pStyle w:val="ListParagraph"/>
        <w:numPr>
          <w:ilvl w:val="0"/>
          <w:numId w:val="1"/>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To analyse the procedures followed in trial of warrant cases</w:t>
      </w:r>
      <w:r w:rsidR="00264501">
        <w:rPr>
          <w:rFonts w:ascii="Times New Roman" w:hAnsi="Times New Roman" w:cs="Times New Roman"/>
          <w:sz w:val="24"/>
          <w:szCs w:val="24"/>
        </w:rPr>
        <w:t xml:space="preserve"> and their validity</w:t>
      </w:r>
    </w:p>
    <w:p w:rsidR="00CE387F" w:rsidRDefault="00CE387F" w:rsidP="00AE3D06">
      <w:pPr>
        <w:spacing w:line="360" w:lineRule="auto"/>
        <w:jc w:val="both"/>
        <w:rPr>
          <w:rFonts w:ascii="Times New Roman" w:hAnsi="Times New Roman" w:cs="Times New Roman"/>
          <w:b/>
          <w:sz w:val="28"/>
          <w:szCs w:val="24"/>
        </w:rPr>
      </w:pPr>
    </w:p>
    <w:p w:rsidR="002530B6" w:rsidRPr="00486567" w:rsidRDefault="00CE387F" w:rsidP="00AE3D06">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1.3 </w:t>
      </w:r>
      <w:r w:rsidR="002530B6" w:rsidRPr="00486567">
        <w:rPr>
          <w:rFonts w:ascii="Times New Roman" w:hAnsi="Times New Roman" w:cs="Times New Roman"/>
          <w:b/>
          <w:sz w:val="28"/>
          <w:szCs w:val="24"/>
        </w:rPr>
        <w:t>Research questions:</w:t>
      </w:r>
    </w:p>
    <w:p w:rsidR="002530B6" w:rsidRPr="00486567" w:rsidRDefault="002530B6" w:rsidP="00AE3D06">
      <w:pPr>
        <w:pStyle w:val="ListParagraph"/>
        <w:numPr>
          <w:ilvl w:val="0"/>
          <w:numId w:val="2"/>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What is a warrant case and how is it differen</w:t>
      </w:r>
      <w:r w:rsidR="00CE387F">
        <w:rPr>
          <w:rFonts w:ascii="Times New Roman" w:hAnsi="Times New Roman" w:cs="Times New Roman"/>
          <w:sz w:val="24"/>
          <w:szCs w:val="24"/>
        </w:rPr>
        <w:t>t</w:t>
      </w:r>
      <w:r w:rsidRPr="00486567">
        <w:rPr>
          <w:rFonts w:ascii="Times New Roman" w:hAnsi="Times New Roman" w:cs="Times New Roman"/>
          <w:sz w:val="24"/>
          <w:szCs w:val="24"/>
        </w:rPr>
        <w:t xml:space="preserve"> from other cases?</w:t>
      </w:r>
    </w:p>
    <w:p w:rsidR="002530B6" w:rsidRPr="00486567" w:rsidRDefault="002530B6" w:rsidP="00AE3D06">
      <w:pPr>
        <w:pStyle w:val="ListParagraph"/>
        <w:numPr>
          <w:ilvl w:val="0"/>
          <w:numId w:val="2"/>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What is the difference between trial of warrant cases by police report and private complaint?</w:t>
      </w:r>
    </w:p>
    <w:p w:rsidR="002530B6" w:rsidRPr="00486567" w:rsidRDefault="00CE387F" w:rsidP="00AE3D0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On what basis, the M</w:t>
      </w:r>
      <w:r w:rsidR="002530B6" w:rsidRPr="00486567">
        <w:rPr>
          <w:rFonts w:ascii="Times New Roman" w:hAnsi="Times New Roman" w:cs="Times New Roman"/>
          <w:sz w:val="24"/>
          <w:szCs w:val="24"/>
        </w:rPr>
        <w:t>agistrates come to a conclusion either to convict or acquit an accused?</w:t>
      </w:r>
    </w:p>
    <w:p w:rsidR="002530B6" w:rsidRPr="00486567" w:rsidRDefault="00F1494C" w:rsidP="00AE3D0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Whether the classification of trial of warrants case is beneficial or it needs further amendments?</w:t>
      </w:r>
    </w:p>
    <w:p w:rsidR="00CE387F" w:rsidRPr="00D9454F" w:rsidRDefault="00CE387F" w:rsidP="00AE3D06">
      <w:pPr>
        <w:spacing w:line="360" w:lineRule="auto"/>
        <w:jc w:val="both"/>
        <w:rPr>
          <w:rFonts w:ascii="Times New Roman" w:hAnsi="Times New Roman" w:cs="Times New Roman"/>
          <w:sz w:val="24"/>
          <w:szCs w:val="24"/>
        </w:rPr>
      </w:pPr>
    </w:p>
    <w:p w:rsidR="002530B6" w:rsidRPr="00486567" w:rsidRDefault="00CE387F" w:rsidP="00AE3D06">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1.4 </w:t>
      </w:r>
      <w:r w:rsidR="002530B6" w:rsidRPr="00486567">
        <w:rPr>
          <w:rFonts w:ascii="Times New Roman" w:hAnsi="Times New Roman" w:cs="Times New Roman"/>
          <w:b/>
          <w:sz w:val="28"/>
          <w:szCs w:val="24"/>
        </w:rPr>
        <w:t>Research methodology:</w:t>
      </w:r>
    </w:p>
    <w:p w:rsidR="002530B6" w:rsidRPr="00486567" w:rsidRDefault="002530B6"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researcher has adopted</w:t>
      </w:r>
      <w:r w:rsidRPr="00264501">
        <w:rPr>
          <w:rFonts w:ascii="Times New Roman" w:hAnsi="Times New Roman" w:cs="Times New Roman"/>
          <w:i/>
          <w:sz w:val="24"/>
          <w:szCs w:val="24"/>
        </w:rPr>
        <w:t xml:space="preserve"> doctrinal</w:t>
      </w:r>
      <w:r w:rsidRPr="00486567">
        <w:rPr>
          <w:rFonts w:ascii="Times New Roman" w:hAnsi="Times New Roman" w:cs="Times New Roman"/>
          <w:sz w:val="24"/>
          <w:szCs w:val="24"/>
        </w:rPr>
        <w:t xml:space="preserve"> method of research and the entire paper is in the form of analysis of the established procedures, thereby following</w:t>
      </w:r>
      <w:r w:rsidRPr="00264501">
        <w:rPr>
          <w:rFonts w:ascii="Times New Roman" w:hAnsi="Times New Roman" w:cs="Times New Roman"/>
          <w:i/>
          <w:sz w:val="24"/>
          <w:szCs w:val="24"/>
        </w:rPr>
        <w:t xml:space="preserve"> analytical</w:t>
      </w:r>
      <w:r w:rsidRPr="00486567">
        <w:rPr>
          <w:rFonts w:ascii="Times New Roman" w:hAnsi="Times New Roman" w:cs="Times New Roman"/>
          <w:sz w:val="24"/>
          <w:szCs w:val="24"/>
        </w:rPr>
        <w:t xml:space="preserve"> mode of research. The primary sources for this research paper are the Criminal Procedure Code, 1973 and relecvant judicial decisions. Secondary sources include books, articles and web sources. </w:t>
      </w:r>
    </w:p>
    <w:p w:rsidR="00E97AF6" w:rsidRPr="00486567" w:rsidRDefault="00E97AF6" w:rsidP="00AE3D06">
      <w:pPr>
        <w:spacing w:line="360" w:lineRule="auto"/>
        <w:jc w:val="both"/>
        <w:rPr>
          <w:rFonts w:ascii="Times New Roman" w:hAnsi="Times New Roman" w:cs="Times New Roman"/>
          <w:sz w:val="24"/>
          <w:szCs w:val="24"/>
        </w:rPr>
      </w:pPr>
    </w:p>
    <w:p w:rsidR="00E97AF6" w:rsidRPr="00CE387F" w:rsidRDefault="00E97AF6" w:rsidP="00137BDB">
      <w:pPr>
        <w:spacing w:line="360" w:lineRule="auto"/>
        <w:jc w:val="center"/>
        <w:rPr>
          <w:rFonts w:ascii="Times New Roman" w:hAnsi="Times New Roman" w:cs="Times New Roman"/>
          <w:b/>
          <w:sz w:val="28"/>
          <w:szCs w:val="24"/>
          <w:u w:val="single"/>
        </w:rPr>
      </w:pPr>
      <w:r w:rsidRPr="00CE387F">
        <w:rPr>
          <w:rFonts w:ascii="Times New Roman" w:hAnsi="Times New Roman" w:cs="Times New Roman"/>
          <w:b/>
          <w:sz w:val="28"/>
          <w:szCs w:val="24"/>
          <w:u w:val="single"/>
        </w:rPr>
        <w:t>Chapter II</w:t>
      </w:r>
    </w:p>
    <w:p w:rsidR="00E97AF6" w:rsidRPr="00486567" w:rsidRDefault="00CE387F" w:rsidP="00AE3D06">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2.1 </w:t>
      </w:r>
      <w:r w:rsidR="00E97AF6" w:rsidRPr="00486567">
        <w:rPr>
          <w:rFonts w:ascii="Times New Roman" w:hAnsi="Times New Roman" w:cs="Times New Roman"/>
          <w:b/>
          <w:sz w:val="28"/>
          <w:szCs w:val="24"/>
        </w:rPr>
        <w:t>What is a warrant case?</w:t>
      </w:r>
    </w:p>
    <w:p w:rsidR="00E97AF6" w:rsidRPr="00486567" w:rsidRDefault="00E97AF6"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Criminal procedure code provides different types of trial to provide possible means inorder to reach the ends of justice in an adversarial system. The classification of trial solely depends upon gravity of the offences, namely,</w:t>
      </w:r>
    </w:p>
    <w:p w:rsidR="00E97AF6" w:rsidRPr="00486567" w:rsidRDefault="0095059F" w:rsidP="00AE3D06">
      <w:pPr>
        <w:pStyle w:val="ListParagraph"/>
        <w:numPr>
          <w:ilvl w:val="0"/>
          <w:numId w:val="4"/>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Trial before sessions court </w:t>
      </w:r>
    </w:p>
    <w:p w:rsidR="0095059F" w:rsidRPr="00486567" w:rsidRDefault="0095059F" w:rsidP="00AE3D06">
      <w:pPr>
        <w:pStyle w:val="ListParagraph"/>
        <w:numPr>
          <w:ilvl w:val="0"/>
          <w:numId w:val="4"/>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Trial of warrant cases by Magistrates</w:t>
      </w:r>
    </w:p>
    <w:p w:rsidR="0095059F" w:rsidRPr="00486567" w:rsidRDefault="0095059F" w:rsidP="00AE3D06">
      <w:pPr>
        <w:pStyle w:val="ListParagraph"/>
        <w:numPr>
          <w:ilvl w:val="0"/>
          <w:numId w:val="4"/>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Trial of summons cases by Magistrates</w:t>
      </w:r>
    </w:p>
    <w:p w:rsidR="0095059F" w:rsidRPr="00486567" w:rsidRDefault="0095059F" w:rsidP="00AE3D06">
      <w:pPr>
        <w:pStyle w:val="ListParagraph"/>
        <w:numPr>
          <w:ilvl w:val="0"/>
          <w:numId w:val="4"/>
        </w:num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Summary trials</w:t>
      </w:r>
    </w:p>
    <w:p w:rsidR="00E121DF" w:rsidRPr="00486567" w:rsidRDefault="0095059F"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first two kinds of trials are designated for warrant cases and the last two for summons cases which shows the intention of the law makers to sub divide the warrant cases and summons cases into two categories for devising suitable trial procedures</w:t>
      </w:r>
      <w:r w:rsidRPr="00486567">
        <w:rPr>
          <w:rStyle w:val="FootnoteReference"/>
          <w:rFonts w:ascii="Times New Roman" w:hAnsi="Times New Roman" w:cs="Times New Roman"/>
          <w:sz w:val="24"/>
          <w:szCs w:val="24"/>
        </w:rPr>
        <w:footnoteReference w:id="1"/>
      </w:r>
      <w:r w:rsidRPr="00486567">
        <w:rPr>
          <w:rFonts w:ascii="Times New Roman" w:hAnsi="Times New Roman" w:cs="Times New Roman"/>
          <w:sz w:val="24"/>
          <w:szCs w:val="24"/>
        </w:rPr>
        <w:t>.</w:t>
      </w:r>
    </w:p>
    <w:p w:rsidR="0095059F" w:rsidRPr="00486567" w:rsidRDefault="0095059F"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 A warant case for the purpose of the Act, is a case relating to an offence punishable with death, imprisonment for life or imprisonment for a term exceeding two years</w:t>
      </w:r>
      <w:r w:rsidRPr="00486567">
        <w:rPr>
          <w:rStyle w:val="FootnoteReference"/>
          <w:rFonts w:ascii="Times New Roman" w:hAnsi="Times New Roman" w:cs="Times New Roman"/>
          <w:sz w:val="24"/>
          <w:szCs w:val="24"/>
        </w:rPr>
        <w:footnoteReference w:id="2"/>
      </w:r>
      <w:r w:rsidR="00781206" w:rsidRPr="00486567">
        <w:rPr>
          <w:rFonts w:ascii="Times New Roman" w:hAnsi="Times New Roman" w:cs="Times New Roman"/>
          <w:sz w:val="24"/>
          <w:szCs w:val="24"/>
        </w:rPr>
        <w:t xml:space="preserve"> and other petty cases would </w:t>
      </w:r>
      <w:r w:rsidR="00781206" w:rsidRPr="00486567">
        <w:rPr>
          <w:rFonts w:ascii="Times New Roman" w:hAnsi="Times New Roman" w:cs="Times New Roman"/>
          <w:sz w:val="24"/>
          <w:szCs w:val="24"/>
        </w:rPr>
        <w:lastRenderedPageBreak/>
        <w:t>come under summons cases</w:t>
      </w:r>
      <w:r w:rsidRPr="00486567">
        <w:rPr>
          <w:rFonts w:ascii="Times New Roman" w:hAnsi="Times New Roman" w:cs="Times New Roman"/>
          <w:sz w:val="24"/>
          <w:szCs w:val="24"/>
        </w:rPr>
        <w:t xml:space="preserve">. Cases tried before a Court of Session are all warrant cases except defamation cases under s.237. </w:t>
      </w:r>
      <w:r w:rsidR="00781206">
        <w:rPr>
          <w:rFonts w:ascii="Times New Roman" w:hAnsi="Times New Roman" w:cs="Times New Roman"/>
          <w:sz w:val="24"/>
          <w:szCs w:val="24"/>
        </w:rPr>
        <w:t>Those</w:t>
      </w:r>
      <w:r w:rsidRPr="00486567">
        <w:rPr>
          <w:rFonts w:ascii="Times New Roman" w:hAnsi="Times New Roman" w:cs="Times New Roman"/>
          <w:sz w:val="24"/>
          <w:szCs w:val="24"/>
        </w:rPr>
        <w:t xml:space="preserve"> cases will be tried by the Magistrates as given under Column 6 of First Schedule and these procedures are comparatively elaborate owing to its nature of gravity and seriousness. </w:t>
      </w:r>
    </w:p>
    <w:p w:rsidR="0095059F" w:rsidRPr="00486567" w:rsidRDefault="00E121DF" w:rsidP="00AE3D06">
      <w:pPr>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These warrant cases under ss.238 to 250 are further divided into two main categories depending on the nature of the complaint. Ss.238 to 243 deals with the provisions relating to the trial </w:t>
      </w:r>
      <w:r w:rsidR="00264501">
        <w:rPr>
          <w:rFonts w:ascii="Times New Roman" w:hAnsi="Times New Roman" w:cs="Times New Roman"/>
          <w:sz w:val="24"/>
          <w:szCs w:val="24"/>
        </w:rPr>
        <w:t xml:space="preserve">of </w:t>
      </w:r>
      <w:r w:rsidRPr="00486567">
        <w:rPr>
          <w:rFonts w:ascii="Times New Roman" w:hAnsi="Times New Roman" w:cs="Times New Roman"/>
          <w:sz w:val="24"/>
          <w:szCs w:val="24"/>
        </w:rPr>
        <w:t>warrant cases instituted through police report and ss.244 to 247 deals with other types like that of a private complaint. The last part of this cluster, say from s.248 to 250 deals with the procedures for conclusion of trial, that remains common to both the categories. This kind of classification was not present in the Code of 1898, and was then amended by 1955, insertin</w:t>
      </w:r>
      <w:r w:rsidR="00781206">
        <w:rPr>
          <w:rFonts w:ascii="Times New Roman" w:hAnsi="Times New Roman" w:cs="Times New Roman"/>
          <w:sz w:val="24"/>
          <w:szCs w:val="24"/>
        </w:rPr>
        <w:t>g two provisions ss.251 and 251</w:t>
      </w:r>
      <w:r w:rsidRPr="00486567">
        <w:rPr>
          <w:rFonts w:ascii="Times New Roman" w:hAnsi="Times New Roman" w:cs="Times New Roman"/>
          <w:sz w:val="24"/>
          <w:szCs w:val="24"/>
        </w:rPr>
        <w:t>A for the older s.251, which was later</w:t>
      </w:r>
      <w:r w:rsidR="00781206">
        <w:rPr>
          <w:rFonts w:ascii="Times New Roman" w:hAnsi="Times New Roman" w:cs="Times New Roman"/>
          <w:sz w:val="24"/>
          <w:szCs w:val="24"/>
        </w:rPr>
        <w:t xml:space="preserve"> adopted in  1973 enactment. </w:t>
      </w:r>
    </w:p>
    <w:p w:rsidR="001B003E" w:rsidRDefault="001B003E" w:rsidP="00AE3D06">
      <w:pPr>
        <w:tabs>
          <w:tab w:val="left" w:pos="7335"/>
        </w:tabs>
        <w:spacing w:line="360" w:lineRule="auto"/>
        <w:jc w:val="both"/>
        <w:rPr>
          <w:rFonts w:ascii="Times New Roman" w:hAnsi="Times New Roman" w:cs="Times New Roman"/>
          <w:b/>
          <w:sz w:val="28"/>
          <w:szCs w:val="24"/>
        </w:rPr>
      </w:pPr>
    </w:p>
    <w:p w:rsidR="00781206" w:rsidRDefault="00CE387F" w:rsidP="00AE3D06">
      <w:pPr>
        <w:tabs>
          <w:tab w:val="left" w:pos="7335"/>
        </w:tabs>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2.2 </w:t>
      </w:r>
      <w:r w:rsidR="00781206">
        <w:rPr>
          <w:rFonts w:ascii="Times New Roman" w:hAnsi="Times New Roman" w:cs="Times New Roman"/>
          <w:b/>
          <w:sz w:val="28"/>
          <w:szCs w:val="24"/>
        </w:rPr>
        <w:t>Difference between trial of summons and warrant cases:</w:t>
      </w:r>
    </w:p>
    <w:p w:rsidR="00781206" w:rsidRDefault="00781206"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S.2(w) of CrPC defines a summons case to be relating to an offence, and which does not qualify to b</w:t>
      </w:r>
      <w:r w:rsidR="00264501">
        <w:rPr>
          <w:rFonts w:ascii="Times New Roman" w:hAnsi="Times New Roman" w:cs="Times New Roman"/>
          <w:sz w:val="24"/>
          <w:szCs w:val="24"/>
        </w:rPr>
        <w:t>e a warrant</w:t>
      </w:r>
      <w:r>
        <w:rPr>
          <w:rFonts w:ascii="Times New Roman" w:hAnsi="Times New Roman" w:cs="Times New Roman"/>
          <w:sz w:val="24"/>
          <w:szCs w:val="24"/>
        </w:rPr>
        <w:t xml:space="preserve"> case. Hence, we can come to a conclusion, a summons case is one which relates to less serious offences for which the imprisonment will not exceed beyond two years. Such a distinction is sought to make the trial procedures more efficient and convenient. The notable differences between them would include:</w:t>
      </w:r>
    </w:p>
    <w:p w:rsidR="00781206" w:rsidRDefault="00DA4EF2"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There are two procedures for warrant cases – i.e, by police report and otherwise</w:t>
      </w:r>
      <w:r w:rsidR="00264501">
        <w:rPr>
          <w:rFonts w:ascii="Times New Roman" w:hAnsi="Times New Roman" w:cs="Times New Roman"/>
          <w:sz w:val="24"/>
          <w:szCs w:val="24"/>
        </w:rPr>
        <w:t xml:space="preserve"> than on police report</w:t>
      </w:r>
      <w:r>
        <w:rPr>
          <w:rFonts w:ascii="Times New Roman" w:hAnsi="Times New Roman" w:cs="Times New Roman"/>
          <w:sz w:val="24"/>
          <w:szCs w:val="24"/>
        </w:rPr>
        <w:t xml:space="preserve"> but only one procedure is followed for trial of summons cases</w:t>
      </w:r>
    </w:p>
    <w:p w:rsidR="00DA4EF2" w:rsidRDefault="00DA4EF2"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A charge need not be essentially framed for summons case, details of offence would be sufficient but charges must be framed in warrant cases.</w:t>
      </w:r>
    </w:p>
    <w:p w:rsidR="00DA4EF2" w:rsidRDefault="00DA4EF2"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 complainant can withdraw the complaint with the permission of the court in summons case whereas such wi</w:t>
      </w:r>
      <w:r w:rsidR="00771372">
        <w:rPr>
          <w:rFonts w:ascii="Times New Roman" w:hAnsi="Times New Roman" w:cs="Times New Roman"/>
          <w:sz w:val="24"/>
          <w:szCs w:val="24"/>
        </w:rPr>
        <w:t xml:space="preserve">thdrawal is </w:t>
      </w:r>
      <w:r>
        <w:rPr>
          <w:rFonts w:ascii="Times New Roman" w:hAnsi="Times New Roman" w:cs="Times New Roman"/>
          <w:sz w:val="24"/>
          <w:szCs w:val="24"/>
        </w:rPr>
        <w:t>possible</w:t>
      </w:r>
      <w:r w:rsidR="00771372">
        <w:rPr>
          <w:rFonts w:ascii="Times New Roman" w:hAnsi="Times New Roman" w:cs="Times New Roman"/>
          <w:sz w:val="24"/>
          <w:szCs w:val="24"/>
        </w:rPr>
        <w:t xml:space="preserve"> only</w:t>
      </w:r>
      <w:r>
        <w:rPr>
          <w:rFonts w:ascii="Times New Roman" w:hAnsi="Times New Roman" w:cs="Times New Roman"/>
          <w:sz w:val="24"/>
          <w:szCs w:val="24"/>
        </w:rPr>
        <w:t xml:space="preserve"> when the accused is convicted for one and the option is given to withdraw the charges for remaining offences</w:t>
      </w:r>
      <w:r w:rsidR="00771372">
        <w:rPr>
          <w:rFonts w:ascii="Times New Roman" w:hAnsi="Times New Roman" w:cs="Times New Roman"/>
          <w:sz w:val="24"/>
          <w:szCs w:val="24"/>
        </w:rPr>
        <w:t xml:space="preserve"> and not otherwise</w:t>
      </w:r>
      <w:r>
        <w:rPr>
          <w:rFonts w:ascii="Times New Roman" w:hAnsi="Times New Roman" w:cs="Times New Roman"/>
          <w:sz w:val="24"/>
          <w:szCs w:val="24"/>
        </w:rPr>
        <w:t>.</w:t>
      </w:r>
    </w:p>
    <w:p w:rsidR="00DA4EF2" w:rsidRDefault="00DA4EF2"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 accused is acquitted if complainant is absent or is dead in summons case where in warrant cases, acquittal can only be done in compoundable or non-cognizable offence when the complainant is absent.</w:t>
      </w:r>
    </w:p>
    <w:p w:rsidR="00DA4EF2" w:rsidRDefault="00DA4EF2"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If the accused pleads guilty under s.252, the Magistrate records his plea and shall convict him in summons cases whereas for warrant cases, the Magistrate has discretion to convict under s.241.</w:t>
      </w:r>
    </w:p>
    <w:p w:rsidR="001D1824" w:rsidRDefault="001D1824"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 plea of guilty can be made even by post in summons and in warrant</w:t>
      </w:r>
      <w:r w:rsidR="00264501">
        <w:rPr>
          <w:rFonts w:ascii="Times New Roman" w:hAnsi="Times New Roman" w:cs="Times New Roman"/>
          <w:sz w:val="24"/>
          <w:szCs w:val="24"/>
        </w:rPr>
        <w:t xml:space="preserve"> cases</w:t>
      </w:r>
      <w:r>
        <w:rPr>
          <w:rFonts w:ascii="Times New Roman" w:hAnsi="Times New Roman" w:cs="Times New Roman"/>
          <w:sz w:val="24"/>
          <w:szCs w:val="24"/>
        </w:rPr>
        <w:t>, accused must appear even for that.</w:t>
      </w:r>
    </w:p>
    <w:p w:rsidR="001D1824" w:rsidRDefault="001D1824"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Accused gets only one opportunity to cross the prosecution witnesses in summons and more than one opportunity is given in warrant cases.</w:t>
      </w:r>
    </w:p>
    <w:p w:rsidR="001D1824" w:rsidRDefault="001D1824"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Charges on warrant cases mi</w:t>
      </w:r>
      <w:r w:rsidR="00771372">
        <w:rPr>
          <w:rFonts w:ascii="Times New Roman" w:hAnsi="Times New Roman" w:cs="Times New Roman"/>
          <w:sz w:val="24"/>
          <w:szCs w:val="24"/>
        </w:rPr>
        <w:t>ght resemble a summons case, thou</w:t>
      </w:r>
      <w:r>
        <w:rPr>
          <w:rFonts w:ascii="Times New Roman" w:hAnsi="Times New Roman" w:cs="Times New Roman"/>
          <w:sz w:val="24"/>
          <w:szCs w:val="24"/>
        </w:rPr>
        <w:t>gh the charges cannot be split into constituents but charges in summons cannot reflect the warrant cases</w:t>
      </w:r>
    </w:p>
    <w:p w:rsidR="001D1824" w:rsidRDefault="001D1824"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Evidence of previous conviction can be recorded after the </w:t>
      </w:r>
      <w:r w:rsidR="00264501">
        <w:rPr>
          <w:rFonts w:ascii="Times New Roman" w:hAnsi="Times New Roman" w:cs="Times New Roman"/>
          <w:sz w:val="24"/>
          <w:szCs w:val="24"/>
        </w:rPr>
        <w:t xml:space="preserve">conclusion of trial in warrant </w:t>
      </w:r>
      <w:r>
        <w:rPr>
          <w:rFonts w:ascii="Times New Roman" w:hAnsi="Times New Roman" w:cs="Times New Roman"/>
          <w:sz w:val="24"/>
          <w:szCs w:val="24"/>
        </w:rPr>
        <w:t>cases but no such power is given to Magistrate in summons cases.</w:t>
      </w:r>
    </w:p>
    <w:p w:rsidR="001D1824" w:rsidRDefault="001D1824" w:rsidP="00AE3D06">
      <w:pPr>
        <w:pStyle w:val="ListParagraph"/>
        <w:numPr>
          <w:ilvl w:val="0"/>
          <w:numId w:val="12"/>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Trial of a warrant case as a summons case is serious irregularity and the trial is vitiated if the accused has been prejudiced</w:t>
      </w:r>
      <w:r w:rsidR="0011295A">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0011295A">
        <w:rPr>
          <w:rFonts w:ascii="Times New Roman" w:hAnsi="Times New Roman" w:cs="Times New Roman"/>
          <w:sz w:val="24"/>
          <w:szCs w:val="24"/>
        </w:rPr>
        <w:t xml:space="preserve">and is illegal </w:t>
      </w:r>
      <w:r>
        <w:rPr>
          <w:rFonts w:ascii="Times New Roman" w:hAnsi="Times New Roman" w:cs="Times New Roman"/>
          <w:sz w:val="24"/>
          <w:szCs w:val="24"/>
        </w:rPr>
        <w:t>but the converse, though is also serious, is curable under s.465.</w:t>
      </w:r>
    </w:p>
    <w:p w:rsidR="001D1824" w:rsidRPr="001D1824" w:rsidRDefault="001D1824"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these points, </w:t>
      </w:r>
      <w:r w:rsidR="0011295A">
        <w:rPr>
          <w:rFonts w:ascii="Times New Roman" w:hAnsi="Times New Roman" w:cs="Times New Roman"/>
          <w:sz w:val="24"/>
          <w:szCs w:val="24"/>
        </w:rPr>
        <w:t xml:space="preserve">when a warrant case is tried as summons case, the acquittal will only amount to discharge and if the converse happens, the discharge of accused will be considered as acquittal. </w:t>
      </w:r>
      <w:r w:rsidR="001177D6">
        <w:rPr>
          <w:rFonts w:ascii="Times New Roman" w:hAnsi="Times New Roman" w:cs="Times New Roman"/>
          <w:sz w:val="24"/>
          <w:szCs w:val="24"/>
        </w:rPr>
        <w:t>If the mistake of trying a summons case is found at any stage in the trial, the warrant procedures can still be followed</w:t>
      </w:r>
      <w:r w:rsidR="001177D6">
        <w:rPr>
          <w:rStyle w:val="FootnoteReference"/>
          <w:rFonts w:ascii="Times New Roman" w:hAnsi="Times New Roman" w:cs="Times New Roman"/>
          <w:sz w:val="24"/>
          <w:szCs w:val="24"/>
        </w:rPr>
        <w:footnoteReference w:id="4"/>
      </w:r>
      <w:r w:rsidR="001177D6">
        <w:rPr>
          <w:rFonts w:ascii="Times New Roman" w:hAnsi="Times New Roman" w:cs="Times New Roman"/>
          <w:sz w:val="24"/>
          <w:szCs w:val="24"/>
        </w:rPr>
        <w:t xml:space="preserve">. </w:t>
      </w:r>
      <w:r w:rsidR="0011295A">
        <w:rPr>
          <w:rFonts w:ascii="Times New Roman" w:hAnsi="Times New Roman" w:cs="Times New Roman"/>
          <w:sz w:val="24"/>
          <w:szCs w:val="24"/>
        </w:rPr>
        <w:t>The conversion of a summons case to warrants case can be done if the punishment for the offence would be more than 6 months and in the interest of justice, the Magistrate feels so, as under s.259 but not vice versa i.e, a warrants case cannot be con</w:t>
      </w:r>
      <w:r w:rsidR="001177D6">
        <w:rPr>
          <w:rFonts w:ascii="Times New Roman" w:hAnsi="Times New Roman" w:cs="Times New Roman"/>
          <w:sz w:val="24"/>
          <w:szCs w:val="24"/>
        </w:rPr>
        <w:t>v</w:t>
      </w:r>
      <w:r w:rsidR="0011295A">
        <w:rPr>
          <w:rFonts w:ascii="Times New Roman" w:hAnsi="Times New Roman" w:cs="Times New Roman"/>
          <w:sz w:val="24"/>
          <w:szCs w:val="24"/>
        </w:rPr>
        <w:t>erted into summons.</w:t>
      </w:r>
    </w:p>
    <w:p w:rsidR="00781206" w:rsidRPr="001177D6" w:rsidRDefault="001177D6"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Let us now proceed to briefly understand the different procedures established for the trial of warrant cases under CrPC.</w:t>
      </w:r>
    </w:p>
    <w:p w:rsidR="00264501" w:rsidRDefault="00264501" w:rsidP="00AE3D06">
      <w:pPr>
        <w:tabs>
          <w:tab w:val="left" w:pos="7335"/>
        </w:tabs>
        <w:spacing w:line="360" w:lineRule="auto"/>
        <w:jc w:val="both"/>
        <w:rPr>
          <w:rFonts w:ascii="Times New Roman" w:hAnsi="Times New Roman" w:cs="Times New Roman"/>
          <w:b/>
          <w:sz w:val="28"/>
          <w:szCs w:val="24"/>
        </w:rPr>
      </w:pPr>
    </w:p>
    <w:p w:rsidR="00264501" w:rsidRPr="00264501" w:rsidRDefault="00264501" w:rsidP="00736141">
      <w:pPr>
        <w:tabs>
          <w:tab w:val="left" w:pos="7335"/>
        </w:tabs>
        <w:spacing w:line="360" w:lineRule="auto"/>
        <w:jc w:val="center"/>
        <w:rPr>
          <w:rFonts w:ascii="Times New Roman" w:hAnsi="Times New Roman" w:cs="Times New Roman"/>
          <w:b/>
          <w:sz w:val="28"/>
          <w:szCs w:val="24"/>
          <w:u w:val="single"/>
        </w:rPr>
      </w:pPr>
      <w:r w:rsidRPr="00264501">
        <w:rPr>
          <w:rFonts w:ascii="Times New Roman" w:hAnsi="Times New Roman" w:cs="Times New Roman"/>
          <w:b/>
          <w:sz w:val="28"/>
          <w:szCs w:val="24"/>
          <w:u w:val="single"/>
        </w:rPr>
        <w:t>Chapter III</w:t>
      </w:r>
    </w:p>
    <w:p w:rsidR="001B003E" w:rsidRPr="00486567" w:rsidRDefault="00264501" w:rsidP="00AE3D06">
      <w:pPr>
        <w:tabs>
          <w:tab w:val="left" w:pos="7335"/>
        </w:tabs>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3.1 </w:t>
      </w:r>
      <w:r w:rsidR="001B003E" w:rsidRPr="00486567">
        <w:rPr>
          <w:rFonts w:ascii="Times New Roman" w:hAnsi="Times New Roman" w:cs="Times New Roman"/>
          <w:b/>
          <w:sz w:val="28"/>
          <w:szCs w:val="24"/>
        </w:rPr>
        <w:t>Cases instituted on a police report:</w:t>
      </w:r>
    </w:p>
    <w:p w:rsidR="003C37A1" w:rsidRPr="00486567" w:rsidRDefault="00595A3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This provision reiterates the principles under s.251-A of the repealed code with certain favourable changes like the right of the accused to get copies of the documents and to know about the evi</w:t>
      </w:r>
      <w:r w:rsidR="00264501">
        <w:rPr>
          <w:rFonts w:ascii="Times New Roman" w:hAnsi="Times New Roman" w:cs="Times New Roman"/>
          <w:sz w:val="24"/>
          <w:szCs w:val="24"/>
        </w:rPr>
        <w:t>d</w:t>
      </w:r>
      <w:r w:rsidRPr="00486567">
        <w:rPr>
          <w:rFonts w:ascii="Times New Roman" w:hAnsi="Times New Roman" w:cs="Times New Roman"/>
          <w:sz w:val="24"/>
          <w:szCs w:val="24"/>
        </w:rPr>
        <w:t>ence against him. It is primarily the right of the person to lo</w:t>
      </w:r>
      <w:r w:rsidR="003C37A1" w:rsidRPr="00486567">
        <w:rPr>
          <w:rFonts w:ascii="Times New Roman" w:hAnsi="Times New Roman" w:cs="Times New Roman"/>
          <w:sz w:val="24"/>
          <w:szCs w:val="24"/>
        </w:rPr>
        <w:t>dge information to police</w:t>
      </w:r>
      <w:r w:rsidRPr="00486567">
        <w:rPr>
          <w:rFonts w:ascii="Times New Roman" w:hAnsi="Times New Roman" w:cs="Times New Roman"/>
          <w:sz w:val="24"/>
          <w:szCs w:val="24"/>
        </w:rPr>
        <w:t xml:space="preserve"> or to make a complaint to magistrates</w:t>
      </w:r>
      <w:r w:rsidRPr="00486567">
        <w:rPr>
          <w:rStyle w:val="FootnoteReference"/>
          <w:rFonts w:ascii="Times New Roman" w:hAnsi="Times New Roman" w:cs="Times New Roman"/>
          <w:sz w:val="24"/>
          <w:szCs w:val="24"/>
        </w:rPr>
        <w:footnoteReference w:id="5"/>
      </w:r>
      <w:r w:rsidRPr="00486567">
        <w:rPr>
          <w:rFonts w:ascii="Times New Roman" w:hAnsi="Times New Roman" w:cs="Times New Roman"/>
          <w:sz w:val="24"/>
          <w:szCs w:val="24"/>
        </w:rPr>
        <w:t xml:space="preserve">. </w:t>
      </w:r>
      <w:r w:rsidR="003C37A1" w:rsidRPr="00486567">
        <w:rPr>
          <w:rFonts w:ascii="Times New Roman" w:hAnsi="Times New Roman" w:cs="Times New Roman"/>
          <w:sz w:val="24"/>
          <w:szCs w:val="24"/>
        </w:rPr>
        <w:t xml:space="preserve">The word police report would mean all types of reports submitted by a police officer irrespective of the </w:t>
      </w:r>
      <w:r w:rsidR="00746E46" w:rsidRPr="00486567">
        <w:rPr>
          <w:rFonts w:ascii="Times New Roman" w:hAnsi="Times New Roman" w:cs="Times New Roman"/>
          <w:sz w:val="24"/>
          <w:szCs w:val="24"/>
        </w:rPr>
        <w:t>nature of the case (cognizable or non-cognizable) and the capacity</w:t>
      </w:r>
      <w:r w:rsidR="00746E46" w:rsidRPr="00486567">
        <w:rPr>
          <w:rStyle w:val="FootnoteReference"/>
          <w:rFonts w:ascii="Times New Roman" w:hAnsi="Times New Roman" w:cs="Times New Roman"/>
          <w:sz w:val="24"/>
          <w:szCs w:val="24"/>
        </w:rPr>
        <w:footnoteReference w:id="6"/>
      </w:r>
      <w:r w:rsidR="00746E46" w:rsidRPr="00486567">
        <w:rPr>
          <w:rFonts w:ascii="Times New Roman" w:hAnsi="Times New Roman" w:cs="Times New Roman"/>
          <w:sz w:val="24"/>
          <w:szCs w:val="24"/>
        </w:rPr>
        <w:t xml:space="preserve">. </w:t>
      </w:r>
      <w:r w:rsidRPr="00486567">
        <w:rPr>
          <w:rFonts w:ascii="Times New Roman" w:hAnsi="Times New Roman" w:cs="Times New Roman"/>
          <w:sz w:val="24"/>
          <w:szCs w:val="24"/>
        </w:rPr>
        <w:t>If a case initially commences as a complaint case but later is discovered that police investigation is in process relating to that case</w:t>
      </w:r>
      <w:r w:rsidR="003C37A1" w:rsidRPr="00486567">
        <w:rPr>
          <w:rFonts w:ascii="Times New Roman" w:hAnsi="Times New Roman" w:cs="Times New Roman"/>
          <w:sz w:val="24"/>
          <w:szCs w:val="24"/>
        </w:rPr>
        <w:t>, a report of investigation will be called for and based on that, the procedure to be adopted will be finalised</w:t>
      </w:r>
      <w:r w:rsidR="003C37A1" w:rsidRPr="00486567">
        <w:rPr>
          <w:rStyle w:val="FootnoteReference"/>
          <w:rFonts w:ascii="Times New Roman" w:hAnsi="Times New Roman" w:cs="Times New Roman"/>
          <w:sz w:val="24"/>
          <w:szCs w:val="24"/>
        </w:rPr>
        <w:footnoteReference w:id="7"/>
      </w:r>
      <w:r w:rsidR="003C37A1" w:rsidRPr="00486567">
        <w:rPr>
          <w:rFonts w:ascii="Times New Roman" w:hAnsi="Times New Roman" w:cs="Times New Roman"/>
          <w:sz w:val="24"/>
          <w:szCs w:val="24"/>
        </w:rPr>
        <w:t>. And under this category, there will be four major stages of trial to be followed.</w:t>
      </w:r>
    </w:p>
    <w:p w:rsidR="003C37A1" w:rsidRPr="00486567" w:rsidRDefault="003C37A1" w:rsidP="00AE3D06">
      <w:pPr>
        <w:pStyle w:val="ListParagraph"/>
        <w:numPr>
          <w:ilvl w:val="0"/>
          <w:numId w:val="6"/>
        </w:numPr>
        <w:tabs>
          <w:tab w:val="left" w:pos="7335"/>
        </w:tabs>
        <w:spacing w:line="360" w:lineRule="auto"/>
        <w:jc w:val="both"/>
        <w:rPr>
          <w:rFonts w:ascii="Times New Roman" w:hAnsi="Times New Roman" w:cs="Times New Roman"/>
          <w:b/>
          <w:sz w:val="24"/>
          <w:szCs w:val="24"/>
        </w:rPr>
      </w:pPr>
      <w:r w:rsidRPr="00486567">
        <w:rPr>
          <w:rFonts w:ascii="Times New Roman" w:hAnsi="Times New Roman" w:cs="Times New Roman"/>
          <w:b/>
          <w:sz w:val="24"/>
          <w:szCs w:val="24"/>
        </w:rPr>
        <w:t>Initial steps in the trial:</w:t>
      </w:r>
    </w:p>
    <w:p w:rsidR="003C37A1" w:rsidRPr="00486567" w:rsidRDefault="003C37A1"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There are certain initial steps to be taken before the commencement of the trial so as to ensure a planned and smooth procedure. </w:t>
      </w:r>
    </w:p>
    <w:p w:rsidR="003C37A1" w:rsidRPr="00486567" w:rsidRDefault="003C37A1" w:rsidP="00AE3D06">
      <w:pPr>
        <w:pStyle w:val="ListParagraph"/>
        <w:numPr>
          <w:ilvl w:val="0"/>
          <w:numId w:val="7"/>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Supply of copies to the accused:</w:t>
      </w:r>
    </w:p>
    <w:p w:rsidR="00746E46" w:rsidRPr="00486567" w:rsidRDefault="003C37A1"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S. 238 mandates that the when an accused </w:t>
      </w:r>
      <w:r w:rsidR="00264501">
        <w:rPr>
          <w:rFonts w:ascii="Times New Roman" w:hAnsi="Times New Roman" w:cs="Times New Roman"/>
          <w:sz w:val="24"/>
          <w:szCs w:val="24"/>
        </w:rPr>
        <w:t>appears or is brought before a M</w:t>
      </w:r>
      <w:r w:rsidRPr="00486567">
        <w:rPr>
          <w:rFonts w:ascii="Times New Roman" w:hAnsi="Times New Roman" w:cs="Times New Roman"/>
          <w:sz w:val="24"/>
          <w:szCs w:val="24"/>
        </w:rPr>
        <w:t xml:space="preserve">agistrate, under this category, the compliance of s.207 is mandatory. Accordingly, the Magistrate has to ensure that the accused gets the </w:t>
      </w:r>
      <w:r w:rsidR="00746E46" w:rsidRPr="00486567">
        <w:rPr>
          <w:rFonts w:ascii="Times New Roman" w:hAnsi="Times New Roman" w:cs="Times New Roman"/>
          <w:sz w:val="24"/>
          <w:szCs w:val="24"/>
        </w:rPr>
        <w:t>copies of all the documents detailed in clauses (i) to (v) of that section. It serves as a condition precedent to the commencement of the trial which means ‘before the charges are framed’</w:t>
      </w:r>
      <w:r w:rsidR="00746E46" w:rsidRPr="00486567">
        <w:rPr>
          <w:rStyle w:val="FootnoteReference"/>
          <w:rFonts w:ascii="Times New Roman" w:hAnsi="Times New Roman" w:cs="Times New Roman"/>
          <w:sz w:val="24"/>
          <w:szCs w:val="24"/>
        </w:rPr>
        <w:footnoteReference w:id="8"/>
      </w:r>
      <w:r w:rsidR="00746E46" w:rsidRPr="00486567">
        <w:rPr>
          <w:rFonts w:ascii="Times New Roman" w:hAnsi="Times New Roman" w:cs="Times New Roman"/>
          <w:sz w:val="24"/>
          <w:szCs w:val="24"/>
        </w:rPr>
        <w:t>. The accused in fact, has a right to know about the case initiated against him and the details of the evidences.</w:t>
      </w:r>
    </w:p>
    <w:p w:rsidR="0095059F" w:rsidRPr="00486567" w:rsidRDefault="00746E46" w:rsidP="00AE3D06">
      <w:pPr>
        <w:pStyle w:val="ListParagraph"/>
        <w:numPr>
          <w:ilvl w:val="0"/>
          <w:numId w:val="7"/>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Option to discharge him:</w:t>
      </w:r>
    </w:p>
    <w:p w:rsidR="0042118A" w:rsidRPr="00486567" w:rsidRDefault="00746E4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After considering the police report and documents under s.173 i.e, charge sheet</w:t>
      </w:r>
      <w:r w:rsidR="00FE643A" w:rsidRPr="00486567">
        <w:rPr>
          <w:rFonts w:ascii="Times New Roman" w:hAnsi="Times New Roman" w:cs="Times New Roman"/>
          <w:sz w:val="24"/>
          <w:szCs w:val="24"/>
        </w:rPr>
        <w:t>, and also after giving the prosecution and the accused, an opp</w:t>
      </w:r>
      <w:r w:rsidR="0042118A" w:rsidRPr="00486567">
        <w:rPr>
          <w:rFonts w:ascii="Times New Roman" w:hAnsi="Times New Roman" w:cs="Times New Roman"/>
          <w:sz w:val="24"/>
          <w:szCs w:val="24"/>
        </w:rPr>
        <w:t>o</w:t>
      </w:r>
      <w:r w:rsidR="00FE643A" w:rsidRPr="00486567">
        <w:rPr>
          <w:rFonts w:ascii="Times New Roman" w:hAnsi="Times New Roman" w:cs="Times New Roman"/>
          <w:sz w:val="24"/>
          <w:szCs w:val="24"/>
        </w:rPr>
        <w:t xml:space="preserve">rtunity of being heard, if the Magistrate thinks that the allegations against the accused are groundless, he shall discharge the accused and record the </w:t>
      </w:r>
      <w:r w:rsidR="00FE643A" w:rsidRPr="00486567">
        <w:rPr>
          <w:rFonts w:ascii="Times New Roman" w:hAnsi="Times New Roman" w:cs="Times New Roman"/>
          <w:sz w:val="24"/>
          <w:szCs w:val="24"/>
        </w:rPr>
        <w:lastRenderedPageBreak/>
        <w:t>reasons for it as given under s.239.</w:t>
      </w:r>
      <w:r w:rsidR="00FE643A" w:rsidRPr="00486567">
        <w:rPr>
          <w:rFonts w:ascii="Times New Roman" w:hAnsi="Times New Roman" w:cs="Times New Roman"/>
          <w:color w:val="000000"/>
          <w:sz w:val="13"/>
          <w:szCs w:val="13"/>
        </w:rPr>
        <w:t xml:space="preserve"> </w:t>
      </w:r>
      <w:r w:rsidR="00FE643A" w:rsidRPr="00486567">
        <w:rPr>
          <w:rFonts w:ascii="Times New Roman" w:hAnsi="Times New Roman" w:cs="Times New Roman"/>
          <w:sz w:val="24"/>
          <w:szCs w:val="24"/>
        </w:rPr>
        <w:t xml:space="preserve">However, the power to recall the summons used to be exercised on the basis of </w:t>
      </w:r>
      <w:r w:rsidR="00FE643A" w:rsidRPr="00486567">
        <w:rPr>
          <w:rFonts w:ascii="Times New Roman" w:hAnsi="Times New Roman" w:cs="Times New Roman"/>
          <w:bCs/>
          <w:i/>
          <w:iCs/>
          <w:sz w:val="24"/>
          <w:szCs w:val="24"/>
        </w:rPr>
        <w:t>K.M. Mathew v. State of Kerala</w:t>
      </w:r>
      <w:r w:rsidR="00FE643A" w:rsidRPr="00486567">
        <w:rPr>
          <w:rStyle w:val="FootnoteReference"/>
          <w:rFonts w:ascii="Times New Roman" w:hAnsi="Times New Roman" w:cs="Times New Roman"/>
          <w:bCs/>
          <w:i/>
          <w:iCs/>
          <w:sz w:val="24"/>
          <w:szCs w:val="24"/>
        </w:rPr>
        <w:footnoteReference w:id="9"/>
      </w:r>
      <w:r w:rsidR="00FE643A" w:rsidRPr="00486567">
        <w:rPr>
          <w:rFonts w:ascii="Times New Roman" w:hAnsi="Times New Roman" w:cs="Times New Roman"/>
          <w:sz w:val="24"/>
          <w:szCs w:val="24"/>
        </w:rPr>
        <w:t xml:space="preserve"> which was reversed in </w:t>
      </w:r>
      <w:r w:rsidR="00FE643A" w:rsidRPr="00486567">
        <w:rPr>
          <w:rFonts w:ascii="Times New Roman" w:hAnsi="Times New Roman" w:cs="Times New Roman"/>
          <w:bCs/>
          <w:i/>
          <w:iCs/>
          <w:sz w:val="24"/>
          <w:szCs w:val="24"/>
        </w:rPr>
        <w:t>Adalat Prasad v. Rooplal Jindal</w:t>
      </w:r>
      <w:r w:rsidR="00FE643A" w:rsidRPr="00486567">
        <w:rPr>
          <w:rStyle w:val="FootnoteReference"/>
          <w:rFonts w:ascii="Times New Roman" w:hAnsi="Times New Roman" w:cs="Times New Roman"/>
          <w:bCs/>
          <w:i/>
          <w:iCs/>
          <w:sz w:val="24"/>
          <w:szCs w:val="24"/>
        </w:rPr>
        <w:footnoteReference w:id="10"/>
      </w:r>
      <w:r w:rsidR="00FE643A" w:rsidRPr="00486567">
        <w:rPr>
          <w:rFonts w:ascii="Times New Roman" w:hAnsi="Times New Roman" w:cs="Times New Roman"/>
          <w:bCs/>
          <w:i/>
          <w:iCs/>
          <w:sz w:val="24"/>
          <w:szCs w:val="24"/>
        </w:rPr>
        <w:t xml:space="preserve">. </w:t>
      </w:r>
      <w:r w:rsidR="00FE643A" w:rsidRPr="00486567">
        <w:rPr>
          <w:rFonts w:ascii="Times New Roman" w:hAnsi="Times New Roman" w:cs="Times New Roman"/>
          <w:sz w:val="24"/>
          <w:szCs w:val="24"/>
        </w:rPr>
        <w:t xml:space="preserve">This has necessitated the parties’ filing petitions under Section 482 for quashment. In </w:t>
      </w:r>
      <w:r w:rsidR="00FE643A" w:rsidRPr="00486567">
        <w:rPr>
          <w:rFonts w:ascii="Times New Roman" w:hAnsi="Times New Roman" w:cs="Times New Roman"/>
          <w:bCs/>
          <w:i/>
          <w:iCs/>
          <w:sz w:val="24"/>
          <w:szCs w:val="24"/>
        </w:rPr>
        <w:t>SubramaniumSethuraman v. State of Maharashtra</w:t>
      </w:r>
      <w:r w:rsidR="00FE643A" w:rsidRPr="00486567">
        <w:rPr>
          <w:rStyle w:val="FootnoteReference"/>
          <w:rFonts w:ascii="Times New Roman" w:hAnsi="Times New Roman" w:cs="Times New Roman"/>
          <w:bCs/>
          <w:i/>
          <w:iCs/>
          <w:sz w:val="24"/>
          <w:szCs w:val="24"/>
        </w:rPr>
        <w:footnoteReference w:id="11"/>
      </w:r>
      <w:r w:rsidR="00FE643A" w:rsidRPr="00486567">
        <w:rPr>
          <w:rFonts w:ascii="Times New Roman" w:hAnsi="Times New Roman" w:cs="Times New Roman"/>
          <w:sz w:val="24"/>
          <w:szCs w:val="24"/>
        </w:rPr>
        <w:t xml:space="preserve">, the Supreme Court held that recall of summons is permissible before recording the plea of the accused under Section 252. </w:t>
      </w:r>
      <w:r w:rsidR="0042118A" w:rsidRPr="00486567">
        <w:rPr>
          <w:rFonts w:ascii="Times New Roman" w:hAnsi="Times New Roman" w:cs="Times New Roman"/>
          <w:sz w:val="24"/>
          <w:szCs w:val="24"/>
        </w:rPr>
        <w:t>‘Opportunity of being heard’ would mean t</w:t>
      </w:r>
      <w:r w:rsidR="00135CC8" w:rsidRPr="00486567">
        <w:rPr>
          <w:rFonts w:ascii="Times New Roman" w:hAnsi="Times New Roman" w:cs="Times New Roman"/>
          <w:sz w:val="24"/>
          <w:szCs w:val="24"/>
        </w:rPr>
        <w:t>he opportunity of addressing the</w:t>
      </w:r>
      <w:r w:rsidR="0042118A" w:rsidRPr="00486567">
        <w:rPr>
          <w:rFonts w:ascii="Times New Roman" w:hAnsi="Times New Roman" w:cs="Times New Roman"/>
          <w:sz w:val="24"/>
          <w:szCs w:val="24"/>
        </w:rPr>
        <w:t xml:space="preserve"> argu</w:t>
      </w:r>
      <w:r w:rsidR="00135CC8" w:rsidRPr="00486567">
        <w:rPr>
          <w:rFonts w:ascii="Times New Roman" w:hAnsi="Times New Roman" w:cs="Times New Roman"/>
          <w:sz w:val="24"/>
          <w:szCs w:val="24"/>
        </w:rPr>
        <w:t>m</w:t>
      </w:r>
      <w:r w:rsidR="0042118A" w:rsidRPr="00486567">
        <w:rPr>
          <w:rFonts w:ascii="Times New Roman" w:hAnsi="Times New Roman" w:cs="Times New Roman"/>
          <w:sz w:val="24"/>
          <w:szCs w:val="24"/>
        </w:rPr>
        <w:t xml:space="preserve">ents and </w:t>
      </w:r>
      <w:r w:rsidR="00135CC8" w:rsidRPr="00486567">
        <w:rPr>
          <w:rFonts w:ascii="Times New Roman" w:hAnsi="Times New Roman" w:cs="Times New Roman"/>
          <w:sz w:val="24"/>
          <w:szCs w:val="24"/>
        </w:rPr>
        <w:t>not the exaination of witnesses and a discharge is different from acquittal</w:t>
      </w:r>
      <w:r w:rsidR="00135CC8" w:rsidRPr="00486567">
        <w:rPr>
          <w:rStyle w:val="FootnoteReference"/>
          <w:rFonts w:ascii="Times New Roman" w:hAnsi="Times New Roman" w:cs="Times New Roman"/>
          <w:sz w:val="24"/>
          <w:szCs w:val="24"/>
        </w:rPr>
        <w:footnoteReference w:id="12"/>
      </w:r>
      <w:r w:rsidR="00135CC8" w:rsidRPr="00486567">
        <w:rPr>
          <w:rFonts w:ascii="Times New Roman" w:hAnsi="Times New Roman" w:cs="Times New Roman"/>
          <w:sz w:val="24"/>
          <w:szCs w:val="24"/>
        </w:rPr>
        <w:t>.</w:t>
      </w:r>
    </w:p>
    <w:p w:rsidR="00746E46" w:rsidRPr="00486567" w:rsidRDefault="0042118A" w:rsidP="00AE3D06">
      <w:pPr>
        <w:pStyle w:val="ListParagraph"/>
        <w:numPr>
          <w:ilvl w:val="0"/>
          <w:numId w:val="7"/>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Framing of charges:</w:t>
      </w:r>
    </w:p>
    <w:p w:rsidR="0042118A" w:rsidRPr="00486567" w:rsidRDefault="0042118A"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Only, if after considering the documents and the examination of the accused and hearing the accused, the Magistrate thinks that there is ground for presuming that he</w:t>
      </w:r>
      <w:r w:rsidR="00264501">
        <w:rPr>
          <w:rFonts w:ascii="Times New Roman" w:hAnsi="Times New Roman" w:cs="Times New Roman"/>
          <w:sz w:val="24"/>
          <w:szCs w:val="24"/>
        </w:rPr>
        <w:t xml:space="preserve"> accused has committed an offenc</w:t>
      </w:r>
      <w:r w:rsidRPr="00486567">
        <w:rPr>
          <w:rFonts w:ascii="Times New Roman" w:hAnsi="Times New Roman" w:cs="Times New Roman"/>
          <w:sz w:val="24"/>
          <w:szCs w:val="24"/>
        </w:rPr>
        <w:t>e triable under this chap</w:t>
      </w:r>
      <w:r w:rsidR="00264501">
        <w:rPr>
          <w:rFonts w:ascii="Times New Roman" w:hAnsi="Times New Roman" w:cs="Times New Roman"/>
          <w:sz w:val="24"/>
          <w:szCs w:val="24"/>
        </w:rPr>
        <w:t>ter which would come under the M</w:t>
      </w:r>
      <w:r w:rsidRPr="00486567">
        <w:rPr>
          <w:rFonts w:ascii="Times New Roman" w:hAnsi="Times New Roman" w:cs="Times New Roman"/>
          <w:sz w:val="24"/>
          <w:szCs w:val="24"/>
        </w:rPr>
        <w:t>agistrate’s competence and in his opinion could be adequately punished by him, he has to frame in writing a charge against the accused under s.240 of the Act. S. 173 consists of the documents which are not ad</w:t>
      </w:r>
      <w:r w:rsidR="00264501">
        <w:rPr>
          <w:rFonts w:ascii="Times New Roman" w:hAnsi="Times New Roman" w:cs="Times New Roman"/>
          <w:sz w:val="24"/>
          <w:szCs w:val="24"/>
        </w:rPr>
        <w:t>m</w:t>
      </w:r>
      <w:r w:rsidRPr="00486567">
        <w:rPr>
          <w:rFonts w:ascii="Times New Roman" w:hAnsi="Times New Roman" w:cs="Times New Roman"/>
          <w:sz w:val="24"/>
          <w:szCs w:val="24"/>
        </w:rPr>
        <w:t>issible as evidences but can be used for limited purposes as under s.162. Examination of the accu</w:t>
      </w:r>
      <w:r w:rsidR="00264501">
        <w:rPr>
          <w:rFonts w:ascii="Times New Roman" w:hAnsi="Times New Roman" w:cs="Times New Roman"/>
          <w:sz w:val="24"/>
          <w:szCs w:val="24"/>
        </w:rPr>
        <w:t xml:space="preserve">sed at this stage, </w:t>
      </w:r>
      <w:r w:rsidRPr="00486567">
        <w:rPr>
          <w:rFonts w:ascii="Times New Roman" w:hAnsi="Times New Roman" w:cs="Times New Roman"/>
          <w:sz w:val="24"/>
          <w:szCs w:val="24"/>
        </w:rPr>
        <w:t>can only take place with referrence to those documents</w:t>
      </w:r>
      <w:r w:rsidR="00135CC8" w:rsidRPr="00486567">
        <w:rPr>
          <w:rFonts w:ascii="Times New Roman" w:hAnsi="Times New Roman" w:cs="Times New Roman"/>
          <w:sz w:val="24"/>
          <w:szCs w:val="24"/>
        </w:rPr>
        <w:t xml:space="preserve"> and which would also render him an opportunity to explain his circumstances before framing charges</w:t>
      </w:r>
      <w:r w:rsidRPr="00486567">
        <w:rPr>
          <w:rStyle w:val="FootnoteReference"/>
          <w:rFonts w:ascii="Times New Roman" w:hAnsi="Times New Roman" w:cs="Times New Roman"/>
          <w:sz w:val="24"/>
          <w:szCs w:val="24"/>
        </w:rPr>
        <w:footnoteReference w:id="13"/>
      </w:r>
      <w:r w:rsidRPr="00486567">
        <w:rPr>
          <w:rFonts w:ascii="Times New Roman" w:hAnsi="Times New Roman" w:cs="Times New Roman"/>
          <w:sz w:val="24"/>
          <w:szCs w:val="24"/>
        </w:rPr>
        <w:t>.</w:t>
      </w:r>
      <w:r w:rsidR="00135CC8" w:rsidRPr="00486567">
        <w:rPr>
          <w:rFonts w:ascii="Times New Roman" w:hAnsi="Times New Roman" w:cs="Times New Roman"/>
          <w:sz w:val="24"/>
          <w:szCs w:val="24"/>
        </w:rPr>
        <w:t xml:space="preserve"> Once charges are framed, no question of dropping it, either the accused has to be acquitted or convicted.</w:t>
      </w:r>
    </w:p>
    <w:p w:rsidR="0042118A" w:rsidRPr="00486567" w:rsidRDefault="005145E1" w:rsidP="00AE3D06">
      <w:pPr>
        <w:pStyle w:val="ListParagraph"/>
        <w:numPr>
          <w:ilvl w:val="0"/>
          <w:numId w:val="7"/>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Explanation of charge to the accused:</w:t>
      </w:r>
    </w:p>
    <w:p w:rsidR="0042118A" w:rsidRPr="00486567" w:rsidRDefault="005145E1"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After the charges are framed, it should be read and explained to the accused and he should be asked whether he pleads guilty or claims trial as under s. 240(1). It should be read to the accused clearly in a manner understandable by him and the Magistrate should ensure that</w:t>
      </w:r>
      <w:r w:rsidRPr="00486567">
        <w:rPr>
          <w:rStyle w:val="FootnoteReference"/>
          <w:rFonts w:ascii="Times New Roman" w:hAnsi="Times New Roman" w:cs="Times New Roman"/>
          <w:sz w:val="24"/>
          <w:szCs w:val="24"/>
        </w:rPr>
        <w:footnoteReference w:id="14"/>
      </w:r>
      <w:r w:rsidRPr="00486567">
        <w:rPr>
          <w:rFonts w:ascii="Times New Roman" w:hAnsi="Times New Roman" w:cs="Times New Roman"/>
          <w:sz w:val="24"/>
          <w:szCs w:val="24"/>
        </w:rPr>
        <w:t>. If he has been made aware of the offences, a mistake in charges while taking cognizance will n</w:t>
      </w:r>
      <w:r w:rsidR="00264501">
        <w:rPr>
          <w:rFonts w:ascii="Times New Roman" w:hAnsi="Times New Roman" w:cs="Times New Roman"/>
          <w:sz w:val="24"/>
          <w:szCs w:val="24"/>
        </w:rPr>
        <w:t>o</w:t>
      </w:r>
      <w:r w:rsidRPr="00486567">
        <w:rPr>
          <w:rFonts w:ascii="Times New Roman" w:hAnsi="Times New Roman" w:cs="Times New Roman"/>
          <w:sz w:val="24"/>
          <w:szCs w:val="24"/>
        </w:rPr>
        <w:t>t prejudice the accused</w:t>
      </w:r>
      <w:r w:rsidRPr="00486567">
        <w:rPr>
          <w:rStyle w:val="FootnoteReference"/>
          <w:rFonts w:ascii="Times New Roman" w:hAnsi="Times New Roman" w:cs="Times New Roman"/>
          <w:sz w:val="24"/>
          <w:szCs w:val="24"/>
        </w:rPr>
        <w:footnoteReference w:id="15"/>
      </w:r>
      <w:r w:rsidRPr="00486567">
        <w:rPr>
          <w:rFonts w:ascii="Times New Roman" w:hAnsi="Times New Roman" w:cs="Times New Roman"/>
          <w:sz w:val="24"/>
          <w:szCs w:val="24"/>
        </w:rPr>
        <w:t>.</w:t>
      </w:r>
    </w:p>
    <w:p w:rsidR="006020C2" w:rsidRPr="00486567" w:rsidRDefault="006020C2" w:rsidP="00AE3D06">
      <w:pPr>
        <w:pStyle w:val="ListParagraph"/>
        <w:numPr>
          <w:ilvl w:val="0"/>
          <w:numId w:val="8"/>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lastRenderedPageBreak/>
        <w:t>Conviction on plea of guilty:</w:t>
      </w:r>
    </w:p>
    <w:p w:rsidR="006020C2" w:rsidRPr="00486567" w:rsidRDefault="006020C2"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Under S.241, conviction in such a case on the plea of guilty must be recorded else, it is not sustainable</w:t>
      </w:r>
      <w:r w:rsidRPr="00486567">
        <w:rPr>
          <w:rStyle w:val="FootnoteReference"/>
          <w:rFonts w:ascii="Times New Roman" w:hAnsi="Times New Roman" w:cs="Times New Roman"/>
          <w:sz w:val="24"/>
          <w:szCs w:val="24"/>
        </w:rPr>
        <w:footnoteReference w:id="16"/>
      </w:r>
      <w:r w:rsidRPr="00486567">
        <w:rPr>
          <w:rFonts w:ascii="Times New Roman" w:hAnsi="Times New Roman" w:cs="Times New Roman"/>
          <w:sz w:val="24"/>
          <w:szCs w:val="24"/>
        </w:rPr>
        <w:t>.If the facts alleged against the accused do not constitute a crime, a plea of guilty under such circumstances is only admission of facts and not admission of guilt</w:t>
      </w:r>
      <w:r w:rsidRPr="00486567">
        <w:rPr>
          <w:rStyle w:val="FootnoteReference"/>
          <w:rFonts w:ascii="Times New Roman" w:hAnsi="Times New Roman" w:cs="Times New Roman"/>
          <w:sz w:val="24"/>
          <w:szCs w:val="24"/>
        </w:rPr>
        <w:footnoteReference w:id="17"/>
      </w:r>
      <w:r w:rsidRPr="00486567">
        <w:rPr>
          <w:rFonts w:ascii="Times New Roman" w:hAnsi="Times New Roman" w:cs="Times New Roman"/>
          <w:sz w:val="24"/>
          <w:szCs w:val="24"/>
        </w:rPr>
        <w:t>. If the accused is convicted on his plea of guilty, the Magistrate shall, unless he proceeds in accordance with the provisions of s.325 or s.360, hear the accused on the question of sentence and then pass sentence on him according to law</w:t>
      </w:r>
      <w:r w:rsidRPr="00486567">
        <w:rPr>
          <w:rStyle w:val="FootnoteReference"/>
          <w:rFonts w:ascii="Times New Roman" w:hAnsi="Times New Roman" w:cs="Times New Roman"/>
          <w:sz w:val="24"/>
          <w:szCs w:val="24"/>
        </w:rPr>
        <w:footnoteReference w:id="18"/>
      </w:r>
      <w:r w:rsidRPr="00486567">
        <w:rPr>
          <w:rFonts w:ascii="Times New Roman" w:hAnsi="Times New Roman" w:cs="Times New Roman"/>
          <w:sz w:val="24"/>
          <w:szCs w:val="24"/>
        </w:rPr>
        <w:t>.</w:t>
      </w:r>
    </w:p>
    <w:p w:rsidR="006020C2" w:rsidRPr="00486567" w:rsidRDefault="006020C2" w:rsidP="00AE3D06">
      <w:pPr>
        <w:pStyle w:val="ListParagraph"/>
        <w:numPr>
          <w:ilvl w:val="0"/>
          <w:numId w:val="8"/>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Fixing date for examination of witnesses:</w:t>
      </w:r>
    </w:p>
    <w:p w:rsidR="006020C2" w:rsidRPr="00486567" w:rsidRDefault="006020C2"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After the framing of charges, the accused is a given a chance to plead and if he is not able to get a </w:t>
      </w:r>
      <w:r w:rsidR="00A46F5D" w:rsidRPr="00486567">
        <w:rPr>
          <w:rFonts w:ascii="Times New Roman" w:hAnsi="Times New Roman" w:cs="Times New Roman"/>
          <w:sz w:val="24"/>
          <w:szCs w:val="24"/>
        </w:rPr>
        <w:t>counsel, it is the duty of the M</w:t>
      </w:r>
      <w:r w:rsidRPr="00486567">
        <w:rPr>
          <w:rFonts w:ascii="Times New Roman" w:hAnsi="Times New Roman" w:cs="Times New Roman"/>
          <w:sz w:val="24"/>
          <w:szCs w:val="24"/>
        </w:rPr>
        <w:t>agistrate to arrange for a free legal assistance and non-performance of it would be against the fundamental rights of the accused under Art.21</w:t>
      </w:r>
      <w:r w:rsidRPr="00486567">
        <w:rPr>
          <w:rStyle w:val="FootnoteReference"/>
          <w:rFonts w:ascii="Times New Roman" w:hAnsi="Times New Roman" w:cs="Times New Roman"/>
          <w:sz w:val="24"/>
          <w:szCs w:val="24"/>
        </w:rPr>
        <w:footnoteReference w:id="19"/>
      </w:r>
      <w:r w:rsidRPr="00486567">
        <w:rPr>
          <w:rFonts w:ascii="Times New Roman" w:hAnsi="Times New Roman" w:cs="Times New Roman"/>
          <w:sz w:val="24"/>
          <w:szCs w:val="24"/>
        </w:rPr>
        <w:t>.</w:t>
      </w:r>
      <w:r w:rsidR="00A46F5D" w:rsidRPr="00486567">
        <w:rPr>
          <w:rFonts w:ascii="Times New Roman" w:hAnsi="Times New Roman" w:cs="Times New Roman"/>
          <w:sz w:val="24"/>
          <w:szCs w:val="24"/>
        </w:rPr>
        <w:t xml:space="preserve"> If the accused refuses to plead or does not plead, or claims to be tried or the Magistrate does not convict the accused under s.241, it is the duty of the Magistrate to fix a date for the examination of witness as provided under s.242(1). The Magistrate may, on the application of the prosecution, issue a summons to any of its witnesses asking him to attend or to produce any document or thing under clause 2 of same provision. But the evidences cannot be recorded on the same day which would be illegal. The Magistrate has the sole discretion to take decisions under ss.241 and 242. If the prosecution had made an application for issue of summons to its witnesses either under Section242(2) or 254(2), it is the duty of the court to issue summon to the prosecution witness and to secure the witnesses by exercising all the powers given to it under the code</w:t>
      </w:r>
      <w:r w:rsidR="00A46F5D" w:rsidRPr="00486567">
        <w:rPr>
          <w:rStyle w:val="FootnoteReference"/>
          <w:rFonts w:ascii="Times New Roman" w:hAnsi="Times New Roman" w:cs="Times New Roman"/>
          <w:sz w:val="24"/>
          <w:szCs w:val="24"/>
        </w:rPr>
        <w:footnoteReference w:id="20"/>
      </w:r>
      <w:r w:rsidR="00A46F5D" w:rsidRPr="00486567">
        <w:rPr>
          <w:rFonts w:ascii="Times New Roman" w:hAnsi="Times New Roman" w:cs="Times New Roman"/>
          <w:sz w:val="24"/>
          <w:szCs w:val="24"/>
        </w:rPr>
        <w:t>.</w:t>
      </w:r>
    </w:p>
    <w:p w:rsidR="006020C2" w:rsidRPr="00264501" w:rsidRDefault="00A46F5D" w:rsidP="00AE3D06">
      <w:pPr>
        <w:pStyle w:val="ListParagraph"/>
        <w:numPr>
          <w:ilvl w:val="0"/>
          <w:numId w:val="6"/>
        </w:numPr>
        <w:tabs>
          <w:tab w:val="left" w:pos="7335"/>
        </w:tabs>
        <w:spacing w:line="360" w:lineRule="auto"/>
        <w:jc w:val="both"/>
        <w:rPr>
          <w:rFonts w:ascii="Times New Roman" w:hAnsi="Times New Roman" w:cs="Times New Roman"/>
          <w:b/>
          <w:sz w:val="24"/>
          <w:szCs w:val="24"/>
        </w:rPr>
      </w:pPr>
      <w:r w:rsidRPr="00264501">
        <w:rPr>
          <w:rFonts w:ascii="Times New Roman" w:hAnsi="Times New Roman" w:cs="Times New Roman"/>
          <w:b/>
          <w:sz w:val="24"/>
          <w:szCs w:val="24"/>
        </w:rPr>
        <w:t>Evidence for prosecution:</w:t>
      </w:r>
    </w:p>
    <w:p w:rsidR="00A46F5D" w:rsidRPr="00486567" w:rsidRDefault="00A46F5D"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After the initial steps that need to be taken before the proceeding</w:t>
      </w:r>
      <w:r w:rsidR="00264501">
        <w:rPr>
          <w:rFonts w:ascii="Times New Roman" w:hAnsi="Times New Roman" w:cs="Times New Roman"/>
          <w:sz w:val="24"/>
          <w:szCs w:val="24"/>
        </w:rPr>
        <w:t>,</w:t>
      </w:r>
      <w:r w:rsidRPr="00486567">
        <w:rPr>
          <w:rFonts w:ascii="Times New Roman" w:hAnsi="Times New Roman" w:cs="Times New Roman"/>
          <w:sz w:val="24"/>
          <w:szCs w:val="24"/>
        </w:rPr>
        <w:t xml:space="preserve"> had been completed, the Magistrate will record evidences on the fixed date for examination of witnesses</w:t>
      </w:r>
      <w:r w:rsidR="00BA17F6" w:rsidRPr="00486567">
        <w:rPr>
          <w:rFonts w:ascii="Times New Roman" w:hAnsi="Times New Roman" w:cs="Times New Roman"/>
          <w:sz w:val="24"/>
          <w:szCs w:val="24"/>
        </w:rPr>
        <w:t xml:space="preserve">, and the process begins with the prosecution side (examination of witnesses in support of prosecution) as under </w:t>
      </w:r>
      <w:r w:rsidR="00BA17F6" w:rsidRPr="00486567">
        <w:rPr>
          <w:rFonts w:ascii="Times New Roman" w:hAnsi="Times New Roman" w:cs="Times New Roman"/>
          <w:sz w:val="24"/>
          <w:szCs w:val="24"/>
        </w:rPr>
        <w:lastRenderedPageBreak/>
        <w:t>s.242. The prosecution need not examine all witnesses interrogated by the investigating officer during investigation</w:t>
      </w:r>
      <w:r w:rsidR="00BA17F6" w:rsidRPr="00486567">
        <w:rPr>
          <w:rStyle w:val="FootnoteReference"/>
          <w:rFonts w:ascii="Times New Roman" w:hAnsi="Times New Roman" w:cs="Times New Roman"/>
          <w:sz w:val="24"/>
          <w:szCs w:val="24"/>
        </w:rPr>
        <w:footnoteReference w:id="21"/>
      </w:r>
      <w:r w:rsidR="00BA17F6" w:rsidRPr="00486567">
        <w:rPr>
          <w:rFonts w:ascii="Times New Roman" w:hAnsi="Times New Roman" w:cs="Times New Roman"/>
          <w:sz w:val="24"/>
          <w:szCs w:val="24"/>
        </w:rPr>
        <w:t xml:space="preserve">. Provided that the Magistrate, on his discretion can permit for cross examination to be deferred until any other witness or witnesses have been examined </w:t>
      </w:r>
      <w:r w:rsidR="00EC5D66" w:rsidRPr="00486567">
        <w:rPr>
          <w:rFonts w:ascii="Times New Roman" w:hAnsi="Times New Roman" w:cs="Times New Roman"/>
          <w:sz w:val="24"/>
          <w:szCs w:val="24"/>
        </w:rPr>
        <w:t xml:space="preserve">or recall for cross, </w:t>
      </w:r>
      <w:r w:rsidR="00BA17F6" w:rsidRPr="00486567">
        <w:rPr>
          <w:rFonts w:ascii="Times New Roman" w:hAnsi="Times New Roman" w:cs="Times New Roman"/>
          <w:sz w:val="24"/>
          <w:szCs w:val="24"/>
        </w:rPr>
        <w:t>which is based on well established principle. But the provision lead to delay, expense a</w:t>
      </w:r>
      <w:r w:rsidR="00EC5D66" w:rsidRPr="00486567">
        <w:rPr>
          <w:rFonts w:ascii="Times New Roman" w:hAnsi="Times New Roman" w:cs="Times New Roman"/>
          <w:sz w:val="24"/>
          <w:szCs w:val="24"/>
        </w:rPr>
        <w:t>n</w:t>
      </w:r>
      <w:r w:rsidR="00BA17F6" w:rsidRPr="00486567">
        <w:rPr>
          <w:rFonts w:ascii="Times New Roman" w:hAnsi="Times New Roman" w:cs="Times New Roman"/>
          <w:sz w:val="24"/>
          <w:szCs w:val="24"/>
        </w:rPr>
        <w:t>d inconvenience to witnesses.</w:t>
      </w:r>
    </w:p>
    <w:p w:rsidR="00EC5D66" w:rsidRPr="00486567" w:rsidRDefault="00EC5D6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s. 242(2) gives a discretion to the Magistrate to issue summons to the prosecution witnesses on the application of the prosecution, and s.242(3) casts a duty on the Magistrate to take all such evidence as may be produced by the prosecution on the date fixed. The Magistrate has to take all witnesses and he cannot acquit the accused </w:t>
      </w:r>
      <w:r w:rsidR="00233ECA" w:rsidRPr="00486567">
        <w:rPr>
          <w:rFonts w:ascii="Times New Roman" w:hAnsi="Times New Roman" w:cs="Times New Roman"/>
          <w:sz w:val="24"/>
          <w:szCs w:val="24"/>
        </w:rPr>
        <w:t>after taking only a part of prosecution witness</w:t>
      </w:r>
      <w:r w:rsidR="00233ECA" w:rsidRPr="00486567">
        <w:rPr>
          <w:rStyle w:val="FootnoteReference"/>
          <w:rFonts w:ascii="Times New Roman" w:hAnsi="Times New Roman" w:cs="Times New Roman"/>
          <w:sz w:val="24"/>
          <w:szCs w:val="24"/>
        </w:rPr>
        <w:footnoteReference w:id="22"/>
      </w:r>
      <w:r w:rsidR="00233ECA" w:rsidRPr="00486567">
        <w:rPr>
          <w:rFonts w:ascii="Times New Roman" w:hAnsi="Times New Roman" w:cs="Times New Roman"/>
          <w:sz w:val="24"/>
          <w:szCs w:val="24"/>
        </w:rPr>
        <w:t>.</w:t>
      </w:r>
    </w:p>
    <w:p w:rsidR="00FF4ACC" w:rsidRPr="00486567" w:rsidRDefault="00FF4ACC"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The evidence of each witness, during examination is to be recorded by the Magistrate in writing or by his dictation in open court or by dictation and under his superintendence by an officer appointed by the court, when he is not physically well or other incapacity as under s.275 (1). The language in which the evidence is to be recorded, the manner of reading it to the accused , the manner of interpretation are all given under ss.277,278 and 279 and other assisting provisions are also given under this Act. </w:t>
      </w:r>
      <w:r w:rsidR="007924F3" w:rsidRPr="00486567">
        <w:rPr>
          <w:rFonts w:ascii="Times New Roman" w:hAnsi="Times New Roman" w:cs="Times New Roman"/>
          <w:sz w:val="24"/>
          <w:szCs w:val="24"/>
        </w:rPr>
        <w:t xml:space="preserve">S.275(3) says </w:t>
      </w:r>
      <w:r w:rsidRPr="00486567">
        <w:rPr>
          <w:rFonts w:ascii="Times New Roman" w:hAnsi="Times New Roman" w:cs="Times New Roman"/>
          <w:sz w:val="24"/>
          <w:szCs w:val="24"/>
        </w:rPr>
        <w:t>Magistrate in his discretion, can record such evidences in a manner of his choice, mostly narrative but might be in form of questions also.</w:t>
      </w:r>
      <w:r w:rsidR="007924F3" w:rsidRPr="00486567">
        <w:rPr>
          <w:rFonts w:ascii="Times New Roman" w:hAnsi="Times New Roman" w:cs="Times New Roman"/>
          <w:sz w:val="24"/>
          <w:szCs w:val="24"/>
        </w:rPr>
        <w:t xml:space="preserve"> The evidence shall also be signed by the Magistrate which aLso forms an essential part of the record</w:t>
      </w:r>
      <w:r w:rsidR="007924F3" w:rsidRPr="00486567">
        <w:rPr>
          <w:rStyle w:val="FootnoteReference"/>
          <w:rFonts w:ascii="Times New Roman" w:hAnsi="Times New Roman" w:cs="Times New Roman"/>
          <w:sz w:val="24"/>
          <w:szCs w:val="24"/>
        </w:rPr>
        <w:footnoteReference w:id="23"/>
      </w:r>
      <w:r w:rsidR="007924F3" w:rsidRPr="00486567">
        <w:rPr>
          <w:rFonts w:ascii="Times New Roman" w:hAnsi="Times New Roman" w:cs="Times New Roman"/>
          <w:sz w:val="24"/>
          <w:szCs w:val="24"/>
        </w:rPr>
        <w:t>.</w:t>
      </w:r>
    </w:p>
    <w:p w:rsidR="007924F3" w:rsidRPr="00486567" w:rsidRDefault="007924F3" w:rsidP="00AE3D06">
      <w:pPr>
        <w:tabs>
          <w:tab w:val="left" w:pos="7335"/>
        </w:tabs>
        <w:spacing w:line="360" w:lineRule="auto"/>
        <w:jc w:val="both"/>
        <w:rPr>
          <w:rFonts w:ascii="Times New Roman" w:hAnsi="Times New Roman" w:cs="Times New Roman"/>
          <w:i/>
          <w:sz w:val="24"/>
          <w:szCs w:val="24"/>
        </w:rPr>
      </w:pPr>
      <w:r w:rsidRPr="00486567">
        <w:rPr>
          <w:rFonts w:ascii="Times New Roman" w:hAnsi="Times New Roman" w:cs="Times New Roman"/>
          <w:i/>
          <w:sz w:val="24"/>
          <w:szCs w:val="24"/>
        </w:rPr>
        <w:t>Steps to follow prosecution evidence:</w:t>
      </w:r>
      <w:r w:rsidRPr="00486567">
        <w:rPr>
          <w:rFonts w:ascii="Times New Roman" w:hAnsi="Times New Roman" w:cs="Times New Roman"/>
          <w:sz w:val="24"/>
          <w:szCs w:val="24"/>
        </w:rPr>
        <w:t>After the prosecution evidence has been recorded, it should be followed by two important steps:</w:t>
      </w:r>
    </w:p>
    <w:p w:rsidR="007924F3" w:rsidRPr="00486567" w:rsidRDefault="007924F3" w:rsidP="00AE3D06">
      <w:pPr>
        <w:pStyle w:val="ListParagraph"/>
        <w:numPr>
          <w:ilvl w:val="0"/>
          <w:numId w:val="9"/>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Oral arguments and memorandum of arguments on behalf of the prosecution under s.314</w:t>
      </w:r>
    </w:p>
    <w:p w:rsidR="007924F3" w:rsidRPr="00486567" w:rsidRDefault="007924F3" w:rsidP="00AE3D06">
      <w:pPr>
        <w:pStyle w:val="ListParagraph"/>
        <w:numPr>
          <w:ilvl w:val="0"/>
          <w:numId w:val="9"/>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Examination of accused under s.313 (1)(b)</w:t>
      </w:r>
    </w:p>
    <w:p w:rsidR="007924F3" w:rsidRPr="00486567" w:rsidRDefault="007924F3"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procedure followed in the trial in sessions, will be adopted here.</w:t>
      </w:r>
    </w:p>
    <w:p w:rsidR="007924F3" w:rsidRPr="00AE3D06" w:rsidRDefault="007924F3" w:rsidP="00AE3D06">
      <w:pPr>
        <w:pStyle w:val="ListParagraph"/>
        <w:numPr>
          <w:ilvl w:val="0"/>
          <w:numId w:val="6"/>
        </w:numPr>
        <w:tabs>
          <w:tab w:val="left" w:pos="7335"/>
        </w:tabs>
        <w:spacing w:line="360" w:lineRule="auto"/>
        <w:jc w:val="both"/>
        <w:rPr>
          <w:rFonts w:ascii="Times New Roman" w:hAnsi="Times New Roman" w:cs="Times New Roman"/>
          <w:b/>
          <w:sz w:val="24"/>
          <w:szCs w:val="24"/>
        </w:rPr>
      </w:pPr>
      <w:r w:rsidRPr="00AE3D06">
        <w:rPr>
          <w:rFonts w:ascii="Times New Roman" w:hAnsi="Times New Roman" w:cs="Times New Roman"/>
          <w:b/>
          <w:sz w:val="24"/>
          <w:szCs w:val="24"/>
        </w:rPr>
        <w:t>Evidence for the defence:</w:t>
      </w:r>
    </w:p>
    <w:p w:rsidR="004A195C" w:rsidRPr="00486567" w:rsidRDefault="007924F3"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lastRenderedPageBreak/>
        <w:t xml:space="preserve">Following the prosecution evidence, now the accused is given the </w:t>
      </w:r>
      <w:r w:rsidR="004A195C" w:rsidRPr="00486567">
        <w:rPr>
          <w:rFonts w:ascii="Times New Roman" w:hAnsi="Times New Roman" w:cs="Times New Roman"/>
          <w:sz w:val="24"/>
          <w:szCs w:val="24"/>
        </w:rPr>
        <w:t>opportunity to give his defence as under s.243 (1).</w:t>
      </w:r>
    </w:p>
    <w:p w:rsidR="007924F3" w:rsidRPr="00486567" w:rsidRDefault="004A195C" w:rsidP="00AE3D06">
      <w:pPr>
        <w:pStyle w:val="ListParagraph"/>
        <w:numPr>
          <w:ilvl w:val="0"/>
          <w:numId w:val="17"/>
        </w:num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Examination of witnesses:</w:t>
      </w:r>
    </w:p>
    <w:p w:rsidR="005A7AF3" w:rsidRPr="00486567" w:rsidRDefault="004A195C"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accused now be called upon to prod</w:t>
      </w:r>
      <w:r w:rsidR="00AE3D06">
        <w:rPr>
          <w:rFonts w:ascii="Times New Roman" w:hAnsi="Times New Roman" w:cs="Times New Roman"/>
          <w:sz w:val="24"/>
          <w:szCs w:val="24"/>
        </w:rPr>
        <w:t>uc</w:t>
      </w:r>
      <w:r w:rsidRPr="00486567">
        <w:rPr>
          <w:rFonts w:ascii="Times New Roman" w:hAnsi="Times New Roman" w:cs="Times New Roman"/>
          <w:sz w:val="24"/>
          <w:szCs w:val="24"/>
        </w:rPr>
        <w:t>e his evidence and if he desires, the Magistrate has to issue process</w:t>
      </w:r>
      <w:r w:rsidR="005A7AF3" w:rsidRPr="00486567">
        <w:rPr>
          <w:rFonts w:ascii="Times New Roman" w:hAnsi="Times New Roman" w:cs="Times New Roman"/>
          <w:sz w:val="24"/>
          <w:szCs w:val="24"/>
        </w:rPr>
        <w:t xml:space="preserve"> (summons)</w:t>
      </w:r>
      <w:r w:rsidRPr="00486567">
        <w:rPr>
          <w:rFonts w:ascii="Times New Roman" w:hAnsi="Times New Roman" w:cs="Times New Roman"/>
          <w:sz w:val="24"/>
          <w:szCs w:val="24"/>
        </w:rPr>
        <w:t xml:space="preserve"> for compelling the attendance of any witnesses for examination or cross examination or production of document or other thing</w:t>
      </w:r>
      <w:r w:rsidRPr="00486567">
        <w:rPr>
          <w:rStyle w:val="FootnoteReference"/>
          <w:rFonts w:ascii="Times New Roman" w:hAnsi="Times New Roman" w:cs="Times New Roman"/>
          <w:sz w:val="24"/>
          <w:szCs w:val="24"/>
        </w:rPr>
        <w:footnoteReference w:id="24"/>
      </w:r>
      <w:r w:rsidRPr="00486567">
        <w:rPr>
          <w:rFonts w:ascii="Times New Roman" w:hAnsi="Times New Roman" w:cs="Times New Roman"/>
          <w:sz w:val="24"/>
          <w:szCs w:val="24"/>
        </w:rPr>
        <w:t xml:space="preserve"> provided no compulsion is sought when the accused had already done it </w:t>
      </w:r>
      <w:r w:rsidR="005A7AF3" w:rsidRPr="00486567">
        <w:rPr>
          <w:rFonts w:ascii="Times New Roman" w:hAnsi="Times New Roman" w:cs="Times New Roman"/>
          <w:sz w:val="24"/>
          <w:szCs w:val="24"/>
        </w:rPr>
        <w:t>as unless the Magistrate thinks it is necessary for the ends of justice, under s.243(2)</w:t>
      </w:r>
      <w:r w:rsidRPr="00486567">
        <w:rPr>
          <w:rFonts w:ascii="Times New Roman" w:hAnsi="Times New Roman" w:cs="Times New Roman"/>
          <w:sz w:val="24"/>
          <w:szCs w:val="24"/>
        </w:rPr>
        <w:t>.</w:t>
      </w:r>
      <w:r w:rsidR="005A7AF3" w:rsidRPr="00486567">
        <w:rPr>
          <w:rFonts w:ascii="Times New Roman" w:hAnsi="Times New Roman" w:cs="Times New Roman"/>
          <w:sz w:val="24"/>
          <w:szCs w:val="24"/>
        </w:rPr>
        <w:t xml:space="preserve"> He can refuse the application on the ground that it is made for purpose of vexations or delay or for defeating the ends of justice and such ground shall be recorded by him in writing. The court has discretion and power to exonerate the accused from paying the reasonable expenses to be incurred by the witnesses in attending for the purpose of trial, if court is satisfied that the accused has no means or capacity to pay such expenses</w:t>
      </w:r>
      <w:r w:rsidR="005A7AF3" w:rsidRPr="00486567">
        <w:rPr>
          <w:rStyle w:val="FootnoteReference"/>
          <w:rFonts w:ascii="Times New Roman" w:hAnsi="Times New Roman" w:cs="Times New Roman"/>
          <w:sz w:val="24"/>
          <w:szCs w:val="24"/>
        </w:rPr>
        <w:footnoteReference w:id="25"/>
      </w:r>
      <w:r w:rsidR="005A7AF3" w:rsidRPr="00486567">
        <w:rPr>
          <w:rFonts w:ascii="Times New Roman" w:hAnsi="Times New Roman" w:cs="Times New Roman"/>
          <w:sz w:val="24"/>
          <w:szCs w:val="24"/>
        </w:rPr>
        <w:t xml:space="preserve"> where normally deposit is made by the accused under s.243(3). </w:t>
      </w:r>
    </w:p>
    <w:p w:rsidR="005A7AF3" w:rsidRPr="00486567" w:rsidRDefault="005A7AF3"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If such an applcation is made after the accused enters into defence, adjournment has to be given necessarily.</w:t>
      </w:r>
    </w:p>
    <w:p w:rsidR="00076546" w:rsidRPr="00AE3D06" w:rsidRDefault="00076546" w:rsidP="00AE3D06">
      <w:pPr>
        <w:pStyle w:val="ListParagraph"/>
        <w:numPr>
          <w:ilvl w:val="0"/>
          <w:numId w:val="17"/>
        </w:numPr>
        <w:tabs>
          <w:tab w:val="left" w:pos="7335"/>
        </w:tabs>
        <w:spacing w:line="360" w:lineRule="auto"/>
        <w:jc w:val="both"/>
        <w:rPr>
          <w:rFonts w:ascii="Times New Roman" w:hAnsi="Times New Roman" w:cs="Times New Roman"/>
          <w:sz w:val="24"/>
          <w:szCs w:val="24"/>
        </w:rPr>
      </w:pPr>
      <w:r w:rsidRPr="00AE3D06">
        <w:rPr>
          <w:rFonts w:ascii="Times New Roman" w:hAnsi="Times New Roman" w:cs="Times New Roman"/>
          <w:sz w:val="24"/>
          <w:szCs w:val="24"/>
        </w:rPr>
        <w:t>Written statement of the accused:</w:t>
      </w:r>
    </w:p>
    <w:p w:rsidR="00076546" w:rsidRPr="00486567" w:rsidRDefault="0007654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 xml:space="preserve">The Magistrate shall file the written statements made by the accused as </w:t>
      </w:r>
      <w:r w:rsidR="00AE3D06">
        <w:rPr>
          <w:rFonts w:ascii="Times New Roman" w:hAnsi="Times New Roman" w:cs="Times New Roman"/>
          <w:sz w:val="24"/>
          <w:szCs w:val="24"/>
        </w:rPr>
        <w:t xml:space="preserve">a </w:t>
      </w:r>
      <w:r w:rsidRPr="00486567">
        <w:rPr>
          <w:rFonts w:ascii="Times New Roman" w:hAnsi="Times New Roman" w:cs="Times New Roman"/>
          <w:sz w:val="24"/>
          <w:szCs w:val="24"/>
        </w:rPr>
        <w:t>part of the record under s.243(1). It can be used by the accused later, when he feels that he has not been given full opportunity to explain all aspects of the case under s.313(1)(b)</w:t>
      </w:r>
      <w:r w:rsidRPr="00486567">
        <w:rPr>
          <w:rStyle w:val="FootnoteReference"/>
          <w:rFonts w:ascii="Times New Roman" w:hAnsi="Times New Roman" w:cs="Times New Roman"/>
          <w:sz w:val="24"/>
          <w:szCs w:val="24"/>
        </w:rPr>
        <w:footnoteReference w:id="26"/>
      </w:r>
      <w:r w:rsidRPr="00486567">
        <w:rPr>
          <w:rFonts w:ascii="Times New Roman" w:hAnsi="Times New Roman" w:cs="Times New Roman"/>
          <w:sz w:val="24"/>
          <w:szCs w:val="24"/>
        </w:rPr>
        <w:t>.</w:t>
      </w:r>
    </w:p>
    <w:p w:rsidR="00076546" w:rsidRPr="00AE3D06" w:rsidRDefault="00076546" w:rsidP="00AE3D06">
      <w:pPr>
        <w:pStyle w:val="ListParagraph"/>
        <w:numPr>
          <w:ilvl w:val="0"/>
          <w:numId w:val="17"/>
        </w:numPr>
        <w:tabs>
          <w:tab w:val="left" w:pos="7335"/>
        </w:tabs>
        <w:spacing w:line="360" w:lineRule="auto"/>
        <w:jc w:val="both"/>
        <w:rPr>
          <w:rFonts w:ascii="Times New Roman" w:hAnsi="Times New Roman" w:cs="Times New Roman"/>
          <w:sz w:val="24"/>
          <w:szCs w:val="24"/>
        </w:rPr>
      </w:pPr>
      <w:r w:rsidRPr="00AE3D06">
        <w:rPr>
          <w:rFonts w:ascii="Times New Roman" w:hAnsi="Times New Roman" w:cs="Times New Roman"/>
          <w:sz w:val="24"/>
          <w:szCs w:val="24"/>
        </w:rPr>
        <w:t>Record of evidence:</w:t>
      </w:r>
    </w:p>
    <w:p w:rsidR="005A7AF3" w:rsidRPr="00486567" w:rsidRDefault="0007654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evidence is recorded in the same manner as that of the prosecution.</w:t>
      </w:r>
    </w:p>
    <w:p w:rsidR="001B1F99" w:rsidRPr="00486567" w:rsidRDefault="00076546"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i/>
          <w:sz w:val="24"/>
          <w:szCs w:val="24"/>
        </w:rPr>
        <w:t>Steps to follow defence evidence:</w:t>
      </w:r>
      <w:r w:rsidRPr="00486567">
        <w:rPr>
          <w:rFonts w:ascii="Times New Roman" w:hAnsi="Times New Roman" w:cs="Times New Roman"/>
          <w:color w:val="000000"/>
          <w:sz w:val="24"/>
          <w:szCs w:val="24"/>
        </w:rPr>
        <w:t xml:space="preserve"> After the defence evidence has been taken, </w:t>
      </w:r>
      <w:r w:rsidRPr="00486567">
        <w:rPr>
          <w:rFonts w:ascii="Times New Roman" w:hAnsi="Times New Roman" w:cs="Times New Roman"/>
          <w:sz w:val="24"/>
          <w:szCs w:val="24"/>
        </w:rPr>
        <w:t xml:space="preserve">the court exercising its power can, at any stage, summon and examine any person as a court witness, if his evidence appears to it be essential to the just decision of the case under s.311. After the close of the defence evidence, the defence can address concise oral arguments and may submit to the court a </w:t>
      </w:r>
      <w:r w:rsidRPr="00486567">
        <w:rPr>
          <w:rFonts w:ascii="Times New Roman" w:hAnsi="Times New Roman" w:cs="Times New Roman"/>
          <w:sz w:val="24"/>
          <w:szCs w:val="24"/>
        </w:rPr>
        <w:lastRenderedPageBreak/>
        <w:t>memorandum in support of its case as done for prosecution under s.314 which is follow</w:t>
      </w:r>
      <w:r w:rsidR="001B1F99" w:rsidRPr="00486567">
        <w:rPr>
          <w:rFonts w:ascii="Times New Roman" w:hAnsi="Times New Roman" w:cs="Times New Roman"/>
          <w:sz w:val="24"/>
          <w:szCs w:val="24"/>
        </w:rPr>
        <w:t>e</w:t>
      </w:r>
      <w:r w:rsidRPr="00486567">
        <w:rPr>
          <w:rFonts w:ascii="Times New Roman" w:hAnsi="Times New Roman" w:cs="Times New Roman"/>
          <w:sz w:val="24"/>
          <w:szCs w:val="24"/>
        </w:rPr>
        <w:t>d by the judgment</w:t>
      </w:r>
      <w:r w:rsidR="001B1F99" w:rsidRPr="00486567">
        <w:rPr>
          <w:rFonts w:ascii="Times New Roman" w:hAnsi="Times New Roman" w:cs="Times New Roman"/>
          <w:sz w:val="24"/>
          <w:szCs w:val="24"/>
        </w:rPr>
        <w:t xml:space="preserve"> (explained under ‘Conclusion of trial’).</w:t>
      </w:r>
    </w:p>
    <w:p w:rsidR="001B1F99" w:rsidRPr="00486567" w:rsidRDefault="00AE3D06" w:rsidP="00AE3D06">
      <w:pPr>
        <w:tabs>
          <w:tab w:val="left" w:pos="7335"/>
        </w:tabs>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3.2 </w:t>
      </w:r>
      <w:r w:rsidR="001B1F99" w:rsidRPr="00486567">
        <w:rPr>
          <w:rFonts w:ascii="Times New Roman" w:hAnsi="Times New Roman" w:cs="Times New Roman"/>
          <w:b/>
          <w:sz w:val="28"/>
          <w:szCs w:val="24"/>
        </w:rPr>
        <w:t>Cases instituted otherwise than on a police report:</w:t>
      </w:r>
    </w:p>
    <w:p w:rsidR="00C27A6D" w:rsidRPr="00486567" w:rsidRDefault="00C27A6D" w:rsidP="00AE3D06">
      <w:pPr>
        <w:tabs>
          <w:tab w:val="left" w:pos="7335"/>
        </w:tabs>
        <w:spacing w:line="360" w:lineRule="auto"/>
        <w:jc w:val="both"/>
        <w:rPr>
          <w:rFonts w:ascii="Times New Roman" w:hAnsi="Times New Roman" w:cs="Times New Roman"/>
          <w:sz w:val="24"/>
          <w:szCs w:val="24"/>
        </w:rPr>
      </w:pPr>
      <w:r w:rsidRPr="00486567">
        <w:rPr>
          <w:rFonts w:ascii="Times New Roman" w:hAnsi="Times New Roman" w:cs="Times New Roman"/>
          <w:sz w:val="24"/>
          <w:szCs w:val="24"/>
        </w:rPr>
        <w:t>The cases instituted otherwise than on a police police report would mean that the cognizance of offence is taken by the Magistrate either under clause (a) or (c) of s.190(1) and this happens when a complaint is made to the Magistrate. And the procedure is quite different from that of the cases instituted by police report because the Magistrate will have the extra burden of investigation and ascertaining the truth.</w:t>
      </w:r>
    </w:p>
    <w:p w:rsidR="00AE3D06" w:rsidRPr="00AE3D06" w:rsidRDefault="001B1F99" w:rsidP="00AE3D06">
      <w:pPr>
        <w:pStyle w:val="ListParagraph"/>
        <w:numPr>
          <w:ilvl w:val="0"/>
          <w:numId w:val="18"/>
        </w:numPr>
        <w:tabs>
          <w:tab w:val="left" w:pos="7335"/>
        </w:tabs>
        <w:spacing w:line="360" w:lineRule="auto"/>
        <w:jc w:val="both"/>
        <w:rPr>
          <w:rFonts w:ascii="Times New Roman" w:hAnsi="Times New Roman" w:cs="Times New Roman"/>
          <w:b/>
          <w:sz w:val="24"/>
          <w:szCs w:val="24"/>
        </w:rPr>
      </w:pPr>
      <w:r w:rsidRPr="00AE3D06">
        <w:rPr>
          <w:rFonts w:ascii="Times New Roman" w:hAnsi="Times New Roman" w:cs="Times New Roman"/>
          <w:b/>
          <w:sz w:val="24"/>
          <w:szCs w:val="24"/>
        </w:rPr>
        <w:t>Initial steps in the trial:</w:t>
      </w:r>
    </w:p>
    <w:p w:rsidR="005145E1" w:rsidRPr="00AE3D06" w:rsidRDefault="00486567" w:rsidP="00AE3D06">
      <w:pPr>
        <w:pStyle w:val="ListParagraph"/>
        <w:numPr>
          <w:ilvl w:val="0"/>
          <w:numId w:val="17"/>
        </w:numPr>
        <w:tabs>
          <w:tab w:val="left" w:pos="7335"/>
        </w:tabs>
        <w:spacing w:line="360" w:lineRule="auto"/>
        <w:jc w:val="both"/>
        <w:rPr>
          <w:rFonts w:ascii="Times New Roman" w:hAnsi="Times New Roman" w:cs="Times New Roman"/>
          <w:sz w:val="24"/>
          <w:szCs w:val="24"/>
        </w:rPr>
      </w:pPr>
      <w:r w:rsidRPr="00AE3D06">
        <w:rPr>
          <w:rFonts w:ascii="Times New Roman" w:hAnsi="Times New Roman" w:cs="Times New Roman"/>
          <w:sz w:val="24"/>
          <w:szCs w:val="24"/>
        </w:rPr>
        <w:t>Preliminary hearing of the prosecution:</w:t>
      </w:r>
    </w:p>
    <w:p w:rsidR="00486567" w:rsidRPr="0033043E" w:rsidRDefault="00486567" w:rsidP="00AE3D06">
      <w:pPr>
        <w:tabs>
          <w:tab w:val="left" w:pos="7335"/>
        </w:tabs>
        <w:spacing w:line="360" w:lineRule="auto"/>
        <w:jc w:val="both"/>
        <w:rPr>
          <w:rFonts w:ascii="Times New Roman" w:hAnsi="Times New Roman" w:cs="Times New Roman"/>
          <w:sz w:val="24"/>
          <w:szCs w:val="24"/>
        </w:rPr>
      </w:pPr>
      <w:r w:rsidRPr="0033043E">
        <w:rPr>
          <w:rFonts w:ascii="Times New Roman" w:hAnsi="Times New Roman" w:cs="Times New Roman"/>
          <w:sz w:val="24"/>
          <w:szCs w:val="24"/>
        </w:rPr>
        <w:t>Under s.244, when the accused appears or is brought before the court, the Magistrate shall take such evidence, produced in support of the prosecution. Since there is no police report in these cases, there has to be a preliminary hearing in this accord. S.244 is wide enough to give power to the court to accept any additional list of witnesses given by prosecution and issue summons and record their evidence</w:t>
      </w:r>
      <w:r w:rsidRPr="0033043E">
        <w:rPr>
          <w:rStyle w:val="FootnoteReference"/>
          <w:rFonts w:ascii="Times New Roman" w:hAnsi="Times New Roman" w:cs="Times New Roman"/>
          <w:sz w:val="24"/>
          <w:szCs w:val="24"/>
        </w:rPr>
        <w:footnoteReference w:id="27"/>
      </w:r>
      <w:r w:rsidRPr="0033043E">
        <w:rPr>
          <w:rFonts w:ascii="Times New Roman" w:hAnsi="Times New Roman" w:cs="Times New Roman"/>
          <w:sz w:val="24"/>
          <w:szCs w:val="24"/>
        </w:rPr>
        <w:t>.</w:t>
      </w:r>
    </w:p>
    <w:p w:rsidR="00486567" w:rsidRPr="00AE3D06" w:rsidRDefault="00486567" w:rsidP="00AE3D06">
      <w:pPr>
        <w:pStyle w:val="ListParagraph"/>
        <w:numPr>
          <w:ilvl w:val="0"/>
          <w:numId w:val="17"/>
        </w:numPr>
        <w:tabs>
          <w:tab w:val="left" w:pos="7335"/>
        </w:tabs>
        <w:spacing w:line="360" w:lineRule="auto"/>
        <w:jc w:val="both"/>
        <w:rPr>
          <w:rFonts w:ascii="Times New Roman" w:hAnsi="Times New Roman" w:cs="Times New Roman"/>
          <w:sz w:val="24"/>
          <w:szCs w:val="24"/>
        </w:rPr>
      </w:pPr>
      <w:r w:rsidRPr="00AE3D06">
        <w:rPr>
          <w:rFonts w:ascii="Times New Roman" w:hAnsi="Times New Roman" w:cs="Times New Roman"/>
          <w:sz w:val="24"/>
          <w:szCs w:val="24"/>
        </w:rPr>
        <w:t xml:space="preserve">Discharge of </w:t>
      </w:r>
      <w:r w:rsidR="007E28A7" w:rsidRPr="00AE3D06">
        <w:rPr>
          <w:rFonts w:ascii="Times New Roman" w:hAnsi="Times New Roman" w:cs="Times New Roman"/>
          <w:sz w:val="24"/>
          <w:szCs w:val="24"/>
        </w:rPr>
        <w:t xml:space="preserve">the </w:t>
      </w:r>
      <w:r w:rsidRPr="00AE3D06">
        <w:rPr>
          <w:rFonts w:ascii="Times New Roman" w:hAnsi="Times New Roman" w:cs="Times New Roman"/>
          <w:sz w:val="24"/>
          <w:szCs w:val="24"/>
        </w:rPr>
        <w:t>accused:</w:t>
      </w:r>
    </w:p>
    <w:p w:rsidR="00486567" w:rsidRDefault="00486567" w:rsidP="00AE3D06">
      <w:pPr>
        <w:tabs>
          <w:tab w:val="left" w:pos="7335"/>
        </w:tabs>
        <w:spacing w:line="360" w:lineRule="auto"/>
        <w:jc w:val="both"/>
        <w:rPr>
          <w:rFonts w:ascii="Times New Roman" w:hAnsi="Times New Roman" w:cs="Times New Roman"/>
          <w:sz w:val="24"/>
          <w:szCs w:val="24"/>
        </w:rPr>
      </w:pPr>
      <w:r w:rsidRPr="0033043E">
        <w:rPr>
          <w:rFonts w:ascii="Times New Roman" w:hAnsi="Times New Roman" w:cs="Times New Roman"/>
          <w:sz w:val="24"/>
          <w:szCs w:val="24"/>
        </w:rPr>
        <w:t>After taking evidence, if the Magistrat</w:t>
      </w:r>
      <w:r w:rsidR="0033043E">
        <w:rPr>
          <w:rFonts w:ascii="Times New Roman" w:hAnsi="Times New Roman" w:cs="Times New Roman"/>
          <w:sz w:val="24"/>
          <w:szCs w:val="24"/>
        </w:rPr>
        <w:t>e</w:t>
      </w:r>
      <w:r w:rsidRPr="0033043E">
        <w:rPr>
          <w:rFonts w:ascii="Times New Roman" w:hAnsi="Times New Roman" w:cs="Times New Roman"/>
          <w:sz w:val="24"/>
          <w:szCs w:val="24"/>
        </w:rPr>
        <w:t xml:space="preserve"> feels that no proper </w:t>
      </w:r>
      <w:r w:rsidR="00AE3D06">
        <w:rPr>
          <w:rFonts w:ascii="Times New Roman" w:hAnsi="Times New Roman" w:cs="Times New Roman"/>
          <w:sz w:val="24"/>
          <w:szCs w:val="24"/>
        </w:rPr>
        <w:t xml:space="preserve">case </w:t>
      </w:r>
      <w:r w:rsidRPr="0033043E">
        <w:rPr>
          <w:rFonts w:ascii="Times New Roman" w:hAnsi="Times New Roman" w:cs="Times New Roman"/>
          <w:sz w:val="24"/>
          <w:szCs w:val="24"/>
        </w:rPr>
        <w:t xml:space="preserve">has been made out against the accused, the accused shall be discharged, which if unrebutted, would warrant his conviction and the reasons has to eb recorded as under s.245(1). </w:t>
      </w:r>
      <w:r w:rsidR="0033043E" w:rsidRPr="0033043E">
        <w:rPr>
          <w:rFonts w:ascii="Times New Roman" w:hAnsi="Times New Roman" w:cs="Times New Roman"/>
          <w:sz w:val="24"/>
          <w:szCs w:val="24"/>
        </w:rPr>
        <w:t>The discharge can also be done if the Magistrate thinks the charges to be groundless under s.245(2).</w:t>
      </w:r>
      <w:r w:rsidRPr="0033043E">
        <w:rPr>
          <w:rFonts w:ascii="Times New Roman" w:hAnsi="Times New Roman" w:cs="Times New Roman"/>
          <w:sz w:val="24"/>
          <w:szCs w:val="24"/>
        </w:rPr>
        <w:t xml:space="preserve"> </w:t>
      </w:r>
      <w:r w:rsidR="0033043E" w:rsidRPr="0033043E">
        <w:rPr>
          <w:rFonts w:ascii="Times New Roman" w:hAnsi="Times New Roman" w:cs="Times New Roman"/>
          <w:sz w:val="24"/>
          <w:szCs w:val="24"/>
        </w:rPr>
        <w:t xml:space="preserve">The discharge would become improper if a successful </w:t>
      </w:r>
      <w:r w:rsidR="0033043E" w:rsidRPr="0033043E">
        <w:rPr>
          <w:rFonts w:ascii="Times New Roman" w:hAnsi="Times New Roman" w:cs="Times New Roman"/>
          <w:i/>
          <w:sz w:val="24"/>
          <w:szCs w:val="24"/>
        </w:rPr>
        <w:t xml:space="preserve">prima facie </w:t>
      </w:r>
      <w:r w:rsidR="0033043E" w:rsidRPr="0033043E">
        <w:rPr>
          <w:rFonts w:ascii="Times New Roman" w:hAnsi="Times New Roman" w:cs="Times New Roman"/>
          <w:sz w:val="24"/>
          <w:szCs w:val="24"/>
        </w:rPr>
        <w:t>case has been made out against the accused</w:t>
      </w:r>
      <w:r w:rsidR="0033043E">
        <w:rPr>
          <w:rStyle w:val="FootnoteReference"/>
          <w:rFonts w:ascii="Times New Roman" w:hAnsi="Times New Roman" w:cs="Times New Roman"/>
          <w:sz w:val="24"/>
          <w:szCs w:val="24"/>
        </w:rPr>
        <w:footnoteReference w:id="28"/>
      </w:r>
      <w:r w:rsidR="0033043E" w:rsidRPr="0033043E">
        <w:rPr>
          <w:rFonts w:ascii="Times New Roman" w:hAnsi="Times New Roman" w:cs="Times New Roman"/>
          <w:sz w:val="24"/>
          <w:szCs w:val="24"/>
        </w:rPr>
        <w:t xml:space="preserve"> and such decision has to be taken only if it seems to be groundless </w:t>
      </w:r>
      <w:r w:rsidR="0033043E" w:rsidRPr="0033043E">
        <w:rPr>
          <w:rFonts w:ascii="Times New Roman" w:hAnsi="Times New Roman" w:cs="Times New Roman"/>
          <w:i/>
          <w:sz w:val="24"/>
          <w:szCs w:val="24"/>
        </w:rPr>
        <w:t xml:space="preserve">ab initio </w:t>
      </w:r>
      <w:r w:rsidR="0033043E" w:rsidRPr="0033043E">
        <w:rPr>
          <w:rFonts w:ascii="Times New Roman" w:hAnsi="Times New Roman" w:cs="Times New Roman"/>
          <w:sz w:val="24"/>
          <w:szCs w:val="24"/>
        </w:rPr>
        <w:t>or after examination of all the prosecution witnesses where they could not materially help to establish the accusation</w:t>
      </w:r>
      <w:r w:rsidR="0033043E">
        <w:rPr>
          <w:rStyle w:val="FootnoteReference"/>
          <w:rFonts w:ascii="Times New Roman" w:hAnsi="Times New Roman" w:cs="Times New Roman"/>
          <w:sz w:val="24"/>
          <w:szCs w:val="24"/>
        </w:rPr>
        <w:footnoteReference w:id="29"/>
      </w:r>
      <w:r w:rsidR="0033043E" w:rsidRPr="0033043E">
        <w:rPr>
          <w:rFonts w:ascii="Times New Roman" w:hAnsi="Times New Roman" w:cs="Times New Roman"/>
          <w:sz w:val="24"/>
          <w:szCs w:val="24"/>
        </w:rPr>
        <w:t>.</w:t>
      </w:r>
    </w:p>
    <w:p w:rsidR="0033043E" w:rsidRDefault="0033043E"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Framing of charge:</w:t>
      </w:r>
    </w:p>
    <w:p w:rsidR="0033043E" w:rsidRPr="0033043E" w:rsidRDefault="0033043E"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Magistrate shall frame charges </w:t>
      </w:r>
      <w:r w:rsidR="00BF1EEC">
        <w:rPr>
          <w:rFonts w:ascii="Times New Roman" w:hAnsi="Times New Roman" w:cs="Times New Roman"/>
          <w:sz w:val="24"/>
          <w:szCs w:val="24"/>
        </w:rPr>
        <w:t xml:space="preserve">in writing, </w:t>
      </w:r>
      <w:r>
        <w:rPr>
          <w:rFonts w:ascii="Times New Roman" w:hAnsi="Times New Roman" w:cs="Times New Roman"/>
          <w:sz w:val="24"/>
          <w:szCs w:val="24"/>
        </w:rPr>
        <w:t xml:space="preserve">if he is of opinion that there is a ground for presuming that the accused has committed an offence triable under this chapter and he is competent </w:t>
      </w:r>
      <w:r w:rsidR="00BF1EEC">
        <w:rPr>
          <w:rFonts w:ascii="Times New Roman" w:hAnsi="Times New Roman" w:cs="Times New Roman"/>
          <w:sz w:val="24"/>
          <w:szCs w:val="24"/>
        </w:rPr>
        <w:t>to try  and punish for the same according to s.246(1) as analogous to s.240(1)</w:t>
      </w:r>
      <w:r>
        <w:rPr>
          <w:rFonts w:ascii="Times New Roman" w:hAnsi="Times New Roman" w:cs="Times New Roman"/>
          <w:sz w:val="24"/>
          <w:szCs w:val="24"/>
        </w:rPr>
        <w:t>.</w:t>
      </w:r>
    </w:p>
    <w:p w:rsidR="0033043E" w:rsidRDefault="00BF1EEC"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Explaining the charge to the accused:</w:t>
      </w:r>
    </w:p>
    <w:p w:rsidR="00BF1EEC" w:rsidRDefault="00BF1EEC"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 charges are explained to the accused under s.246 (2) and he shall be asked whether he pleads guilty or he enters into defence which is in analogous to 240(2).</w:t>
      </w:r>
    </w:p>
    <w:p w:rsidR="00BF1EEC" w:rsidRDefault="00BF1EEC"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Conviction on plea of guilty:</w:t>
      </w:r>
    </w:p>
    <w:p w:rsidR="00BF1EEC" w:rsidRDefault="00BF1EEC"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Same as s.241, if the accused pleads guilty, the Magistrate shall record his plea and on his discretion, can convict him. Fulfilling of essential ingredients of the offence would be necessary for the conviction on plea of guilty</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w:t>
      </w:r>
    </w:p>
    <w:p w:rsidR="00BF1EEC" w:rsidRDefault="00BF1EEC"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Choice of accused to recall prosecution witnesses:</w:t>
      </w:r>
    </w:p>
    <w:p w:rsidR="00FD426A" w:rsidRDefault="00FD426A" w:rsidP="00AE3D06">
      <w:pPr>
        <w:tabs>
          <w:tab w:val="left" w:pos="7335"/>
        </w:tabs>
        <w:spacing w:line="360" w:lineRule="auto"/>
        <w:jc w:val="both"/>
        <w:rPr>
          <w:rFonts w:ascii="Times New Roman" w:hAnsi="Times New Roman" w:cs="Times New Roman"/>
          <w:sz w:val="24"/>
          <w:szCs w:val="24"/>
        </w:rPr>
      </w:pPr>
      <w:r w:rsidRPr="00FD426A">
        <w:rPr>
          <w:rFonts w:ascii="Times New Roman" w:hAnsi="Times New Roman" w:cs="Times New Roman"/>
          <w:sz w:val="24"/>
          <w:szCs w:val="24"/>
        </w:rPr>
        <w:t>If the accused refuses to plead guilty, or does not plead guilty or claims to be tried or if the accuse</w:t>
      </w:r>
      <w:r w:rsidR="00115740">
        <w:rPr>
          <w:rFonts w:ascii="Times New Roman" w:hAnsi="Times New Roman" w:cs="Times New Roman"/>
          <w:sz w:val="24"/>
          <w:szCs w:val="24"/>
        </w:rPr>
        <w:t>d is to be</w:t>
      </w:r>
      <w:r>
        <w:rPr>
          <w:rFonts w:ascii="Times New Roman" w:hAnsi="Times New Roman" w:cs="Times New Roman"/>
          <w:sz w:val="24"/>
          <w:szCs w:val="24"/>
        </w:rPr>
        <w:t xml:space="preserve"> convicted under S.</w:t>
      </w:r>
      <w:r w:rsidRPr="00FD426A">
        <w:rPr>
          <w:rFonts w:ascii="Times New Roman" w:hAnsi="Times New Roman" w:cs="Times New Roman"/>
          <w:sz w:val="24"/>
          <w:szCs w:val="24"/>
        </w:rPr>
        <w:t>246(3) above, he shall be required to state at the commencement of the next hearing of the case, whether he wishes to cross-examine any, and if so, which of the witnesses for the prosecuti</w:t>
      </w:r>
      <w:r>
        <w:rPr>
          <w:rFonts w:ascii="Times New Roman" w:hAnsi="Times New Roman" w:cs="Times New Roman"/>
          <w:sz w:val="24"/>
          <w:szCs w:val="24"/>
        </w:rPr>
        <w:t>on whose evidence has been taken under s.246(4).</w:t>
      </w:r>
      <w:r w:rsidRPr="00FD426A">
        <w:rPr>
          <w:rFonts w:ascii="Times New Roman" w:hAnsi="Times New Roman" w:cs="Times New Roman"/>
          <w:sz w:val="24"/>
          <w:szCs w:val="24"/>
        </w:rPr>
        <w:t xml:space="preserve"> </w:t>
      </w:r>
      <w:r>
        <w:rPr>
          <w:rFonts w:ascii="Times New Roman" w:hAnsi="Times New Roman" w:cs="Times New Roman"/>
          <w:sz w:val="24"/>
          <w:szCs w:val="24"/>
        </w:rPr>
        <w:t>T</w:t>
      </w:r>
      <w:r w:rsidRPr="00FD426A">
        <w:rPr>
          <w:rFonts w:ascii="Times New Roman" w:hAnsi="Times New Roman" w:cs="Times New Roman"/>
          <w:sz w:val="24"/>
          <w:szCs w:val="24"/>
        </w:rPr>
        <w:t>he witnesses named by him shall be recalled</w:t>
      </w:r>
      <w:r>
        <w:rPr>
          <w:rFonts w:ascii="Times New Roman" w:hAnsi="Times New Roman" w:cs="Times New Roman"/>
          <w:sz w:val="24"/>
          <w:szCs w:val="24"/>
        </w:rPr>
        <w:t xml:space="preserve"> where the duty is cast upon the Magistrate</w:t>
      </w:r>
      <w:r w:rsidRPr="00FD426A">
        <w:rPr>
          <w:rFonts w:ascii="Times New Roman" w:hAnsi="Times New Roman" w:cs="Times New Roman"/>
          <w:sz w:val="24"/>
          <w:szCs w:val="24"/>
        </w:rPr>
        <w:t>.</w:t>
      </w:r>
      <w:r>
        <w:rPr>
          <w:rFonts w:ascii="Times New Roman" w:hAnsi="Times New Roman" w:cs="Times New Roman"/>
          <w:sz w:val="24"/>
          <w:szCs w:val="24"/>
        </w:rPr>
        <w:t xml:space="preserve"> The wordings of the provision als</w:t>
      </w:r>
      <w:r w:rsidR="00115740">
        <w:rPr>
          <w:rFonts w:ascii="Times New Roman" w:hAnsi="Times New Roman" w:cs="Times New Roman"/>
          <w:sz w:val="24"/>
          <w:szCs w:val="24"/>
        </w:rPr>
        <w:t>o</w:t>
      </w:r>
      <w:r>
        <w:rPr>
          <w:rFonts w:ascii="Times New Roman" w:hAnsi="Times New Roman" w:cs="Times New Roman"/>
          <w:sz w:val="24"/>
          <w:szCs w:val="24"/>
        </w:rPr>
        <w:t xml:space="preserve"> suggest that the reasonable time should be given to the accused person to decide on it after framing of charge or in special cases after recording the reasons</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w:t>
      </w:r>
    </w:p>
    <w:p w:rsidR="00FD426A" w:rsidRPr="00AE3D06" w:rsidRDefault="00FD426A" w:rsidP="00AE3D06">
      <w:pPr>
        <w:pStyle w:val="ListParagraph"/>
        <w:numPr>
          <w:ilvl w:val="0"/>
          <w:numId w:val="18"/>
        </w:numPr>
        <w:tabs>
          <w:tab w:val="left" w:pos="7335"/>
        </w:tabs>
        <w:spacing w:line="360" w:lineRule="auto"/>
        <w:jc w:val="both"/>
        <w:rPr>
          <w:b/>
        </w:rPr>
      </w:pPr>
      <w:r w:rsidRPr="00AE3D06">
        <w:rPr>
          <w:rFonts w:ascii="Times New Roman" w:hAnsi="Times New Roman" w:cs="Times New Roman"/>
          <w:b/>
          <w:sz w:val="24"/>
          <w:szCs w:val="24"/>
        </w:rPr>
        <w:t>Evidence for prosecution:</w:t>
      </w:r>
    </w:p>
    <w:p w:rsidR="00FD426A" w:rsidRDefault="00AB4CE3"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All the prosecution evidences will be examined</w:t>
      </w:r>
      <w:r w:rsidR="008C291C">
        <w:rPr>
          <w:rFonts w:ascii="Times New Roman" w:hAnsi="Times New Roman" w:cs="Times New Roman"/>
          <w:sz w:val="24"/>
          <w:szCs w:val="24"/>
        </w:rPr>
        <w:t xml:space="preserve"> before charges are framed and they will be recalled at this stage if required for cross or the remaining witnesses for prosecution will be taken under s.246(6). In such cases, if the accused wants time to cross the, reasonable time should be given to him</w:t>
      </w:r>
      <w:r w:rsidR="008C291C">
        <w:rPr>
          <w:rStyle w:val="FootnoteReference"/>
          <w:rFonts w:ascii="Times New Roman" w:hAnsi="Times New Roman" w:cs="Times New Roman"/>
          <w:sz w:val="24"/>
          <w:szCs w:val="24"/>
        </w:rPr>
        <w:footnoteReference w:id="32"/>
      </w:r>
      <w:r w:rsidR="008C291C">
        <w:rPr>
          <w:rFonts w:ascii="Times New Roman" w:hAnsi="Times New Roman" w:cs="Times New Roman"/>
          <w:sz w:val="24"/>
          <w:szCs w:val="24"/>
        </w:rPr>
        <w:t>. And the recording of evidences will take place according to ss.275,277 to 280.</w:t>
      </w:r>
    </w:p>
    <w:p w:rsidR="008C291C" w:rsidRDefault="008C291C" w:rsidP="00AE3D06">
      <w:pPr>
        <w:tabs>
          <w:tab w:val="left" w:pos="7335"/>
        </w:tabs>
        <w:spacing w:line="360" w:lineRule="auto"/>
        <w:jc w:val="both"/>
        <w:rPr>
          <w:rFonts w:ascii="Times New Roman" w:hAnsi="Times New Roman" w:cs="Times New Roman"/>
          <w:sz w:val="24"/>
          <w:szCs w:val="24"/>
        </w:rPr>
      </w:pPr>
      <w:r w:rsidRPr="008C291C">
        <w:rPr>
          <w:rFonts w:ascii="Times New Roman" w:hAnsi="Times New Roman" w:cs="Times New Roman"/>
          <w:i/>
          <w:sz w:val="24"/>
          <w:szCs w:val="24"/>
        </w:rPr>
        <w:lastRenderedPageBreak/>
        <w:t>Steps to follow prosecution evidence:</w:t>
      </w:r>
      <w:r>
        <w:rPr>
          <w:rFonts w:ascii="Times New Roman" w:hAnsi="Times New Roman" w:cs="Times New Roman"/>
          <w:sz w:val="24"/>
          <w:szCs w:val="24"/>
        </w:rPr>
        <w:t xml:space="preserve"> As mentioned earlier, recording of prosecution evidence will be followed by oral arguments under s.314 and examination of accused under s.313 (b).</w:t>
      </w:r>
    </w:p>
    <w:p w:rsidR="00AE3D06" w:rsidRDefault="00AE3D06" w:rsidP="00AE3D06">
      <w:pPr>
        <w:tabs>
          <w:tab w:val="left" w:pos="7335"/>
        </w:tabs>
        <w:spacing w:line="360" w:lineRule="auto"/>
        <w:jc w:val="both"/>
        <w:rPr>
          <w:rFonts w:ascii="Times New Roman" w:hAnsi="Times New Roman" w:cs="Times New Roman"/>
          <w:b/>
          <w:sz w:val="24"/>
          <w:szCs w:val="24"/>
        </w:rPr>
      </w:pPr>
    </w:p>
    <w:p w:rsidR="008C291C" w:rsidRPr="00AE3D06" w:rsidRDefault="008C291C" w:rsidP="00AE3D06">
      <w:pPr>
        <w:pStyle w:val="ListParagraph"/>
        <w:numPr>
          <w:ilvl w:val="0"/>
          <w:numId w:val="18"/>
        </w:numPr>
        <w:tabs>
          <w:tab w:val="left" w:pos="7335"/>
        </w:tabs>
        <w:spacing w:line="360" w:lineRule="auto"/>
        <w:jc w:val="both"/>
        <w:rPr>
          <w:rFonts w:ascii="Times New Roman" w:hAnsi="Times New Roman" w:cs="Times New Roman"/>
          <w:b/>
          <w:sz w:val="24"/>
          <w:szCs w:val="24"/>
        </w:rPr>
      </w:pPr>
      <w:r w:rsidRPr="00AE3D06">
        <w:rPr>
          <w:rFonts w:ascii="Times New Roman" w:hAnsi="Times New Roman" w:cs="Times New Roman"/>
          <w:b/>
          <w:sz w:val="24"/>
          <w:szCs w:val="24"/>
        </w:rPr>
        <w:t>Evidence for the defence:</w:t>
      </w:r>
    </w:p>
    <w:p w:rsidR="005145E1" w:rsidRDefault="008C291C"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Now</w:t>
      </w:r>
      <w:r w:rsidR="00736141">
        <w:rPr>
          <w:rFonts w:ascii="Times New Roman" w:hAnsi="Times New Roman" w:cs="Times New Roman"/>
          <w:sz w:val="24"/>
          <w:szCs w:val="24"/>
        </w:rPr>
        <w:t>,</w:t>
      </w:r>
      <w:r>
        <w:rPr>
          <w:rFonts w:ascii="Times New Roman" w:hAnsi="Times New Roman" w:cs="Times New Roman"/>
          <w:sz w:val="24"/>
          <w:szCs w:val="24"/>
        </w:rPr>
        <w:t xml:space="preserve"> the acc</w:t>
      </w:r>
      <w:r w:rsidR="007E28A7">
        <w:rPr>
          <w:rFonts w:ascii="Times New Roman" w:hAnsi="Times New Roman" w:cs="Times New Roman"/>
          <w:sz w:val="24"/>
          <w:szCs w:val="24"/>
        </w:rPr>
        <w:t>used sha</w:t>
      </w:r>
      <w:r>
        <w:rPr>
          <w:rFonts w:ascii="Times New Roman" w:hAnsi="Times New Roman" w:cs="Times New Roman"/>
          <w:sz w:val="24"/>
          <w:szCs w:val="24"/>
        </w:rPr>
        <w:t>ll be called upon to enter his defence under s.247, to produce his evidence. Taking evidence for defence follows the same procedure as mentioned under cases instituted by police report in analogous with s.243.</w:t>
      </w:r>
      <w:r w:rsidR="00322840">
        <w:rPr>
          <w:rFonts w:ascii="Times New Roman" w:hAnsi="Times New Roman" w:cs="Times New Roman"/>
          <w:sz w:val="24"/>
          <w:szCs w:val="24"/>
        </w:rPr>
        <w:t xml:space="preserve"> </w:t>
      </w:r>
    </w:p>
    <w:p w:rsidR="00322840" w:rsidRDefault="0032284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In addition to this, before pronouncing the judgments, some special circumstances, which would arise at any point in the trial, should be considered by the Magistrates such as the questions of jurisdiction (s.322,323) and competency to pass severe sentences (s.325), the Magistrate shall commit the case to the competent authorities say, the Chief Judicial Magistrate or the Sessions Court.</w:t>
      </w:r>
    </w:p>
    <w:p w:rsidR="008C291C" w:rsidRPr="00736141" w:rsidRDefault="008C291C" w:rsidP="00736141">
      <w:pPr>
        <w:tabs>
          <w:tab w:val="left" w:pos="7335"/>
        </w:tabs>
        <w:spacing w:line="360" w:lineRule="auto"/>
        <w:jc w:val="center"/>
        <w:rPr>
          <w:rFonts w:ascii="Times New Roman" w:hAnsi="Times New Roman" w:cs="Times New Roman"/>
          <w:b/>
          <w:sz w:val="28"/>
          <w:szCs w:val="24"/>
          <w:u w:val="single"/>
        </w:rPr>
      </w:pPr>
    </w:p>
    <w:p w:rsidR="00736141" w:rsidRPr="00736141" w:rsidRDefault="00736141" w:rsidP="00736141">
      <w:pPr>
        <w:tabs>
          <w:tab w:val="left" w:pos="7335"/>
        </w:tabs>
        <w:spacing w:line="360" w:lineRule="auto"/>
        <w:jc w:val="center"/>
        <w:rPr>
          <w:rFonts w:ascii="Times New Roman" w:hAnsi="Times New Roman" w:cs="Times New Roman"/>
          <w:b/>
          <w:sz w:val="28"/>
          <w:szCs w:val="24"/>
          <w:u w:val="single"/>
        </w:rPr>
      </w:pPr>
      <w:r w:rsidRPr="00736141">
        <w:rPr>
          <w:rFonts w:ascii="Times New Roman" w:hAnsi="Times New Roman" w:cs="Times New Roman"/>
          <w:b/>
          <w:sz w:val="28"/>
          <w:szCs w:val="24"/>
          <w:u w:val="single"/>
        </w:rPr>
        <w:t>Chapter IV</w:t>
      </w:r>
    </w:p>
    <w:p w:rsidR="008C291C" w:rsidRDefault="00736141" w:rsidP="00AE3D06">
      <w:pPr>
        <w:tabs>
          <w:tab w:val="left" w:pos="7335"/>
        </w:tabs>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4.1 </w:t>
      </w:r>
      <w:r w:rsidR="008C291C" w:rsidRPr="008C291C">
        <w:rPr>
          <w:rFonts w:ascii="Times New Roman" w:hAnsi="Times New Roman" w:cs="Times New Roman"/>
          <w:b/>
          <w:sz w:val="28"/>
          <w:szCs w:val="24"/>
        </w:rPr>
        <w:t>Conclusion of trial:</w:t>
      </w:r>
    </w:p>
    <w:p w:rsidR="00322840" w:rsidRDefault="0032284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The trial is concluded in the same manner for both the cases on police report and private complaint which is dealt under ss.248 to 250 under CrPC.</w:t>
      </w:r>
    </w:p>
    <w:p w:rsidR="00322840" w:rsidRDefault="00322840"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Acquittal or conviction:</w:t>
      </w:r>
    </w:p>
    <w:p w:rsidR="00CB5F4B" w:rsidRDefault="0032284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w:t>
      </w:r>
      <w:r w:rsidR="00C34009">
        <w:rPr>
          <w:rFonts w:ascii="Times New Roman" w:hAnsi="Times New Roman" w:cs="Times New Roman"/>
          <w:sz w:val="24"/>
          <w:szCs w:val="24"/>
        </w:rPr>
        <w:t xml:space="preserve">closing the examination of prosecution and defence witness and hearing the arguments, the Magistrate shall give the judgment, where if the Magistrate finds the accused not guilty, then an order of acquittal should be passed under s.248(1). If the accused is found guilty, then he shall be heard on the question of sentence and then the sentence is passed in accordance with the law under s.248(2). Such hearing is based on the consideration of good conduct under s.360 or the Magistrate thinks he should not be severly punished under s.325. </w:t>
      </w:r>
    </w:p>
    <w:p w:rsidR="00322840" w:rsidRDefault="00C34009"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 </w:t>
      </w:r>
      <w:r w:rsidR="00CB5F4B">
        <w:rPr>
          <w:rFonts w:ascii="Times New Roman" w:hAnsi="Times New Roman" w:cs="Times New Roman"/>
          <w:sz w:val="24"/>
          <w:szCs w:val="24"/>
        </w:rPr>
        <w:t>enhanced punishment can be given to the accused if he has been previously convicted, of which he refuses under s.248(3).</w:t>
      </w:r>
      <w:r>
        <w:rPr>
          <w:rFonts w:ascii="Times New Roman" w:hAnsi="Times New Roman" w:cs="Times New Roman"/>
          <w:sz w:val="24"/>
          <w:szCs w:val="24"/>
        </w:rPr>
        <w:t xml:space="preserve"> </w:t>
      </w:r>
      <w:r w:rsidR="00CB5F4B">
        <w:rPr>
          <w:rFonts w:ascii="Times New Roman" w:hAnsi="Times New Roman" w:cs="Times New Roman"/>
          <w:sz w:val="24"/>
          <w:szCs w:val="24"/>
        </w:rPr>
        <w:t xml:space="preserve">The Magistrate shall record </w:t>
      </w:r>
      <w:r w:rsidR="00736141">
        <w:rPr>
          <w:rFonts w:ascii="Times New Roman" w:hAnsi="Times New Roman" w:cs="Times New Roman"/>
          <w:sz w:val="24"/>
          <w:szCs w:val="24"/>
        </w:rPr>
        <w:t xml:space="preserve">his </w:t>
      </w:r>
      <w:r w:rsidR="00CB5F4B">
        <w:rPr>
          <w:rFonts w:ascii="Times New Roman" w:hAnsi="Times New Roman" w:cs="Times New Roman"/>
          <w:sz w:val="24"/>
          <w:szCs w:val="24"/>
        </w:rPr>
        <w:t>finding about the previous conviction, however no such charge shall be read out by Magistrate or refered by prosecution unless and until the accused is convicted under the above clause. And when the complainant is absent on the date of hearing with the offence can be possibly compoundable or no</w:t>
      </w:r>
      <w:r w:rsidR="00736141">
        <w:rPr>
          <w:rFonts w:ascii="Times New Roman" w:hAnsi="Times New Roman" w:cs="Times New Roman"/>
          <w:sz w:val="24"/>
          <w:szCs w:val="24"/>
        </w:rPr>
        <w:t>n</w:t>
      </w:r>
      <w:r w:rsidR="00CB5F4B">
        <w:rPr>
          <w:rFonts w:ascii="Times New Roman" w:hAnsi="Times New Roman" w:cs="Times New Roman"/>
          <w:sz w:val="24"/>
          <w:szCs w:val="24"/>
        </w:rPr>
        <w:t xml:space="preserve">-cognizable, the Magistrate on his discretion an discharge the accused before framing the charges under s.249. </w:t>
      </w:r>
      <w:r>
        <w:rPr>
          <w:rFonts w:ascii="Times New Roman" w:hAnsi="Times New Roman" w:cs="Times New Roman"/>
          <w:sz w:val="24"/>
          <w:szCs w:val="24"/>
        </w:rPr>
        <w:t>The provisions are contained in ss. 353 -365 regarding the content and language of judgment.</w:t>
      </w:r>
      <w:r w:rsidR="00CB5F4B">
        <w:rPr>
          <w:rFonts w:ascii="Times New Roman" w:hAnsi="Times New Roman" w:cs="Times New Roman"/>
          <w:sz w:val="24"/>
          <w:szCs w:val="24"/>
        </w:rPr>
        <w:t xml:space="preserve"> </w:t>
      </w:r>
    </w:p>
    <w:p w:rsidR="00C34009" w:rsidRDefault="00CB5F4B"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Compensation </w:t>
      </w:r>
      <w:r w:rsidR="003242EB">
        <w:rPr>
          <w:rFonts w:ascii="Times New Roman" w:hAnsi="Times New Roman" w:cs="Times New Roman"/>
          <w:sz w:val="24"/>
          <w:szCs w:val="24"/>
        </w:rPr>
        <w:t>for groundless accusation:</w:t>
      </w:r>
    </w:p>
    <w:p w:rsidR="00322840" w:rsidRPr="003242EB" w:rsidRDefault="00D15B2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If</w:t>
      </w:r>
      <w:r w:rsidR="00736141">
        <w:rPr>
          <w:rFonts w:ascii="Times New Roman" w:hAnsi="Times New Roman" w:cs="Times New Roman"/>
          <w:sz w:val="24"/>
          <w:szCs w:val="24"/>
        </w:rPr>
        <w:t xml:space="preserve"> the Magistrate thinks that </w:t>
      </w:r>
      <w:r>
        <w:rPr>
          <w:rFonts w:ascii="Times New Roman" w:hAnsi="Times New Roman" w:cs="Times New Roman"/>
          <w:sz w:val="24"/>
          <w:szCs w:val="24"/>
        </w:rPr>
        <w:t>there was no reasonable ground for making such accusation against the accused, while discharging or acquitting the accused,  he shall cal</w:t>
      </w:r>
      <w:r w:rsidR="00736141">
        <w:rPr>
          <w:rFonts w:ascii="Times New Roman" w:hAnsi="Times New Roman" w:cs="Times New Roman"/>
          <w:sz w:val="24"/>
          <w:szCs w:val="24"/>
        </w:rPr>
        <w:t>l</w:t>
      </w:r>
      <w:r>
        <w:rPr>
          <w:rFonts w:ascii="Times New Roman" w:hAnsi="Times New Roman" w:cs="Times New Roman"/>
          <w:sz w:val="24"/>
          <w:szCs w:val="24"/>
        </w:rPr>
        <w:t xml:space="preserve"> the complainant to show cause why he should not pay compensation to the accused under s.250(1). The Magistrate accordingly can fix the compensation and record the reasons. It shall not exceed the amount of fine which the Magistrate is empowered to impose (s.250(2)). Simple imprisonment of not exceeding 30 days can be ordered in case of default of payment under 250(3) </w:t>
      </w:r>
      <w:r w:rsidR="001869A3">
        <w:rPr>
          <w:rFonts w:ascii="Times New Roman" w:hAnsi="Times New Roman" w:cs="Times New Roman"/>
          <w:sz w:val="24"/>
          <w:szCs w:val="24"/>
        </w:rPr>
        <w:t>which can be terminated under ss.68 and 69 of Penal Code, 1860 on paymen</w:t>
      </w:r>
      <w:r w:rsidR="007E28A7">
        <w:rPr>
          <w:rFonts w:ascii="Times New Roman" w:hAnsi="Times New Roman" w:cs="Times New Roman"/>
          <w:sz w:val="24"/>
          <w:szCs w:val="24"/>
        </w:rPr>
        <w:t>t</w:t>
      </w:r>
      <w:r w:rsidR="001869A3">
        <w:rPr>
          <w:rFonts w:ascii="Times New Roman" w:hAnsi="Times New Roman" w:cs="Times New Roman"/>
          <w:sz w:val="24"/>
          <w:szCs w:val="24"/>
        </w:rPr>
        <w:t xml:space="preserve"> of the full or partial amount of fine ordered (s.250(4)) </w:t>
      </w:r>
      <w:r>
        <w:rPr>
          <w:rFonts w:ascii="Times New Roman" w:hAnsi="Times New Roman" w:cs="Times New Roman"/>
          <w:sz w:val="24"/>
          <w:szCs w:val="24"/>
        </w:rPr>
        <w:t>and an option of appeal is also provided (s.250(6))</w:t>
      </w:r>
      <w:r w:rsidR="001869A3">
        <w:rPr>
          <w:rFonts w:ascii="Times New Roman" w:hAnsi="Times New Roman" w:cs="Times New Roman"/>
          <w:sz w:val="24"/>
          <w:szCs w:val="24"/>
        </w:rPr>
        <w:t>.</w:t>
      </w:r>
    </w:p>
    <w:p w:rsidR="008C291C" w:rsidRDefault="00D15B2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This provision applies both to summons and warrant cases.</w:t>
      </w:r>
      <w:r w:rsidR="001869A3">
        <w:rPr>
          <w:rFonts w:ascii="Times New Roman" w:hAnsi="Times New Roman" w:cs="Times New Roman"/>
          <w:sz w:val="24"/>
          <w:szCs w:val="24"/>
        </w:rPr>
        <w:t xml:space="preserve"> Such compensations are upheld and encouraged as held by the Supreme Court in </w:t>
      </w:r>
      <w:r w:rsidR="001869A3" w:rsidRPr="001869A3">
        <w:rPr>
          <w:rFonts w:ascii="Times New Roman" w:hAnsi="Times New Roman" w:cs="Times New Roman"/>
          <w:i/>
          <w:sz w:val="24"/>
          <w:szCs w:val="24"/>
        </w:rPr>
        <w:t>Nandkumar Krishnarao Navgire v. Jananath Laxman Kushalkar</w:t>
      </w:r>
      <w:r w:rsidR="001869A3">
        <w:rPr>
          <w:rStyle w:val="FootnoteReference"/>
          <w:rFonts w:ascii="Times New Roman" w:hAnsi="Times New Roman" w:cs="Times New Roman"/>
          <w:i/>
          <w:sz w:val="24"/>
          <w:szCs w:val="24"/>
        </w:rPr>
        <w:footnoteReference w:id="33"/>
      </w:r>
      <w:r w:rsidR="00BA4C67">
        <w:rPr>
          <w:rFonts w:ascii="Times New Roman" w:hAnsi="Times New Roman" w:cs="Times New Roman"/>
          <w:i/>
          <w:sz w:val="24"/>
          <w:szCs w:val="24"/>
        </w:rPr>
        <w:t xml:space="preserve">, </w:t>
      </w:r>
      <w:r w:rsidR="001869A3">
        <w:rPr>
          <w:rFonts w:ascii="Times New Roman" w:hAnsi="Times New Roman" w:cs="Times New Roman"/>
          <w:sz w:val="24"/>
          <w:szCs w:val="24"/>
        </w:rPr>
        <w:t>where compensation was ordered by the Magistrate for false accusation and the same was upheld by the higher courts.</w:t>
      </w:r>
    </w:p>
    <w:p w:rsidR="001869A3" w:rsidRDefault="001869A3" w:rsidP="00AE3D06">
      <w:pPr>
        <w:tabs>
          <w:tab w:val="left" w:pos="7335"/>
        </w:tabs>
        <w:spacing w:line="360" w:lineRule="auto"/>
        <w:jc w:val="both"/>
        <w:rPr>
          <w:rFonts w:ascii="Times New Roman" w:hAnsi="Times New Roman" w:cs="Times New Roman"/>
          <w:sz w:val="24"/>
          <w:szCs w:val="24"/>
        </w:rPr>
      </w:pPr>
    </w:p>
    <w:p w:rsidR="001869A3" w:rsidRDefault="00736141" w:rsidP="00AE3D06">
      <w:pPr>
        <w:tabs>
          <w:tab w:val="left" w:pos="7335"/>
        </w:tabs>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4.2 </w:t>
      </w:r>
      <w:r w:rsidR="001869A3">
        <w:rPr>
          <w:rFonts w:ascii="Times New Roman" w:hAnsi="Times New Roman" w:cs="Times New Roman"/>
          <w:b/>
          <w:sz w:val="28"/>
          <w:szCs w:val="24"/>
        </w:rPr>
        <w:t>Difference between the trial procedures in cases instituted on police report and otherwise than on p</w:t>
      </w:r>
      <w:r w:rsidR="00771372">
        <w:rPr>
          <w:rFonts w:ascii="Times New Roman" w:hAnsi="Times New Roman" w:cs="Times New Roman"/>
          <w:b/>
          <w:sz w:val="28"/>
          <w:szCs w:val="24"/>
        </w:rPr>
        <w:t>o</w:t>
      </w:r>
      <w:r w:rsidR="001869A3">
        <w:rPr>
          <w:rFonts w:ascii="Times New Roman" w:hAnsi="Times New Roman" w:cs="Times New Roman"/>
          <w:b/>
          <w:sz w:val="28"/>
          <w:szCs w:val="24"/>
        </w:rPr>
        <w:t>lice report</w:t>
      </w:r>
      <w:r w:rsidR="00BF2E8B">
        <w:rPr>
          <w:rFonts w:ascii="Times New Roman" w:hAnsi="Times New Roman" w:cs="Times New Roman"/>
          <w:b/>
          <w:sz w:val="28"/>
          <w:szCs w:val="24"/>
        </w:rPr>
        <w:t xml:space="preserve"> and their validity</w:t>
      </w:r>
      <w:r w:rsidR="001869A3">
        <w:rPr>
          <w:rFonts w:ascii="Times New Roman" w:hAnsi="Times New Roman" w:cs="Times New Roman"/>
          <w:b/>
          <w:sz w:val="28"/>
          <w:szCs w:val="24"/>
        </w:rPr>
        <w:t>:</w:t>
      </w:r>
    </w:p>
    <w:p w:rsidR="007E28A7" w:rsidRDefault="007E28A7"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difference between the procedures is found in the initial stages itself. A preliminary hearing is conducted, giving an opportunity for the prosecution to provide clear details of the case in cases not instituted on police report, where the absence of an investigation report by the police demands </w:t>
      </w:r>
      <w:r>
        <w:rPr>
          <w:rFonts w:ascii="Times New Roman" w:hAnsi="Times New Roman" w:cs="Times New Roman"/>
          <w:sz w:val="24"/>
          <w:szCs w:val="24"/>
        </w:rPr>
        <w:lastRenderedPageBreak/>
        <w:t xml:space="preserve">it. In warrant cases instituted otherwise than on a police report, the accused is given opportunity to cross the prosecution witness three times, namely, </w:t>
      </w:r>
    </w:p>
    <w:p w:rsidR="007E28A7" w:rsidRDefault="007E28A7"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Before the charges are framed</w:t>
      </w:r>
    </w:p>
    <w:p w:rsidR="007E28A7" w:rsidRDefault="007E28A7"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After the charges are framed and the accused is asked to enter into defence</w:t>
      </w:r>
    </w:p>
    <w:p w:rsidR="007E28A7" w:rsidRDefault="00115740" w:rsidP="00AE3D06">
      <w:pPr>
        <w:pStyle w:val="ListParagraph"/>
        <w:numPr>
          <w:ilvl w:val="0"/>
          <w:numId w:val="11"/>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In the course of trial subject to restrictions</w:t>
      </w:r>
    </w:p>
    <w:p w:rsidR="00EA4BCD" w:rsidRDefault="00115740"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accused is also given an option of recalling the witness at the commencement of next hearing under Part II, where the Magistrate has the duty to call the witnesses mentioned by him. This is to ensure that the trial procedure do not lag behind at any point of time, when compared to the cases instituted on the police report. </w:t>
      </w:r>
      <w:r w:rsidR="00EA4BCD">
        <w:rPr>
          <w:rFonts w:ascii="Times New Roman" w:hAnsi="Times New Roman" w:cs="Times New Roman"/>
          <w:sz w:val="24"/>
          <w:szCs w:val="24"/>
        </w:rPr>
        <w:t>The other process of framing the charges, discharging the accused and examination of prosecution and defence witnesses are same in both the procedures including the conclusion of trial.</w:t>
      </w:r>
      <w:r w:rsidR="00736141">
        <w:rPr>
          <w:rFonts w:ascii="Times New Roman" w:hAnsi="Times New Roman" w:cs="Times New Roman"/>
          <w:sz w:val="24"/>
          <w:szCs w:val="24"/>
        </w:rPr>
        <w:t xml:space="preserve"> However, the Magistrate in the course of trial, shuld ensure his jurisdiction and competency at all stages.</w:t>
      </w:r>
    </w:p>
    <w:p w:rsidR="00EA4BCD" w:rsidRDefault="00EA4BCD"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ruled out in the Supreme Court in the case of </w:t>
      </w:r>
      <w:r w:rsidRPr="00EA4BCD">
        <w:rPr>
          <w:rFonts w:ascii="Times New Roman" w:hAnsi="Times New Roman" w:cs="Times New Roman"/>
          <w:i/>
          <w:sz w:val="24"/>
          <w:szCs w:val="24"/>
        </w:rPr>
        <w:t>Budhan Choudary v.State of Bihar</w:t>
      </w:r>
      <w:r>
        <w:rPr>
          <w:rStyle w:val="FootnoteReference"/>
          <w:rFonts w:ascii="Times New Roman" w:hAnsi="Times New Roman" w:cs="Times New Roman"/>
          <w:i/>
          <w:sz w:val="24"/>
          <w:szCs w:val="24"/>
        </w:rPr>
        <w:footnoteReference w:id="34"/>
      </w:r>
      <w:r>
        <w:rPr>
          <w:rFonts w:ascii="Times New Roman" w:hAnsi="Times New Roman" w:cs="Times New Roman"/>
          <w:sz w:val="24"/>
          <w:szCs w:val="24"/>
        </w:rPr>
        <w:t>, for any classification under law to be permissible under Art.14 of the Constitution, there are two criterias to be fulfilled,</w:t>
      </w:r>
    </w:p>
    <w:p w:rsidR="00115740" w:rsidRDefault="00EA4BCD" w:rsidP="00AE3D06">
      <w:pPr>
        <w:pStyle w:val="ListParagraph"/>
        <w:numPr>
          <w:ilvl w:val="0"/>
          <w:numId w:val="13"/>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Intellegible </w:t>
      </w:r>
      <w:r w:rsidRPr="00EA4BCD">
        <w:rPr>
          <w:rFonts w:ascii="Times New Roman" w:hAnsi="Times New Roman" w:cs="Times New Roman"/>
          <w:i/>
          <w:sz w:val="24"/>
          <w:szCs w:val="24"/>
        </w:rPr>
        <w:t>differentia</w:t>
      </w:r>
      <w:r>
        <w:rPr>
          <w:rFonts w:ascii="Times New Roman" w:hAnsi="Times New Roman" w:cs="Times New Roman"/>
          <w:i/>
          <w:sz w:val="24"/>
          <w:szCs w:val="24"/>
        </w:rPr>
        <w:t xml:space="preserve"> </w:t>
      </w:r>
      <w:r w:rsidR="009D4F33">
        <w:rPr>
          <w:rFonts w:ascii="Times New Roman" w:hAnsi="Times New Roman" w:cs="Times New Roman"/>
          <w:sz w:val="24"/>
          <w:szCs w:val="24"/>
        </w:rPr>
        <w:t>of dis</w:t>
      </w:r>
      <w:r>
        <w:rPr>
          <w:rFonts w:ascii="Times New Roman" w:hAnsi="Times New Roman" w:cs="Times New Roman"/>
          <w:sz w:val="24"/>
          <w:szCs w:val="24"/>
        </w:rPr>
        <w:t>tinguishing a group of persons or things leaving out others in the group and</w:t>
      </w:r>
    </w:p>
    <w:p w:rsidR="00EA4BCD" w:rsidRPr="00EA4BCD" w:rsidRDefault="00EA4BCD" w:rsidP="00AE3D06">
      <w:pPr>
        <w:pStyle w:val="ListParagraph"/>
        <w:numPr>
          <w:ilvl w:val="0"/>
          <w:numId w:val="13"/>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 xml:space="preserve">differentia </w:t>
      </w:r>
      <w:r>
        <w:rPr>
          <w:rFonts w:ascii="Times New Roman" w:hAnsi="Times New Roman" w:cs="Times New Roman"/>
          <w:sz w:val="24"/>
          <w:szCs w:val="24"/>
        </w:rPr>
        <w:t xml:space="preserve">is to be found on the rational relation sought to be achieved by the </w:t>
      </w:r>
      <w:r w:rsidR="009D4F33">
        <w:rPr>
          <w:rFonts w:ascii="Times New Roman" w:hAnsi="Times New Roman" w:cs="Times New Roman"/>
          <w:sz w:val="24"/>
          <w:szCs w:val="24"/>
        </w:rPr>
        <w:t xml:space="preserve">object of the </w:t>
      </w:r>
      <w:r>
        <w:rPr>
          <w:rFonts w:ascii="Times New Roman" w:hAnsi="Times New Roman" w:cs="Times New Roman"/>
          <w:sz w:val="24"/>
          <w:szCs w:val="24"/>
        </w:rPr>
        <w:t>statute.</w:t>
      </w:r>
    </w:p>
    <w:p w:rsidR="00BF2E8B" w:rsidRDefault="00EA4BCD" w:rsidP="00AE3D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two criteria are fulfilled in classification prescribed under the trial of warrant cases as held in </w:t>
      </w:r>
      <w:r w:rsidRPr="00736141">
        <w:rPr>
          <w:rFonts w:ascii="Times New Roman" w:hAnsi="Times New Roman" w:cs="Times New Roman"/>
          <w:i/>
          <w:sz w:val="24"/>
          <w:szCs w:val="24"/>
        </w:rPr>
        <w:t>Ghisia v. State</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In this case, it was held that the classification is sought on the question whether or not </w:t>
      </w:r>
      <w:r w:rsidR="00BF2E8B">
        <w:rPr>
          <w:rFonts w:ascii="Times New Roman" w:hAnsi="Times New Roman" w:cs="Times New Roman"/>
          <w:sz w:val="24"/>
          <w:szCs w:val="24"/>
        </w:rPr>
        <w:t xml:space="preserve">there has been a previous investigation by a public servant whose duty is to detect a crime and bring offenders to book, thus fulfilling the first criterion. </w:t>
      </w:r>
      <w:r w:rsidR="00036923">
        <w:rPr>
          <w:rFonts w:ascii="Times New Roman" w:hAnsi="Times New Roman" w:cs="Times New Roman"/>
          <w:sz w:val="24"/>
          <w:szCs w:val="24"/>
        </w:rPr>
        <w:t xml:space="preserve">The same was also affirmed in the case of </w:t>
      </w:r>
      <w:r w:rsidR="00036923" w:rsidRPr="00036923">
        <w:rPr>
          <w:rFonts w:ascii="Times New Roman" w:hAnsi="Times New Roman" w:cs="Times New Roman"/>
          <w:i/>
          <w:sz w:val="24"/>
          <w:szCs w:val="24"/>
        </w:rPr>
        <w:t>Mahabir v. State</w:t>
      </w:r>
      <w:r w:rsidR="00036923">
        <w:rPr>
          <w:rStyle w:val="FootnoteReference"/>
          <w:rFonts w:ascii="Times New Roman" w:hAnsi="Times New Roman" w:cs="Times New Roman"/>
          <w:i/>
          <w:sz w:val="24"/>
          <w:szCs w:val="24"/>
        </w:rPr>
        <w:footnoteReference w:id="36"/>
      </w:r>
      <w:r w:rsidR="00036923">
        <w:rPr>
          <w:rFonts w:ascii="Times New Roman" w:hAnsi="Times New Roman" w:cs="Times New Roman"/>
          <w:sz w:val="24"/>
          <w:szCs w:val="24"/>
        </w:rPr>
        <w:t>.</w:t>
      </w:r>
      <w:r w:rsidR="00036923" w:rsidRPr="00036923">
        <w:rPr>
          <w:rFonts w:ascii="Times New Roman" w:hAnsi="Times New Roman" w:cs="Times New Roman"/>
          <w:sz w:val="24"/>
          <w:szCs w:val="24"/>
        </w:rPr>
        <w:t xml:space="preserve"> </w:t>
      </w:r>
      <w:r w:rsidR="00BF2E8B">
        <w:rPr>
          <w:rFonts w:ascii="Times New Roman" w:hAnsi="Times New Roman" w:cs="Times New Roman"/>
          <w:sz w:val="24"/>
          <w:szCs w:val="24"/>
        </w:rPr>
        <w:t>The whole object of the classification</w:t>
      </w:r>
      <w:r w:rsidR="00BF2E8B" w:rsidRPr="00486567">
        <w:rPr>
          <w:rFonts w:ascii="Times New Roman" w:hAnsi="Times New Roman" w:cs="Times New Roman"/>
          <w:sz w:val="24"/>
          <w:szCs w:val="24"/>
        </w:rPr>
        <w:t xml:space="preserve"> is aimed at quick and expeditious disposal of cases ensuring the right to speedy trial under the Constitution.</w:t>
      </w:r>
      <w:r w:rsidR="00BF2E8B">
        <w:rPr>
          <w:rFonts w:ascii="Times New Roman" w:hAnsi="Times New Roman" w:cs="Times New Roman"/>
          <w:sz w:val="24"/>
          <w:szCs w:val="24"/>
        </w:rPr>
        <w:t xml:space="preserve"> Comparatively, simplified procedure is adopted for cases instituted on a police report, without prejudicing the </w:t>
      </w:r>
      <w:r w:rsidR="00BF2E8B">
        <w:rPr>
          <w:rFonts w:ascii="Times New Roman" w:hAnsi="Times New Roman" w:cs="Times New Roman"/>
          <w:sz w:val="24"/>
          <w:szCs w:val="24"/>
        </w:rPr>
        <w:lastRenderedPageBreak/>
        <w:t xml:space="preserve">accused than the latter part. This intention of the Legislature establishes a nexus between the classification and object sought to be achieved by the statute, thus fulfilling the second criterion also. </w:t>
      </w:r>
    </w:p>
    <w:p w:rsidR="00BF2E8B" w:rsidRPr="00486567" w:rsidRDefault="00BF2E8B" w:rsidP="00AE3D06">
      <w:pPr>
        <w:spacing w:line="360" w:lineRule="auto"/>
        <w:jc w:val="both"/>
        <w:rPr>
          <w:rFonts w:ascii="Times New Roman" w:hAnsi="Times New Roman" w:cs="Times New Roman"/>
          <w:sz w:val="24"/>
          <w:szCs w:val="24"/>
        </w:rPr>
      </w:pPr>
      <w:r>
        <w:rPr>
          <w:rFonts w:ascii="Times New Roman" w:hAnsi="Times New Roman" w:cs="Times New Roman"/>
          <w:sz w:val="24"/>
          <w:szCs w:val="24"/>
        </w:rPr>
        <w:t>Thus, this classification under chapter XIX of CrPC is constitutionally valid.</w:t>
      </w:r>
    </w:p>
    <w:p w:rsidR="00736141" w:rsidRDefault="00736141" w:rsidP="00AE3D06">
      <w:pPr>
        <w:tabs>
          <w:tab w:val="left" w:pos="7335"/>
        </w:tabs>
        <w:spacing w:line="360" w:lineRule="auto"/>
        <w:jc w:val="both"/>
        <w:rPr>
          <w:rFonts w:ascii="Times New Roman" w:hAnsi="Times New Roman" w:cs="Times New Roman"/>
          <w:b/>
          <w:sz w:val="24"/>
          <w:szCs w:val="24"/>
        </w:rPr>
      </w:pPr>
    </w:p>
    <w:p w:rsidR="00736141" w:rsidRPr="00736141" w:rsidRDefault="00736141" w:rsidP="00736141">
      <w:pPr>
        <w:tabs>
          <w:tab w:val="left" w:pos="7335"/>
        </w:tabs>
        <w:spacing w:line="360" w:lineRule="auto"/>
        <w:jc w:val="center"/>
        <w:rPr>
          <w:rFonts w:ascii="Times New Roman" w:hAnsi="Times New Roman" w:cs="Times New Roman"/>
          <w:b/>
          <w:sz w:val="28"/>
          <w:szCs w:val="24"/>
          <w:u w:val="single"/>
        </w:rPr>
      </w:pPr>
      <w:r w:rsidRPr="00736141">
        <w:rPr>
          <w:rFonts w:ascii="Times New Roman" w:hAnsi="Times New Roman" w:cs="Times New Roman"/>
          <w:b/>
          <w:sz w:val="28"/>
          <w:szCs w:val="24"/>
          <w:u w:val="single"/>
        </w:rPr>
        <w:t>Chapter V</w:t>
      </w:r>
    </w:p>
    <w:p w:rsidR="001869A3" w:rsidRDefault="00736141" w:rsidP="00AE3D06">
      <w:pPr>
        <w:tabs>
          <w:tab w:val="left" w:pos="7335"/>
        </w:tabs>
        <w:spacing w:line="360" w:lineRule="auto"/>
        <w:jc w:val="both"/>
        <w:rPr>
          <w:rFonts w:ascii="Times New Roman" w:hAnsi="Times New Roman" w:cs="Times New Roman"/>
          <w:b/>
          <w:sz w:val="28"/>
          <w:szCs w:val="24"/>
        </w:rPr>
      </w:pPr>
      <w:r w:rsidRPr="00736141">
        <w:rPr>
          <w:rFonts w:ascii="Times New Roman" w:hAnsi="Times New Roman" w:cs="Times New Roman"/>
          <w:b/>
          <w:sz w:val="28"/>
          <w:szCs w:val="24"/>
        </w:rPr>
        <w:t xml:space="preserve">5.1 </w:t>
      </w:r>
      <w:r w:rsidR="00BF2E8B" w:rsidRPr="00736141">
        <w:rPr>
          <w:rFonts w:ascii="Times New Roman" w:hAnsi="Times New Roman" w:cs="Times New Roman"/>
          <w:b/>
          <w:sz w:val="28"/>
          <w:szCs w:val="24"/>
        </w:rPr>
        <w:t>Conclusion:</w:t>
      </w:r>
    </w:p>
    <w:p w:rsidR="00C4402E" w:rsidRPr="00C4402E" w:rsidRDefault="00C4402E" w:rsidP="00C4402E">
      <w:pPr>
        <w:tabs>
          <w:tab w:val="left" w:pos="7335"/>
        </w:tabs>
        <w:spacing w:line="360" w:lineRule="auto"/>
        <w:jc w:val="center"/>
        <w:rPr>
          <w:rFonts w:ascii="Times New Roman" w:hAnsi="Times New Roman" w:cs="Times New Roman"/>
          <w:i/>
          <w:sz w:val="24"/>
          <w:szCs w:val="24"/>
        </w:rPr>
      </w:pPr>
      <w:r w:rsidRPr="00C4402E">
        <w:rPr>
          <w:rFonts w:ascii="Times New Roman" w:hAnsi="Times New Roman" w:cs="Times New Roman"/>
          <w:i/>
          <w:sz w:val="24"/>
          <w:szCs w:val="24"/>
        </w:rPr>
        <w:t>‘</w:t>
      </w:r>
      <w:r w:rsidRPr="00C4402E">
        <w:rPr>
          <w:rFonts w:ascii="Times New Roman" w:hAnsi="Times New Roman" w:cs="Times New Roman"/>
          <w:b/>
          <w:i/>
          <w:sz w:val="24"/>
          <w:szCs w:val="24"/>
        </w:rPr>
        <w:t>Delayed justice is denied justice’</w:t>
      </w:r>
    </w:p>
    <w:p w:rsidR="00BF2E8B" w:rsidRDefault="00C4402E" w:rsidP="00AE3D06">
      <w:p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Going by this proverb, a judgment out of a prolonged trial, is nothing but a form of injustice. </w:t>
      </w:r>
      <w:r w:rsidR="00BF2E8B">
        <w:rPr>
          <w:rFonts w:ascii="Times New Roman" w:hAnsi="Times New Roman" w:cs="Times New Roman"/>
          <w:sz w:val="24"/>
          <w:szCs w:val="24"/>
        </w:rPr>
        <w:t xml:space="preserve">This paper </w:t>
      </w:r>
      <w:r w:rsidR="00DE3FE8">
        <w:rPr>
          <w:rFonts w:ascii="Times New Roman" w:hAnsi="Times New Roman" w:cs="Times New Roman"/>
          <w:sz w:val="24"/>
          <w:szCs w:val="24"/>
        </w:rPr>
        <w:t>has briefly shown the procedures</w:t>
      </w:r>
      <w:r w:rsidR="00BF2E8B">
        <w:rPr>
          <w:rFonts w:ascii="Times New Roman" w:hAnsi="Times New Roman" w:cs="Times New Roman"/>
          <w:sz w:val="24"/>
          <w:szCs w:val="24"/>
        </w:rPr>
        <w:t xml:space="preserve"> adopted for trial of warrant cases under CrPC. </w:t>
      </w:r>
      <w:r>
        <w:rPr>
          <w:rFonts w:ascii="Times New Roman" w:hAnsi="Times New Roman" w:cs="Times New Roman"/>
          <w:sz w:val="24"/>
          <w:szCs w:val="24"/>
        </w:rPr>
        <w:t>The classification of trials as warrants and summons cases</w:t>
      </w:r>
      <w:r w:rsidR="00041A56">
        <w:rPr>
          <w:rFonts w:ascii="Times New Roman" w:hAnsi="Times New Roman" w:cs="Times New Roman"/>
          <w:sz w:val="24"/>
          <w:szCs w:val="24"/>
        </w:rPr>
        <w:t>,</w:t>
      </w:r>
      <w:r>
        <w:rPr>
          <w:rFonts w:ascii="Times New Roman" w:hAnsi="Times New Roman" w:cs="Times New Roman"/>
          <w:sz w:val="24"/>
          <w:szCs w:val="24"/>
        </w:rPr>
        <w:t xml:space="preserve"> is aimed at achieving the ends of justice through speedy</w:t>
      </w:r>
      <w:r w:rsidR="00041A56">
        <w:rPr>
          <w:rFonts w:ascii="Times New Roman" w:hAnsi="Times New Roman" w:cs="Times New Roman"/>
          <w:sz w:val="24"/>
          <w:szCs w:val="24"/>
        </w:rPr>
        <w:t xml:space="preserve"> means and it is successfully serving its purpose. The trial p</w:t>
      </w:r>
      <w:r w:rsidR="009B21F3">
        <w:rPr>
          <w:rFonts w:ascii="Times New Roman" w:hAnsi="Times New Roman" w:cs="Times New Roman"/>
          <w:sz w:val="24"/>
          <w:szCs w:val="24"/>
        </w:rPr>
        <w:t>rocedures under warrant cases are quite complicated, but are</w:t>
      </w:r>
      <w:r w:rsidR="00041A56">
        <w:rPr>
          <w:rFonts w:ascii="Times New Roman" w:hAnsi="Times New Roman" w:cs="Times New Roman"/>
          <w:sz w:val="24"/>
          <w:szCs w:val="24"/>
        </w:rPr>
        <w:t xml:space="preserve"> absolutely necessary</w:t>
      </w:r>
      <w:r>
        <w:rPr>
          <w:rFonts w:ascii="Times New Roman" w:hAnsi="Times New Roman" w:cs="Times New Roman"/>
          <w:sz w:val="24"/>
          <w:szCs w:val="24"/>
        </w:rPr>
        <w:t xml:space="preserve"> </w:t>
      </w:r>
      <w:r w:rsidR="00041A56">
        <w:rPr>
          <w:rFonts w:ascii="Times New Roman" w:hAnsi="Times New Roman" w:cs="Times New Roman"/>
          <w:sz w:val="24"/>
          <w:szCs w:val="24"/>
        </w:rPr>
        <w:t xml:space="preserve">for the nature of the case. Yet the sub </w:t>
      </w:r>
      <w:r w:rsidR="009B21F3">
        <w:rPr>
          <w:rFonts w:ascii="Times New Roman" w:hAnsi="Times New Roman" w:cs="Times New Roman"/>
          <w:sz w:val="24"/>
          <w:szCs w:val="24"/>
        </w:rPr>
        <w:t>categoriz</w:t>
      </w:r>
      <w:r w:rsidR="00041A56">
        <w:rPr>
          <w:rFonts w:ascii="Times New Roman" w:hAnsi="Times New Roman" w:cs="Times New Roman"/>
          <w:sz w:val="24"/>
          <w:szCs w:val="24"/>
        </w:rPr>
        <w:t>ation under warrants case</w:t>
      </w:r>
      <w:r w:rsidR="009B21F3">
        <w:rPr>
          <w:rFonts w:ascii="Times New Roman" w:hAnsi="Times New Roman" w:cs="Times New Roman"/>
          <w:sz w:val="24"/>
          <w:szCs w:val="24"/>
        </w:rPr>
        <w:t>,</w:t>
      </w:r>
      <w:r w:rsidR="00041A56">
        <w:rPr>
          <w:rFonts w:ascii="Times New Roman" w:hAnsi="Times New Roman" w:cs="Times New Roman"/>
          <w:sz w:val="24"/>
          <w:szCs w:val="24"/>
        </w:rPr>
        <w:t xml:space="preserve"> provides for a quicker means especially for cases on police report. Hence, it proves to be beneficial for people seeking justice before the forum, and no amendment is required that would alter the procedure.</w:t>
      </w:r>
    </w:p>
    <w:p w:rsidR="00736141" w:rsidRDefault="00736141" w:rsidP="00AE3D06">
      <w:pPr>
        <w:tabs>
          <w:tab w:val="left" w:pos="7335"/>
        </w:tabs>
        <w:spacing w:line="360" w:lineRule="auto"/>
        <w:jc w:val="both"/>
        <w:rPr>
          <w:rFonts w:ascii="Times New Roman" w:hAnsi="Times New Roman" w:cs="Times New Roman"/>
          <w:b/>
          <w:sz w:val="28"/>
          <w:szCs w:val="24"/>
        </w:rPr>
      </w:pPr>
    </w:p>
    <w:p w:rsidR="00736141" w:rsidRPr="00736141" w:rsidRDefault="00736141" w:rsidP="00AE3D06">
      <w:pPr>
        <w:tabs>
          <w:tab w:val="left" w:pos="7335"/>
        </w:tabs>
        <w:spacing w:line="360" w:lineRule="auto"/>
        <w:jc w:val="both"/>
        <w:rPr>
          <w:rFonts w:ascii="Times New Roman" w:hAnsi="Times New Roman" w:cs="Times New Roman"/>
          <w:b/>
          <w:sz w:val="28"/>
          <w:szCs w:val="24"/>
        </w:rPr>
      </w:pPr>
      <w:r w:rsidRPr="00736141">
        <w:rPr>
          <w:rFonts w:ascii="Times New Roman" w:hAnsi="Times New Roman" w:cs="Times New Roman"/>
          <w:b/>
          <w:sz w:val="28"/>
          <w:szCs w:val="24"/>
        </w:rPr>
        <w:t>Bibliography:</w:t>
      </w:r>
    </w:p>
    <w:p w:rsidR="00736141" w:rsidRPr="00736141" w:rsidRDefault="00736141" w:rsidP="00AE3D06">
      <w:pPr>
        <w:tabs>
          <w:tab w:val="left" w:pos="7335"/>
        </w:tabs>
        <w:spacing w:line="360" w:lineRule="auto"/>
        <w:jc w:val="both"/>
        <w:rPr>
          <w:rFonts w:ascii="Times New Roman" w:hAnsi="Times New Roman" w:cs="Times New Roman"/>
          <w:b/>
          <w:sz w:val="24"/>
          <w:szCs w:val="24"/>
        </w:rPr>
      </w:pPr>
      <w:r w:rsidRPr="00736141">
        <w:rPr>
          <w:rFonts w:ascii="Times New Roman" w:hAnsi="Times New Roman" w:cs="Times New Roman"/>
          <w:b/>
          <w:sz w:val="24"/>
          <w:szCs w:val="24"/>
        </w:rPr>
        <w:t>Books:</w:t>
      </w:r>
    </w:p>
    <w:p w:rsidR="00137BDB" w:rsidRPr="00F7166B" w:rsidRDefault="00137BDB" w:rsidP="00137BDB">
      <w:pPr>
        <w:pStyle w:val="ListParagraph"/>
        <w:numPr>
          <w:ilvl w:val="0"/>
          <w:numId w:val="21"/>
        </w:numPr>
        <w:tabs>
          <w:tab w:val="left" w:pos="7335"/>
        </w:tabs>
        <w:spacing w:line="360" w:lineRule="auto"/>
        <w:jc w:val="both"/>
        <w:rPr>
          <w:rFonts w:ascii="Times New Roman" w:hAnsi="Times New Roman" w:cs="Times New Roman"/>
          <w:sz w:val="24"/>
          <w:szCs w:val="24"/>
        </w:rPr>
      </w:pPr>
      <w:r w:rsidRPr="00F7166B">
        <w:rPr>
          <w:rFonts w:ascii="Times New Roman" w:hAnsi="Times New Roman" w:cs="Times New Roman"/>
          <w:sz w:val="24"/>
          <w:szCs w:val="24"/>
        </w:rPr>
        <w:t xml:space="preserve">Durga Das Basu, </w:t>
      </w:r>
      <w:r w:rsidRPr="00F7166B">
        <w:rPr>
          <w:rFonts w:ascii="Times New Roman" w:hAnsi="Times New Roman" w:cs="Times New Roman"/>
          <w:i/>
          <w:sz w:val="24"/>
          <w:szCs w:val="24"/>
        </w:rPr>
        <w:t xml:space="preserve">Criminal Procedure Code, 1973, </w:t>
      </w:r>
      <w:r w:rsidRPr="00F7166B">
        <w:rPr>
          <w:rFonts w:ascii="Times New Roman" w:hAnsi="Times New Roman" w:cs="Times New Roman"/>
          <w:sz w:val="24"/>
          <w:szCs w:val="24"/>
        </w:rPr>
        <w:t>1329-1382 (5</w:t>
      </w:r>
      <w:r w:rsidRPr="00F7166B">
        <w:rPr>
          <w:rFonts w:ascii="Times New Roman" w:hAnsi="Times New Roman" w:cs="Times New Roman"/>
          <w:sz w:val="24"/>
          <w:szCs w:val="24"/>
          <w:vertAlign w:val="superscript"/>
        </w:rPr>
        <w:t>th</w:t>
      </w:r>
      <w:r w:rsidRPr="00F7166B">
        <w:rPr>
          <w:rFonts w:ascii="Times New Roman" w:hAnsi="Times New Roman" w:cs="Times New Roman"/>
          <w:sz w:val="24"/>
          <w:szCs w:val="24"/>
        </w:rPr>
        <w:t xml:space="preserve"> Edition, 2014) vol.2, Lexis Nexis, Haryana.</w:t>
      </w:r>
    </w:p>
    <w:p w:rsidR="00137BDB" w:rsidRPr="00F7166B" w:rsidRDefault="00137BDB" w:rsidP="00137BDB">
      <w:pPr>
        <w:pStyle w:val="ListParagraph"/>
        <w:numPr>
          <w:ilvl w:val="0"/>
          <w:numId w:val="21"/>
        </w:numPr>
        <w:tabs>
          <w:tab w:val="left" w:pos="7335"/>
        </w:tabs>
        <w:spacing w:line="360" w:lineRule="auto"/>
        <w:jc w:val="both"/>
        <w:rPr>
          <w:rFonts w:ascii="Times New Roman" w:hAnsi="Times New Roman" w:cs="Times New Roman"/>
          <w:sz w:val="24"/>
          <w:szCs w:val="24"/>
        </w:rPr>
      </w:pPr>
      <w:r w:rsidRPr="00F7166B">
        <w:rPr>
          <w:rFonts w:ascii="Times New Roman" w:hAnsi="Times New Roman" w:cs="Times New Roman"/>
          <w:sz w:val="24"/>
          <w:szCs w:val="24"/>
        </w:rPr>
        <w:t xml:space="preserve">Pillai K.N.Chandrasekharan, </w:t>
      </w:r>
      <w:r w:rsidRPr="00F7166B">
        <w:rPr>
          <w:rFonts w:ascii="Times New Roman" w:hAnsi="Times New Roman" w:cs="Times New Roman"/>
          <w:i/>
          <w:sz w:val="24"/>
          <w:szCs w:val="24"/>
        </w:rPr>
        <w:t>R.V.Kelkar’s Lctures on Criminal Procedure</w:t>
      </w:r>
      <w:r w:rsidRPr="00F7166B">
        <w:rPr>
          <w:rFonts w:ascii="Times New Roman" w:hAnsi="Times New Roman" w:cs="Times New Roman"/>
          <w:sz w:val="24"/>
          <w:szCs w:val="24"/>
        </w:rPr>
        <w:t>,  208-223(5</w:t>
      </w:r>
      <w:r w:rsidRPr="00F7166B">
        <w:rPr>
          <w:rFonts w:ascii="Times New Roman" w:hAnsi="Times New Roman" w:cs="Times New Roman"/>
          <w:sz w:val="24"/>
          <w:szCs w:val="24"/>
          <w:vertAlign w:val="superscript"/>
        </w:rPr>
        <w:t>th</w:t>
      </w:r>
      <w:r w:rsidRPr="00F7166B">
        <w:rPr>
          <w:rFonts w:ascii="Times New Roman" w:hAnsi="Times New Roman" w:cs="Times New Roman"/>
          <w:sz w:val="24"/>
          <w:szCs w:val="24"/>
        </w:rPr>
        <w:t xml:space="preserve"> Edition,2015), Eastern Book Company, Lucknow.</w:t>
      </w:r>
    </w:p>
    <w:p w:rsidR="00137BDB" w:rsidRPr="00F7166B" w:rsidRDefault="00137BDB" w:rsidP="00137BDB">
      <w:pPr>
        <w:pStyle w:val="ListParagraph"/>
        <w:numPr>
          <w:ilvl w:val="0"/>
          <w:numId w:val="21"/>
        </w:numPr>
        <w:tabs>
          <w:tab w:val="left" w:pos="7335"/>
        </w:tabs>
        <w:spacing w:line="360" w:lineRule="auto"/>
        <w:jc w:val="both"/>
        <w:rPr>
          <w:rFonts w:ascii="Times New Roman" w:hAnsi="Times New Roman" w:cs="Times New Roman"/>
          <w:sz w:val="24"/>
          <w:szCs w:val="24"/>
        </w:rPr>
      </w:pPr>
      <w:r w:rsidRPr="00F7166B">
        <w:rPr>
          <w:rFonts w:ascii="Times New Roman" w:hAnsi="Times New Roman" w:cs="Times New Roman"/>
          <w:sz w:val="24"/>
          <w:szCs w:val="24"/>
        </w:rPr>
        <w:t xml:space="preserve">Pillai K.N.Chandrasekharan, </w:t>
      </w:r>
      <w:r w:rsidRPr="00F7166B">
        <w:rPr>
          <w:rFonts w:ascii="Times New Roman" w:hAnsi="Times New Roman" w:cs="Times New Roman"/>
          <w:i/>
          <w:sz w:val="24"/>
          <w:szCs w:val="24"/>
        </w:rPr>
        <w:t>R.V.Kelkar’s Lctures on Criminal Procedure</w:t>
      </w:r>
      <w:r w:rsidRPr="00F7166B">
        <w:rPr>
          <w:rFonts w:ascii="Times New Roman" w:hAnsi="Times New Roman" w:cs="Times New Roman"/>
          <w:sz w:val="24"/>
          <w:szCs w:val="24"/>
        </w:rPr>
        <w:t>,  543-565(6</w:t>
      </w:r>
      <w:r w:rsidRPr="00F7166B">
        <w:rPr>
          <w:rFonts w:ascii="Times New Roman" w:hAnsi="Times New Roman" w:cs="Times New Roman"/>
          <w:sz w:val="24"/>
          <w:szCs w:val="24"/>
          <w:vertAlign w:val="superscript"/>
        </w:rPr>
        <w:t>th</w:t>
      </w:r>
      <w:r w:rsidRPr="00F7166B">
        <w:rPr>
          <w:rFonts w:ascii="Times New Roman" w:hAnsi="Times New Roman" w:cs="Times New Roman"/>
          <w:sz w:val="24"/>
          <w:szCs w:val="24"/>
        </w:rPr>
        <w:t xml:space="preserve"> Edition,2014), Eastern Book Company, Lucknow.</w:t>
      </w:r>
    </w:p>
    <w:p w:rsidR="00137BDB" w:rsidRPr="00F7166B" w:rsidRDefault="00137BDB" w:rsidP="00137BDB">
      <w:pPr>
        <w:pStyle w:val="ListParagraph"/>
        <w:numPr>
          <w:ilvl w:val="0"/>
          <w:numId w:val="21"/>
        </w:numPr>
        <w:tabs>
          <w:tab w:val="left" w:pos="7335"/>
        </w:tabs>
        <w:spacing w:line="360" w:lineRule="auto"/>
        <w:jc w:val="both"/>
        <w:rPr>
          <w:rFonts w:ascii="Times New Roman" w:hAnsi="Times New Roman" w:cs="Times New Roman"/>
          <w:sz w:val="24"/>
          <w:szCs w:val="24"/>
        </w:rPr>
      </w:pPr>
      <w:r w:rsidRPr="00F7166B">
        <w:rPr>
          <w:rFonts w:ascii="Times New Roman" w:hAnsi="Times New Roman" w:cs="Times New Roman"/>
          <w:sz w:val="24"/>
          <w:szCs w:val="24"/>
        </w:rPr>
        <w:lastRenderedPageBreak/>
        <w:t xml:space="preserve">Ratanlal and Dhirajlal, </w:t>
      </w:r>
      <w:r w:rsidRPr="00F7166B">
        <w:rPr>
          <w:rFonts w:ascii="Times New Roman" w:hAnsi="Times New Roman" w:cs="Times New Roman"/>
          <w:i/>
          <w:sz w:val="24"/>
          <w:szCs w:val="24"/>
        </w:rPr>
        <w:t>The Code of Criminal Procedure</w:t>
      </w:r>
      <w:r w:rsidRPr="00F7166B">
        <w:rPr>
          <w:rFonts w:ascii="Times New Roman" w:hAnsi="Times New Roman" w:cs="Times New Roman"/>
          <w:sz w:val="24"/>
          <w:szCs w:val="24"/>
        </w:rPr>
        <w:t>, 1077-1102 (19</w:t>
      </w:r>
      <w:r w:rsidRPr="00F7166B">
        <w:rPr>
          <w:rFonts w:ascii="Times New Roman" w:hAnsi="Times New Roman" w:cs="Times New Roman"/>
          <w:sz w:val="24"/>
          <w:szCs w:val="24"/>
          <w:vertAlign w:val="superscript"/>
        </w:rPr>
        <w:t>th</w:t>
      </w:r>
      <w:r w:rsidRPr="00F7166B">
        <w:rPr>
          <w:rFonts w:ascii="Times New Roman" w:hAnsi="Times New Roman" w:cs="Times New Roman"/>
          <w:sz w:val="24"/>
          <w:szCs w:val="24"/>
        </w:rPr>
        <w:t xml:space="preserve"> Edition, 2015) Lexis Nexis, Haryana.</w:t>
      </w:r>
    </w:p>
    <w:p w:rsidR="00137BDB" w:rsidRDefault="00137BDB" w:rsidP="00137BDB">
      <w:pPr>
        <w:pStyle w:val="ListParagraph"/>
        <w:numPr>
          <w:ilvl w:val="0"/>
          <w:numId w:val="21"/>
        </w:numPr>
        <w:tabs>
          <w:tab w:val="left" w:pos="7335"/>
        </w:tabs>
        <w:spacing w:line="360" w:lineRule="auto"/>
        <w:jc w:val="both"/>
        <w:rPr>
          <w:rFonts w:ascii="Times New Roman" w:hAnsi="Times New Roman" w:cs="Times New Roman"/>
          <w:sz w:val="24"/>
          <w:szCs w:val="24"/>
        </w:rPr>
      </w:pPr>
      <w:r w:rsidRPr="00F7166B">
        <w:rPr>
          <w:rFonts w:ascii="Times New Roman" w:hAnsi="Times New Roman" w:cs="Times New Roman"/>
          <w:sz w:val="24"/>
          <w:szCs w:val="24"/>
        </w:rPr>
        <w:t xml:space="preserve">Singhal M.L., </w:t>
      </w:r>
      <w:r w:rsidRPr="00F7166B">
        <w:rPr>
          <w:rFonts w:ascii="Times New Roman" w:hAnsi="Times New Roman" w:cs="Times New Roman"/>
          <w:i/>
          <w:sz w:val="24"/>
          <w:szCs w:val="24"/>
        </w:rPr>
        <w:t>Sohoni’s Code of Criminal Procedure</w:t>
      </w:r>
      <w:r w:rsidRPr="00F7166B">
        <w:rPr>
          <w:rFonts w:ascii="Times New Roman" w:hAnsi="Times New Roman" w:cs="Times New Roman"/>
          <w:sz w:val="24"/>
          <w:szCs w:val="24"/>
        </w:rPr>
        <w:t>, 1082-1283 (21</w:t>
      </w:r>
      <w:r w:rsidRPr="00F7166B">
        <w:rPr>
          <w:rFonts w:ascii="Times New Roman" w:hAnsi="Times New Roman" w:cs="Times New Roman"/>
          <w:sz w:val="24"/>
          <w:szCs w:val="24"/>
          <w:vertAlign w:val="superscript"/>
        </w:rPr>
        <w:t>st</w:t>
      </w:r>
      <w:r w:rsidRPr="00F7166B">
        <w:rPr>
          <w:rFonts w:ascii="Times New Roman" w:hAnsi="Times New Roman" w:cs="Times New Roman"/>
          <w:sz w:val="24"/>
          <w:szCs w:val="24"/>
        </w:rPr>
        <w:t xml:space="preserve"> Edition, 2015) vol.3, Lexis Nexis, Haryana.</w:t>
      </w:r>
    </w:p>
    <w:p w:rsidR="001416C1" w:rsidRDefault="001416C1" w:rsidP="003140D8">
      <w:pPr>
        <w:tabs>
          <w:tab w:val="left" w:pos="7335"/>
        </w:tabs>
        <w:spacing w:line="360" w:lineRule="auto"/>
        <w:jc w:val="both"/>
        <w:rPr>
          <w:rFonts w:ascii="Times New Roman" w:hAnsi="Times New Roman" w:cs="Times New Roman"/>
          <w:b/>
          <w:sz w:val="24"/>
          <w:szCs w:val="24"/>
        </w:rPr>
      </w:pPr>
    </w:p>
    <w:p w:rsidR="001416C1" w:rsidRDefault="001416C1" w:rsidP="003140D8">
      <w:pPr>
        <w:tabs>
          <w:tab w:val="left" w:pos="7335"/>
        </w:tabs>
        <w:spacing w:line="360" w:lineRule="auto"/>
        <w:jc w:val="both"/>
        <w:rPr>
          <w:rFonts w:ascii="Times New Roman" w:hAnsi="Times New Roman" w:cs="Times New Roman"/>
          <w:b/>
          <w:sz w:val="24"/>
          <w:szCs w:val="24"/>
        </w:rPr>
      </w:pPr>
    </w:p>
    <w:p w:rsidR="003140D8" w:rsidRDefault="003140D8" w:rsidP="003140D8">
      <w:pPr>
        <w:tabs>
          <w:tab w:val="left" w:pos="7335"/>
        </w:tabs>
        <w:spacing w:line="360" w:lineRule="auto"/>
        <w:jc w:val="both"/>
        <w:rPr>
          <w:rFonts w:ascii="Times New Roman" w:hAnsi="Times New Roman" w:cs="Times New Roman"/>
          <w:b/>
          <w:sz w:val="24"/>
          <w:szCs w:val="24"/>
        </w:rPr>
      </w:pPr>
      <w:r w:rsidRPr="003140D8">
        <w:rPr>
          <w:rFonts w:ascii="Times New Roman" w:hAnsi="Times New Roman" w:cs="Times New Roman"/>
          <w:b/>
          <w:sz w:val="24"/>
          <w:szCs w:val="24"/>
        </w:rPr>
        <w:t>Web sources:</w:t>
      </w:r>
    </w:p>
    <w:p w:rsidR="006D4669" w:rsidRPr="0006023C" w:rsidRDefault="0006023C"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Shradha </w:t>
      </w:r>
      <w:r w:rsidRPr="0006023C">
        <w:rPr>
          <w:rFonts w:ascii="Times New Roman" w:hAnsi="Times New Roman" w:cs="Times New Roman"/>
          <w:sz w:val="24"/>
          <w:szCs w:val="24"/>
        </w:rPr>
        <w:t>Arora</w:t>
      </w:r>
      <w:r>
        <w:rPr>
          <w:rFonts w:ascii="Times New Roman" w:hAnsi="Times New Roman" w:cs="Times New Roman"/>
          <w:sz w:val="24"/>
          <w:szCs w:val="24"/>
        </w:rPr>
        <w:t>,</w:t>
      </w:r>
      <w:r w:rsidRPr="0006023C">
        <w:rPr>
          <w:rFonts w:ascii="Times New Roman" w:hAnsi="Times New Roman" w:cs="Times New Roman"/>
          <w:sz w:val="24"/>
          <w:szCs w:val="24"/>
        </w:rPr>
        <w:t xml:space="preserve"> </w:t>
      </w:r>
      <w:r w:rsidRPr="0006023C">
        <w:rPr>
          <w:rFonts w:ascii="Times New Roman" w:hAnsi="Times New Roman" w:cs="Times New Roman"/>
          <w:i/>
          <w:sz w:val="24"/>
          <w:szCs w:val="24"/>
        </w:rPr>
        <w:t>Trial Of Warrant Cases By Magistrates: An Analysis Of The Procedure For Trial Of Warrant Cases By The Magistrates</w:t>
      </w:r>
      <w:r w:rsidR="006D4669" w:rsidRPr="0006023C">
        <w:rPr>
          <w:rFonts w:ascii="Times New Roman" w:hAnsi="Times New Roman" w:cs="Times New Roman"/>
          <w:i/>
          <w:sz w:val="24"/>
          <w:szCs w:val="24"/>
        </w:rPr>
        <w:t xml:space="preserve">, </w:t>
      </w:r>
      <w:hyperlink r:id="rId9" w:history="1">
        <w:r w:rsidR="006D4669" w:rsidRPr="0006023C">
          <w:rPr>
            <w:rStyle w:val="Hyperlink"/>
            <w:rFonts w:ascii="Times New Roman" w:hAnsi="Times New Roman" w:cs="Times New Roman"/>
            <w:color w:val="auto"/>
            <w:sz w:val="24"/>
            <w:szCs w:val="24"/>
            <w:u w:val="none"/>
          </w:rPr>
          <w:t>http://www.ijesls.com/Trial%20of%20Warrant%20Cases%20by%20Magistrate-%20Shradha%20Arora.pdf</w:t>
        </w:r>
      </w:hyperlink>
      <w:r>
        <w:rPr>
          <w:rFonts w:ascii="Times New Roman" w:hAnsi="Times New Roman" w:cs="Times New Roman"/>
          <w:sz w:val="24"/>
          <w:szCs w:val="24"/>
        </w:rPr>
        <w:t>, (last visited Sep.26, 2016).</w:t>
      </w:r>
    </w:p>
    <w:p w:rsidR="006D4669" w:rsidRPr="0006023C" w:rsidRDefault="006D4669"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sidRPr="0006023C">
        <w:rPr>
          <w:rFonts w:ascii="Times New Roman" w:hAnsi="Times New Roman" w:cs="Times New Roman"/>
          <w:sz w:val="24"/>
          <w:szCs w:val="24"/>
        </w:rPr>
        <w:t> </w:t>
      </w:r>
      <w:r w:rsidR="0006023C">
        <w:rPr>
          <w:rFonts w:ascii="Times New Roman" w:hAnsi="Times New Roman" w:cs="Times New Roman"/>
          <w:sz w:val="24"/>
          <w:szCs w:val="24"/>
        </w:rPr>
        <w:t xml:space="preserve">Advocate Guru, </w:t>
      </w:r>
      <w:r w:rsidR="0006023C" w:rsidRPr="0006023C">
        <w:rPr>
          <w:rFonts w:ascii="Times New Roman" w:hAnsi="Times New Roman" w:cs="Times New Roman"/>
          <w:i/>
          <w:sz w:val="24"/>
          <w:szCs w:val="24"/>
        </w:rPr>
        <w:t>Trial Of Warrant Cases By Magistrates</w:t>
      </w:r>
      <w:r w:rsidR="0006023C">
        <w:rPr>
          <w:rFonts w:ascii="Times New Roman" w:hAnsi="Times New Roman" w:cs="Times New Roman"/>
          <w:i/>
          <w:sz w:val="24"/>
          <w:szCs w:val="24"/>
        </w:rPr>
        <w:t xml:space="preserve">, </w:t>
      </w:r>
      <w:r w:rsidRPr="0006023C">
        <w:rPr>
          <w:rFonts w:ascii="Times New Roman" w:hAnsi="Times New Roman" w:cs="Times New Roman"/>
          <w:sz w:val="24"/>
          <w:szCs w:val="24"/>
        </w:rPr>
        <w:t>October</w:t>
      </w:r>
      <w:r w:rsidR="0006023C">
        <w:rPr>
          <w:rFonts w:ascii="Times New Roman" w:hAnsi="Times New Roman" w:cs="Times New Roman"/>
          <w:sz w:val="24"/>
          <w:szCs w:val="24"/>
        </w:rPr>
        <w:t xml:space="preserve"> 27, 2013,</w:t>
      </w:r>
      <w:r w:rsidRPr="0006023C">
        <w:rPr>
          <w:rFonts w:ascii="Times New Roman" w:hAnsi="Times New Roman" w:cs="Times New Roman"/>
          <w:sz w:val="24"/>
          <w:szCs w:val="24"/>
        </w:rPr>
        <w:t xml:space="preserve"> </w:t>
      </w:r>
      <w:hyperlink r:id="rId10" w:history="1">
        <w:r w:rsidRPr="0006023C">
          <w:rPr>
            <w:rStyle w:val="Hyperlink"/>
            <w:rFonts w:ascii="Times New Roman" w:hAnsi="Times New Roman" w:cs="Times New Roman"/>
            <w:color w:val="auto"/>
            <w:sz w:val="24"/>
            <w:szCs w:val="24"/>
            <w:u w:val="none"/>
          </w:rPr>
          <w:t>https://advocateguru.com/trial-of-warrant-cases-by-magistrate/</w:t>
        </w:r>
      </w:hyperlink>
      <w:r w:rsidR="0006023C">
        <w:rPr>
          <w:rFonts w:ascii="Times New Roman" w:hAnsi="Times New Roman" w:cs="Times New Roman"/>
          <w:sz w:val="24"/>
          <w:szCs w:val="24"/>
        </w:rPr>
        <w:t>, (last visited Sep.26, 2016).</w:t>
      </w:r>
    </w:p>
    <w:p w:rsidR="006D4669" w:rsidRPr="0006023C" w:rsidRDefault="0006023C"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Hanumant, </w:t>
      </w:r>
      <w:r w:rsidR="006D4669" w:rsidRPr="0006023C">
        <w:rPr>
          <w:rFonts w:ascii="Times New Roman" w:hAnsi="Times New Roman" w:cs="Times New Roman"/>
          <w:bCs/>
          <w:i/>
          <w:sz w:val="24"/>
          <w:szCs w:val="24"/>
        </w:rPr>
        <w:t>Differences and Short Notes</w:t>
      </w:r>
      <w:r>
        <w:rPr>
          <w:rFonts w:ascii="Times New Roman" w:hAnsi="Times New Roman" w:cs="Times New Roman"/>
          <w:bCs/>
          <w:sz w:val="24"/>
          <w:szCs w:val="24"/>
        </w:rPr>
        <w:t xml:space="preserve">, </w:t>
      </w:r>
      <w:r w:rsidR="006D4669" w:rsidRPr="0006023C">
        <w:rPr>
          <w:rFonts w:ascii="Times New Roman" w:hAnsi="Times New Roman" w:cs="Times New Roman"/>
          <w:sz w:val="24"/>
          <w:szCs w:val="24"/>
        </w:rPr>
        <w:t>http://hanumant.com/CrPC-DifferencesShortNotes.html</w:t>
      </w:r>
      <w:r>
        <w:rPr>
          <w:rFonts w:ascii="Times New Roman" w:hAnsi="Times New Roman" w:cs="Times New Roman"/>
          <w:sz w:val="24"/>
          <w:szCs w:val="24"/>
        </w:rPr>
        <w:t>, (last visited Sep.26, 2016).</w:t>
      </w:r>
    </w:p>
    <w:p w:rsidR="006D4669" w:rsidRPr="0006023C" w:rsidRDefault="0006023C"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Practice of Law, </w:t>
      </w:r>
      <w:r w:rsidR="006D4669" w:rsidRPr="0006023C">
        <w:rPr>
          <w:rFonts w:ascii="Times New Roman" w:hAnsi="Times New Roman" w:cs="Times New Roman"/>
          <w:i/>
          <w:sz w:val="24"/>
          <w:szCs w:val="24"/>
        </w:rPr>
        <w:t>S.238 to 243 Trial before Magistrates Court- Warrant Case on Police report</w:t>
      </w:r>
      <w:r w:rsidR="006D4669" w:rsidRPr="0006023C">
        <w:rPr>
          <w:rFonts w:ascii="Times New Roman" w:hAnsi="Times New Roman" w:cs="Times New Roman"/>
          <w:sz w:val="24"/>
          <w:szCs w:val="24"/>
        </w:rPr>
        <w:t>, Apr.9,</w:t>
      </w:r>
      <w:r>
        <w:rPr>
          <w:rFonts w:ascii="Times New Roman" w:hAnsi="Times New Roman" w:cs="Times New Roman"/>
          <w:sz w:val="24"/>
          <w:szCs w:val="24"/>
        </w:rPr>
        <w:t xml:space="preserve"> </w:t>
      </w:r>
      <w:r w:rsidR="006D4669" w:rsidRPr="0006023C">
        <w:rPr>
          <w:rFonts w:ascii="Times New Roman" w:hAnsi="Times New Roman" w:cs="Times New Roman"/>
          <w:sz w:val="24"/>
          <w:szCs w:val="24"/>
        </w:rPr>
        <w:t>2016,</w:t>
      </w:r>
      <w:r>
        <w:rPr>
          <w:rFonts w:ascii="Times New Roman" w:hAnsi="Times New Roman" w:cs="Times New Roman"/>
          <w:sz w:val="24"/>
          <w:szCs w:val="24"/>
        </w:rPr>
        <w:t xml:space="preserve"> </w:t>
      </w:r>
      <w:hyperlink r:id="rId11" w:history="1">
        <w:r w:rsidR="006D4669" w:rsidRPr="0006023C">
          <w:rPr>
            <w:rStyle w:val="Hyperlink"/>
            <w:rFonts w:ascii="Times New Roman" w:hAnsi="Times New Roman" w:cs="Times New Roman"/>
            <w:color w:val="auto"/>
            <w:sz w:val="24"/>
            <w:szCs w:val="24"/>
            <w:u w:val="none"/>
          </w:rPr>
          <w:t>http://thepracticeoflawjalan.blogspot.in/2012/04/crpc-trial-before-magistrates-court_09.html</w:t>
        </w:r>
      </w:hyperlink>
      <w:r>
        <w:rPr>
          <w:rFonts w:ascii="Times New Roman" w:hAnsi="Times New Roman" w:cs="Times New Roman"/>
          <w:sz w:val="24"/>
          <w:szCs w:val="24"/>
        </w:rPr>
        <w:t>, (last visited Sep.26, 2016).</w:t>
      </w:r>
    </w:p>
    <w:p w:rsidR="006D4669" w:rsidRPr="0006023C" w:rsidRDefault="0006023C"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sidRPr="0006023C">
        <w:rPr>
          <w:rFonts w:ascii="Times New Roman" w:hAnsi="Times New Roman" w:cs="Times New Roman"/>
          <w:i/>
          <w:sz w:val="24"/>
          <w:szCs w:val="24"/>
        </w:rPr>
        <w:t>Procedure In Difference Types Of Criminal Trials.,</w:t>
      </w:r>
      <w:r w:rsidRPr="0006023C">
        <w:rPr>
          <w:rFonts w:ascii="Times New Roman" w:hAnsi="Times New Roman" w:cs="Times New Roman"/>
          <w:sz w:val="24"/>
          <w:szCs w:val="24"/>
        </w:rPr>
        <w:t xml:space="preserve"> </w:t>
      </w:r>
      <w:hyperlink r:id="rId12" w:history="1">
        <w:r w:rsidR="006D4669" w:rsidRPr="0006023C">
          <w:rPr>
            <w:rStyle w:val="Hyperlink"/>
            <w:rFonts w:ascii="Times New Roman" w:hAnsi="Times New Roman" w:cs="Times New Roman"/>
            <w:color w:val="auto"/>
            <w:sz w:val="24"/>
            <w:szCs w:val="24"/>
            <w:u w:val="none"/>
          </w:rPr>
          <w:t>http://mja.gov.in/Site/Upload/GR/%20I%20Summ%20of%20Cri.pdf</w:t>
        </w:r>
      </w:hyperlink>
      <w:r>
        <w:rPr>
          <w:rFonts w:ascii="Times New Roman" w:hAnsi="Times New Roman" w:cs="Times New Roman"/>
          <w:sz w:val="24"/>
          <w:szCs w:val="24"/>
        </w:rPr>
        <w:t>, (last visited Sep.26, 2016).</w:t>
      </w:r>
    </w:p>
    <w:p w:rsidR="006D4669" w:rsidRPr="0006023C" w:rsidRDefault="006D4669" w:rsidP="0006023C">
      <w:pPr>
        <w:pStyle w:val="ListParagraph"/>
        <w:numPr>
          <w:ilvl w:val="0"/>
          <w:numId w:val="24"/>
        </w:numPr>
        <w:tabs>
          <w:tab w:val="left" w:pos="7335"/>
        </w:tabs>
        <w:spacing w:line="360" w:lineRule="auto"/>
        <w:jc w:val="both"/>
        <w:rPr>
          <w:rFonts w:ascii="Times New Roman" w:hAnsi="Times New Roman" w:cs="Times New Roman"/>
          <w:sz w:val="24"/>
          <w:szCs w:val="24"/>
        </w:rPr>
      </w:pPr>
      <w:r w:rsidRPr="0006023C">
        <w:rPr>
          <w:rFonts w:ascii="Times New Roman" w:hAnsi="Times New Roman" w:cs="Times New Roman"/>
          <w:sz w:val="24"/>
          <w:szCs w:val="24"/>
        </w:rPr>
        <w:t>Indian Law Database</w:t>
      </w:r>
      <w:r w:rsidR="0006023C" w:rsidRPr="0006023C">
        <w:rPr>
          <w:rFonts w:ascii="Times New Roman" w:hAnsi="Times New Roman" w:cs="Times New Roman"/>
          <w:sz w:val="24"/>
          <w:szCs w:val="24"/>
        </w:rPr>
        <w:t xml:space="preserve">, </w:t>
      </w:r>
      <w:r w:rsidRPr="0006023C">
        <w:rPr>
          <w:rFonts w:ascii="Times New Roman" w:hAnsi="Times New Roman" w:cs="Times New Roman"/>
          <w:i/>
          <w:sz w:val="24"/>
          <w:szCs w:val="24"/>
        </w:rPr>
        <w:t>Summons case and warrants case</w:t>
      </w:r>
      <w:r w:rsidRPr="0006023C">
        <w:rPr>
          <w:rFonts w:ascii="Times New Roman" w:hAnsi="Times New Roman" w:cs="Times New Roman"/>
          <w:sz w:val="24"/>
          <w:szCs w:val="24"/>
        </w:rPr>
        <w:t xml:space="preserve">, </w:t>
      </w:r>
      <w:hyperlink r:id="rId13" w:history="1">
        <w:r w:rsidR="0006023C" w:rsidRPr="00C22A08">
          <w:rPr>
            <w:rStyle w:val="Hyperlink"/>
            <w:rFonts w:ascii="Times New Roman" w:hAnsi="Times New Roman" w:cs="Times New Roman"/>
            <w:sz w:val="24"/>
            <w:szCs w:val="24"/>
          </w:rPr>
          <w:t>http://www.lawkam.org/criminal/summons-case-warrant-case/7312/</w:t>
        </w:r>
      </w:hyperlink>
      <w:r w:rsidR="0006023C">
        <w:rPr>
          <w:rFonts w:ascii="Times New Roman" w:hAnsi="Times New Roman" w:cs="Times New Roman"/>
          <w:sz w:val="24"/>
          <w:szCs w:val="24"/>
        </w:rPr>
        <w:t>, (last visited Sep.26, 2016).</w:t>
      </w:r>
    </w:p>
    <w:p w:rsidR="003140D8" w:rsidRPr="003140D8" w:rsidRDefault="003140D8" w:rsidP="003140D8">
      <w:pPr>
        <w:tabs>
          <w:tab w:val="left" w:pos="7335"/>
        </w:tabs>
        <w:spacing w:line="360" w:lineRule="auto"/>
        <w:jc w:val="both"/>
        <w:rPr>
          <w:rFonts w:ascii="Times New Roman" w:hAnsi="Times New Roman" w:cs="Times New Roman"/>
          <w:sz w:val="24"/>
          <w:szCs w:val="24"/>
        </w:rPr>
      </w:pPr>
    </w:p>
    <w:p w:rsidR="00137BDB" w:rsidRPr="00137BDB" w:rsidRDefault="00137BDB" w:rsidP="00137BDB">
      <w:pPr>
        <w:tabs>
          <w:tab w:val="left" w:pos="7335"/>
        </w:tabs>
        <w:spacing w:line="360" w:lineRule="auto"/>
        <w:ind w:left="360"/>
        <w:jc w:val="both"/>
        <w:rPr>
          <w:rFonts w:ascii="Times New Roman" w:hAnsi="Times New Roman" w:cs="Times New Roman"/>
          <w:iCs/>
          <w:sz w:val="24"/>
          <w:szCs w:val="24"/>
        </w:rPr>
      </w:pPr>
    </w:p>
    <w:sectPr w:rsidR="00137BDB" w:rsidRPr="00137BDB" w:rsidSect="00EF0F8C">
      <w:footerReference w:type="default" r:id="rId14"/>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ABC" w:rsidRDefault="00227ABC" w:rsidP="0095059F">
      <w:pPr>
        <w:spacing w:after="0" w:line="240" w:lineRule="auto"/>
      </w:pPr>
      <w:r>
        <w:separator/>
      </w:r>
    </w:p>
  </w:endnote>
  <w:endnote w:type="continuationSeparator" w:id="0">
    <w:p w:rsidR="00227ABC" w:rsidRDefault="00227ABC" w:rsidP="0095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8230"/>
      <w:docPartObj>
        <w:docPartGallery w:val="Page Numbers (Bottom of Page)"/>
        <w:docPartUnique/>
      </w:docPartObj>
    </w:sdtPr>
    <w:sdtEndPr/>
    <w:sdtContent>
      <w:p w:rsidR="00EF0F8C" w:rsidRDefault="00BC405B">
        <w:pPr>
          <w:pStyle w:val="Footer"/>
          <w:jc w:val="center"/>
        </w:pPr>
        <w:r>
          <w:fldChar w:fldCharType="begin"/>
        </w:r>
        <w:r>
          <w:instrText xml:space="preserve"> PAGE   \* MERGEFORMAT </w:instrText>
        </w:r>
        <w:r>
          <w:fldChar w:fldCharType="separate"/>
        </w:r>
        <w:r w:rsidR="00EF58C9">
          <w:rPr>
            <w:noProof/>
          </w:rPr>
          <w:t>19</w:t>
        </w:r>
        <w:r>
          <w:rPr>
            <w:noProof/>
          </w:rPr>
          <w:fldChar w:fldCharType="end"/>
        </w:r>
      </w:p>
    </w:sdtContent>
  </w:sdt>
  <w:p w:rsidR="00EF0F8C" w:rsidRDefault="00EF0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ABC" w:rsidRDefault="00227ABC" w:rsidP="0095059F">
      <w:pPr>
        <w:spacing w:after="0" w:line="240" w:lineRule="auto"/>
      </w:pPr>
      <w:r>
        <w:separator/>
      </w:r>
    </w:p>
  </w:footnote>
  <w:footnote w:type="continuationSeparator" w:id="0">
    <w:p w:rsidR="00227ABC" w:rsidRDefault="00227ABC" w:rsidP="0095059F">
      <w:pPr>
        <w:spacing w:after="0" w:line="240" w:lineRule="auto"/>
      </w:pPr>
      <w:r>
        <w:continuationSeparator/>
      </w:r>
    </w:p>
  </w:footnote>
  <w:footnote w:id="1">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Pillai K.N.Chandrasekharan, </w:t>
      </w:r>
      <w:r w:rsidRPr="00BA4C67">
        <w:rPr>
          <w:rFonts w:ascii="Times New Roman" w:hAnsi="Times New Roman" w:cs="Times New Roman"/>
          <w:i/>
        </w:rPr>
        <w:t>R.V.Kelkar’s Lctures on Criminal Procedure</w:t>
      </w:r>
      <w:r w:rsidRPr="00BA4C67">
        <w:rPr>
          <w:rFonts w:ascii="Times New Roman" w:hAnsi="Times New Roman" w:cs="Times New Roman"/>
        </w:rPr>
        <w:t>,  174(5</w:t>
      </w:r>
      <w:r w:rsidRPr="00BA4C67">
        <w:rPr>
          <w:rFonts w:ascii="Times New Roman" w:hAnsi="Times New Roman" w:cs="Times New Roman"/>
          <w:vertAlign w:val="superscript"/>
        </w:rPr>
        <w:t>th</w:t>
      </w:r>
      <w:r w:rsidRPr="00BA4C67">
        <w:rPr>
          <w:rFonts w:ascii="Times New Roman" w:hAnsi="Times New Roman" w:cs="Times New Roman"/>
        </w:rPr>
        <w:t xml:space="preserve"> Edition,2015), Eastern Book Company, Lucknow.</w:t>
      </w:r>
    </w:p>
  </w:footnote>
  <w:footnote w:id="2">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S.2(x) of CrPC,1973.</w:t>
      </w:r>
    </w:p>
  </w:footnote>
  <w:footnote w:id="3">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State of Kerala v. Chippan Appu, 1959 Ker LJ 1379; In such cases, conviction if made will be set aside and a</w:t>
      </w:r>
      <w:r w:rsidR="00736141" w:rsidRPr="00BA4C67">
        <w:rPr>
          <w:rFonts w:ascii="Times New Roman" w:hAnsi="Times New Roman" w:cs="Times New Roman"/>
        </w:rPr>
        <w:t>n</w:t>
      </w:r>
      <w:r w:rsidRPr="00BA4C67">
        <w:rPr>
          <w:rFonts w:ascii="Times New Roman" w:hAnsi="Times New Roman" w:cs="Times New Roman"/>
        </w:rPr>
        <w:t xml:space="preserve"> order of ac</w:t>
      </w:r>
      <w:r w:rsidR="00736141" w:rsidRPr="00BA4C67">
        <w:rPr>
          <w:rFonts w:ascii="Times New Roman" w:hAnsi="Times New Roman" w:cs="Times New Roman"/>
        </w:rPr>
        <w:t>q</w:t>
      </w:r>
      <w:r w:rsidRPr="00BA4C67">
        <w:rPr>
          <w:rFonts w:ascii="Times New Roman" w:hAnsi="Times New Roman" w:cs="Times New Roman"/>
        </w:rPr>
        <w:t>uittal will be merely treated as discharge. See also, Singhal M.L., Sohoni’s Code of Criminal Procedure, (21</w:t>
      </w:r>
      <w:r w:rsidRPr="00BA4C67">
        <w:rPr>
          <w:rFonts w:ascii="Times New Roman" w:hAnsi="Times New Roman" w:cs="Times New Roman"/>
          <w:vertAlign w:val="superscript"/>
        </w:rPr>
        <w:t>st</w:t>
      </w:r>
      <w:r w:rsidRPr="00BA4C67">
        <w:rPr>
          <w:rFonts w:ascii="Times New Roman" w:hAnsi="Times New Roman" w:cs="Times New Roman"/>
        </w:rPr>
        <w:t xml:space="preserve"> Edition, 2015) vol.3, Lexis Nexis, Haryana at p.1082.</w:t>
      </w:r>
    </w:p>
  </w:footnote>
  <w:footnote w:id="4">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In Re Appavu Padayachi, 16 Cr LJ 250.</w:t>
      </w:r>
    </w:p>
  </w:footnote>
  <w:footnote w:id="5">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Mahabir Prasad v. State, AIR 1958 Orissa 11 at p.15.</w:t>
      </w:r>
    </w:p>
  </w:footnote>
  <w:footnote w:id="6">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Parvin Chandra Mody v. State of Andra Pradesh, AIR 1965 SC 1185.</w:t>
      </w:r>
    </w:p>
  </w:footnote>
  <w:footnote w:id="7">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S.210 of CrPC.</w:t>
      </w:r>
    </w:p>
  </w:footnote>
  <w:footnote w:id="8">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Pillai K.N.Chandrasekharan, </w:t>
      </w:r>
      <w:r w:rsidRPr="00BA4C67">
        <w:rPr>
          <w:rFonts w:ascii="Times New Roman" w:hAnsi="Times New Roman" w:cs="Times New Roman"/>
          <w:i/>
        </w:rPr>
        <w:t>R.V.Kelkar’s Lctures on Criminal Procedure</w:t>
      </w:r>
      <w:r w:rsidRPr="00BA4C67">
        <w:rPr>
          <w:rFonts w:ascii="Times New Roman" w:hAnsi="Times New Roman" w:cs="Times New Roman"/>
        </w:rPr>
        <w:t>,  544(6</w:t>
      </w:r>
      <w:r w:rsidRPr="00BA4C67">
        <w:rPr>
          <w:rFonts w:ascii="Times New Roman" w:hAnsi="Times New Roman" w:cs="Times New Roman"/>
          <w:vertAlign w:val="superscript"/>
        </w:rPr>
        <w:t>th</w:t>
      </w:r>
      <w:r w:rsidRPr="00BA4C67">
        <w:rPr>
          <w:rFonts w:ascii="Times New Roman" w:hAnsi="Times New Roman" w:cs="Times New Roman"/>
        </w:rPr>
        <w:t xml:space="preserve"> Edition,2014), Eastern Book Company, Lucknow.</w:t>
      </w:r>
    </w:p>
  </w:footnote>
  <w:footnote w:id="9">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(1992) I SCC 217.</w:t>
      </w:r>
    </w:p>
  </w:footnote>
  <w:footnote w:id="10">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(2004)7 SCC 338.</w:t>
      </w:r>
    </w:p>
  </w:footnote>
  <w:footnote w:id="11">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(2004) 13 SCC 324.</w:t>
      </w:r>
    </w:p>
  </w:footnote>
  <w:footnote w:id="12">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Supra 8 at p.546.</w:t>
      </w:r>
    </w:p>
  </w:footnote>
  <w:footnote w:id="13">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G.D.Chadha v. State of Rajasthan, 1972 Cri LJ 1585,1587 (Raj).</w:t>
      </w:r>
    </w:p>
  </w:footnote>
  <w:footnote w:id="14">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Jodha Singh v. Emperor, AIR 1923 All 285,286.</w:t>
      </w:r>
    </w:p>
  </w:footnote>
  <w:footnote w:id="15">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Shyam Sunder Rout v. State of Orissa, 1991 Cri LJ 1595 (Ori).</w:t>
      </w:r>
    </w:p>
  </w:footnote>
  <w:footnote w:id="16">
    <w:p w:rsidR="00CE387F" w:rsidRPr="00BA4C67" w:rsidRDefault="00CE387F" w:rsidP="006020C2">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State v. Thomba, 1971 Cr LJ 734.</w:t>
      </w:r>
    </w:p>
  </w:footnote>
  <w:footnote w:id="17">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In re Gannon Dunkley &amp; Co , AIR 1950 Mad 837.</w:t>
      </w:r>
    </w:p>
  </w:footnote>
  <w:footnote w:id="18">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Supra note 8 at p.549.</w:t>
      </w:r>
    </w:p>
  </w:footnote>
  <w:footnote w:id="19">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Hiralal Gopilal Rathore v. State of M.P., 1988 Cr LJ 457 (M.P.); Refer Singhal M.L., Sohoni’s Code of Criminal Procedure, (21</w:t>
      </w:r>
      <w:r w:rsidRPr="00BA4C67">
        <w:rPr>
          <w:rFonts w:ascii="Times New Roman" w:hAnsi="Times New Roman" w:cs="Times New Roman"/>
          <w:vertAlign w:val="superscript"/>
        </w:rPr>
        <w:t>st</w:t>
      </w:r>
      <w:r w:rsidRPr="00BA4C67">
        <w:rPr>
          <w:rFonts w:ascii="Times New Roman" w:hAnsi="Times New Roman" w:cs="Times New Roman"/>
        </w:rPr>
        <w:t xml:space="preserve"> Edition, 2015) vol.3, Lexis Nexis, Haryana at p.1119.</w:t>
      </w:r>
    </w:p>
  </w:footnote>
  <w:footnote w:id="20">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w:t>
      </w:r>
      <w:r w:rsidRPr="00BA4C67">
        <w:rPr>
          <w:rFonts w:ascii="Times New Roman" w:hAnsi="Times New Roman" w:cs="Times New Roman"/>
          <w:iCs/>
        </w:rPr>
        <w:t>State of U.P Vs. Babu</w:t>
      </w:r>
      <w:r w:rsidRPr="00BA4C67">
        <w:rPr>
          <w:rFonts w:ascii="Times New Roman" w:hAnsi="Times New Roman" w:cs="Times New Roman"/>
          <w:i/>
          <w:iCs/>
        </w:rPr>
        <w:t xml:space="preserve">, </w:t>
      </w:r>
      <w:r w:rsidRPr="00BA4C67">
        <w:rPr>
          <w:rFonts w:ascii="Times New Roman" w:hAnsi="Times New Roman" w:cs="Times New Roman"/>
        </w:rPr>
        <w:t>1991 CrLJ 991.</w:t>
      </w:r>
    </w:p>
  </w:footnote>
  <w:footnote w:id="21">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Kaju v. State, 1985 CrLJ 368  (Cal-DB); Refer Ratanlal and Dhirajlal, </w:t>
      </w:r>
      <w:r w:rsidRPr="00BA4C67">
        <w:rPr>
          <w:rFonts w:ascii="Times New Roman" w:hAnsi="Times New Roman" w:cs="Times New Roman"/>
          <w:i/>
        </w:rPr>
        <w:t>The Code of Criminal Procedure</w:t>
      </w:r>
      <w:r w:rsidRPr="00BA4C67">
        <w:rPr>
          <w:rFonts w:ascii="Times New Roman" w:hAnsi="Times New Roman" w:cs="Times New Roman"/>
        </w:rPr>
        <w:t>, (19</w:t>
      </w:r>
      <w:r w:rsidRPr="00BA4C67">
        <w:rPr>
          <w:rFonts w:ascii="Times New Roman" w:hAnsi="Times New Roman" w:cs="Times New Roman"/>
          <w:vertAlign w:val="superscript"/>
        </w:rPr>
        <w:t>th</w:t>
      </w:r>
      <w:r w:rsidRPr="00BA4C67">
        <w:rPr>
          <w:rFonts w:ascii="Times New Roman" w:hAnsi="Times New Roman" w:cs="Times New Roman"/>
        </w:rPr>
        <w:t xml:space="preserve"> Edition, 2015) Lexis Nexis, Haryana at p.1044.</w:t>
      </w:r>
    </w:p>
  </w:footnote>
  <w:footnote w:id="22">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State v. Bhimcharan, (1962) 2 Cri LJ 83.</w:t>
      </w:r>
    </w:p>
  </w:footnote>
  <w:footnote w:id="23">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S.275(4) of CrPC.</w:t>
      </w:r>
    </w:p>
  </w:footnote>
  <w:footnote w:id="24">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T.N.Janardhanan Pillai v. State, 1992 Cri LJ 436 (Ker).</w:t>
      </w:r>
    </w:p>
  </w:footnote>
  <w:footnote w:id="25">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Venkateswara Rao v. State A.C.B, 1979 Cri LJ 255,257 (AP).</w:t>
      </w:r>
    </w:p>
  </w:footnote>
  <w:footnote w:id="26">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See 41</w:t>
      </w:r>
      <w:r w:rsidRPr="00BA4C67">
        <w:rPr>
          <w:rFonts w:ascii="Times New Roman" w:hAnsi="Times New Roman" w:cs="Times New Roman"/>
          <w:vertAlign w:val="superscript"/>
        </w:rPr>
        <w:t>st</w:t>
      </w:r>
      <w:r w:rsidRPr="00BA4C67">
        <w:rPr>
          <w:rFonts w:ascii="Times New Roman" w:hAnsi="Times New Roman" w:cs="Times New Roman"/>
        </w:rPr>
        <w:t xml:space="preserve"> Report, p.172, para 21.8.</w:t>
      </w:r>
    </w:p>
  </w:footnote>
  <w:footnote w:id="27">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Sayeeda Farhana Shamim v. State of Bihar, (2008) 8 SCC 218.</w:t>
      </w:r>
    </w:p>
  </w:footnote>
  <w:footnote w:id="28">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Mahant Abhey Dass v. S.Gurdial singh, 1971 Cri LJ 691.</w:t>
      </w:r>
    </w:p>
  </w:footnote>
  <w:footnote w:id="29">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Gopal Chauhan v. Satya, 1979 Cri LJ 446 (HP).</w:t>
      </w:r>
    </w:p>
  </w:footnote>
  <w:footnote w:id="30">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Aslam Ikbal Wali Mohammed v. State of Karnataka, 1976 Cri LJ 317,319 (Kant).</w:t>
      </w:r>
    </w:p>
  </w:footnote>
  <w:footnote w:id="31">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w:t>
      </w:r>
      <w:r w:rsidRPr="00BA4C67">
        <w:rPr>
          <w:rFonts w:ascii="Times New Roman" w:hAnsi="Times New Roman" w:cs="Times New Roman"/>
          <w:iCs/>
        </w:rPr>
        <w:t>Bhajja Vs. Emperor</w:t>
      </w:r>
      <w:r w:rsidRPr="00BA4C67">
        <w:rPr>
          <w:rFonts w:ascii="Times New Roman" w:hAnsi="Times New Roman" w:cs="Times New Roman"/>
        </w:rPr>
        <w:t>, (1939) 40 Cri LJ 549; see also State of Karnataka v. Dhandapani Modaliar, 1992 Cri LJ  24 (Kant).</w:t>
      </w:r>
    </w:p>
  </w:footnote>
  <w:footnote w:id="32">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Supra note 27.</w:t>
      </w:r>
    </w:p>
  </w:footnote>
  <w:footnote w:id="33">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1998 SCC (Cri) 637.</w:t>
      </w:r>
    </w:p>
  </w:footnote>
  <w:footnote w:id="34">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AIR 1955 SC 191.</w:t>
      </w:r>
    </w:p>
  </w:footnote>
  <w:footnote w:id="35">
    <w:p w:rsidR="00CE387F" w:rsidRPr="00BA4C67" w:rsidRDefault="00CE387F">
      <w:pPr>
        <w:pStyle w:val="FootnoteText"/>
        <w:rPr>
          <w:rFonts w:ascii="Times New Roman" w:hAnsi="Times New Roman" w:cs="Times New Roman"/>
        </w:rPr>
      </w:pPr>
      <w:r w:rsidRPr="00BA4C67">
        <w:rPr>
          <w:rStyle w:val="FootnoteReference"/>
          <w:rFonts w:ascii="Times New Roman" w:hAnsi="Times New Roman" w:cs="Times New Roman"/>
        </w:rPr>
        <w:footnoteRef/>
      </w:r>
      <w:r w:rsidR="00036923" w:rsidRPr="00BA4C67">
        <w:rPr>
          <w:rFonts w:ascii="Times New Roman" w:hAnsi="Times New Roman" w:cs="Times New Roman"/>
        </w:rPr>
        <w:t xml:space="preserve"> AIR 1959 Raj 266.</w:t>
      </w:r>
      <w:r w:rsidRPr="00BA4C67">
        <w:rPr>
          <w:rFonts w:ascii="Times New Roman" w:hAnsi="Times New Roman" w:cs="Times New Roman"/>
        </w:rPr>
        <w:t xml:space="preserve"> </w:t>
      </w:r>
    </w:p>
  </w:footnote>
  <w:footnote w:id="36">
    <w:p w:rsidR="00036923" w:rsidRPr="00BA4C67" w:rsidRDefault="00036923">
      <w:pPr>
        <w:pStyle w:val="FootnoteText"/>
        <w:rPr>
          <w:rFonts w:ascii="Times New Roman" w:hAnsi="Times New Roman" w:cs="Times New Roman"/>
        </w:rPr>
      </w:pPr>
      <w:r w:rsidRPr="00BA4C67">
        <w:rPr>
          <w:rStyle w:val="FootnoteReference"/>
          <w:rFonts w:ascii="Times New Roman" w:hAnsi="Times New Roman" w:cs="Times New Roman"/>
        </w:rPr>
        <w:footnoteRef/>
      </w:r>
      <w:r w:rsidRPr="00BA4C67">
        <w:rPr>
          <w:rFonts w:ascii="Times New Roman" w:hAnsi="Times New Roman" w:cs="Times New Roman"/>
        </w:rPr>
        <w:t xml:space="preserve"> AIR 1958 Orissa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0D"/>
    <w:multiLevelType w:val="hybridMultilevel"/>
    <w:tmpl w:val="BBDA3CD6"/>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D965755"/>
    <w:multiLevelType w:val="hybridMultilevel"/>
    <w:tmpl w:val="03E0E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E33B5"/>
    <w:multiLevelType w:val="hybridMultilevel"/>
    <w:tmpl w:val="AADAF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FBB1A60"/>
    <w:multiLevelType w:val="hybridMultilevel"/>
    <w:tmpl w:val="F3AE08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0948"/>
    <w:multiLevelType w:val="multilevel"/>
    <w:tmpl w:val="63B823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A13372"/>
    <w:multiLevelType w:val="hybridMultilevel"/>
    <w:tmpl w:val="F3A824EE"/>
    <w:lvl w:ilvl="0" w:tplc="60922F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7E7"/>
    <w:multiLevelType w:val="hybridMultilevel"/>
    <w:tmpl w:val="AD80A40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464510B"/>
    <w:multiLevelType w:val="hybridMultilevel"/>
    <w:tmpl w:val="50D42A9C"/>
    <w:lvl w:ilvl="0" w:tplc="76EEF3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1591"/>
    <w:multiLevelType w:val="hybridMultilevel"/>
    <w:tmpl w:val="1B0C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C26ED"/>
    <w:multiLevelType w:val="hybridMultilevel"/>
    <w:tmpl w:val="5F62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32E15"/>
    <w:multiLevelType w:val="hybridMultilevel"/>
    <w:tmpl w:val="2382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11055"/>
    <w:multiLevelType w:val="hybridMultilevel"/>
    <w:tmpl w:val="59BAC9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9ED03D5"/>
    <w:multiLevelType w:val="hybridMultilevel"/>
    <w:tmpl w:val="50D8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51625"/>
    <w:multiLevelType w:val="hybridMultilevel"/>
    <w:tmpl w:val="BE32F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405685"/>
    <w:multiLevelType w:val="hybridMultilevel"/>
    <w:tmpl w:val="01BCEC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C21AD"/>
    <w:multiLevelType w:val="hybridMultilevel"/>
    <w:tmpl w:val="BC3CE6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A21C6"/>
    <w:multiLevelType w:val="hybridMultilevel"/>
    <w:tmpl w:val="CFEA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6D764E"/>
    <w:multiLevelType w:val="hybridMultilevel"/>
    <w:tmpl w:val="E2B6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E7E97"/>
    <w:multiLevelType w:val="hybridMultilevel"/>
    <w:tmpl w:val="5F301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94B62"/>
    <w:multiLevelType w:val="hybridMultilevel"/>
    <w:tmpl w:val="2DF6A820"/>
    <w:lvl w:ilvl="0" w:tplc="3FA2B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5326F3"/>
    <w:multiLevelType w:val="multilevel"/>
    <w:tmpl w:val="F34E9A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EB228E4"/>
    <w:multiLevelType w:val="hybridMultilevel"/>
    <w:tmpl w:val="FDCC02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CE02CEF"/>
    <w:multiLevelType w:val="hybridMultilevel"/>
    <w:tmpl w:val="BFFA53C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0C47167"/>
    <w:multiLevelType w:val="hybridMultilevel"/>
    <w:tmpl w:val="10027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0"/>
  </w:num>
  <w:num w:numId="5">
    <w:abstractNumId w:val="19"/>
  </w:num>
  <w:num w:numId="6">
    <w:abstractNumId w:val="7"/>
  </w:num>
  <w:num w:numId="7">
    <w:abstractNumId w:val="22"/>
  </w:num>
  <w:num w:numId="8">
    <w:abstractNumId w:val="23"/>
  </w:num>
  <w:num w:numId="9">
    <w:abstractNumId w:val="12"/>
  </w:num>
  <w:num w:numId="10">
    <w:abstractNumId w:val="6"/>
  </w:num>
  <w:num w:numId="11">
    <w:abstractNumId w:val="13"/>
  </w:num>
  <w:num w:numId="12">
    <w:abstractNumId w:val="18"/>
  </w:num>
  <w:num w:numId="13">
    <w:abstractNumId w:val="11"/>
  </w:num>
  <w:num w:numId="14">
    <w:abstractNumId w:val="1"/>
  </w:num>
  <w:num w:numId="15">
    <w:abstractNumId w:val="4"/>
  </w:num>
  <w:num w:numId="16">
    <w:abstractNumId w:val="20"/>
  </w:num>
  <w:num w:numId="17">
    <w:abstractNumId w:val="15"/>
  </w:num>
  <w:num w:numId="18">
    <w:abstractNumId w:val="5"/>
  </w:num>
  <w:num w:numId="19">
    <w:abstractNumId w:val="14"/>
  </w:num>
  <w:num w:numId="20">
    <w:abstractNumId w:val="16"/>
  </w:num>
  <w:num w:numId="21">
    <w:abstractNumId w:val="8"/>
  </w:num>
  <w:num w:numId="22">
    <w:abstractNumId w:val="17"/>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09"/>
    <w:rsid w:val="00036923"/>
    <w:rsid w:val="00041A56"/>
    <w:rsid w:val="0006023C"/>
    <w:rsid w:val="00076546"/>
    <w:rsid w:val="0009050C"/>
    <w:rsid w:val="000C482F"/>
    <w:rsid w:val="0011295A"/>
    <w:rsid w:val="00115740"/>
    <w:rsid w:val="001177D6"/>
    <w:rsid w:val="00135CC8"/>
    <w:rsid w:val="00137BDB"/>
    <w:rsid w:val="001416C1"/>
    <w:rsid w:val="00143E79"/>
    <w:rsid w:val="00170960"/>
    <w:rsid w:val="00183CC4"/>
    <w:rsid w:val="001869A3"/>
    <w:rsid w:val="001B003E"/>
    <w:rsid w:val="001B1F99"/>
    <w:rsid w:val="001D1824"/>
    <w:rsid w:val="00227ABC"/>
    <w:rsid w:val="00233ECA"/>
    <w:rsid w:val="002530B6"/>
    <w:rsid w:val="00264501"/>
    <w:rsid w:val="0028211D"/>
    <w:rsid w:val="002A6E29"/>
    <w:rsid w:val="003140D8"/>
    <w:rsid w:val="00322840"/>
    <w:rsid w:val="003242EB"/>
    <w:rsid w:val="0033043E"/>
    <w:rsid w:val="003842F4"/>
    <w:rsid w:val="003C37A1"/>
    <w:rsid w:val="003D6EEC"/>
    <w:rsid w:val="0042118A"/>
    <w:rsid w:val="00446335"/>
    <w:rsid w:val="00486567"/>
    <w:rsid w:val="004A195C"/>
    <w:rsid w:val="00507B4F"/>
    <w:rsid w:val="005145E1"/>
    <w:rsid w:val="00543C26"/>
    <w:rsid w:val="00595A36"/>
    <w:rsid w:val="005A7AF3"/>
    <w:rsid w:val="005E0D09"/>
    <w:rsid w:val="006020C2"/>
    <w:rsid w:val="006D4669"/>
    <w:rsid w:val="006E19F7"/>
    <w:rsid w:val="00736141"/>
    <w:rsid w:val="00746E46"/>
    <w:rsid w:val="00767D02"/>
    <w:rsid w:val="00771372"/>
    <w:rsid w:val="00781206"/>
    <w:rsid w:val="007924F3"/>
    <w:rsid w:val="007E28A7"/>
    <w:rsid w:val="00844A71"/>
    <w:rsid w:val="008851C8"/>
    <w:rsid w:val="008C291C"/>
    <w:rsid w:val="009208EA"/>
    <w:rsid w:val="0095059F"/>
    <w:rsid w:val="009B21F3"/>
    <w:rsid w:val="009D3090"/>
    <w:rsid w:val="009D4F33"/>
    <w:rsid w:val="00A04AA6"/>
    <w:rsid w:val="00A46F5D"/>
    <w:rsid w:val="00AB4CE3"/>
    <w:rsid w:val="00AE3D06"/>
    <w:rsid w:val="00B85147"/>
    <w:rsid w:val="00BA17F6"/>
    <w:rsid w:val="00BA4C67"/>
    <w:rsid w:val="00BC405B"/>
    <w:rsid w:val="00BC500A"/>
    <w:rsid w:val="00BF1EEC"/>
    <w:rsid w:val="00BF2E8B"/>
    <w:rsid w:val="00C27A6D"/>
    <w:rsid w:val="00C34009"/>
    <w:rsid w:val="00C4402E"/>
    <w:rsid w:val="00C607A3"/>
    <w:rsid w:val="00CB5F4B"/>
    <w:rsid w:val="00CB7282"/>
    <w:rsid w:val="00CC635C"/>
    <w:rsid w:val="00CE387F"/>
    <w:rsid w:val="00D15B20"/>
    <w:rsid w:val="00D33482"/>
    <w:rsid w:val="00D9454F"/>
    <w:rsid w:val="00D958E6"/>
    <w:rsid w:val="00D96117"/>
    <w:rsid w:val="00DA4EF2"/>
    <w:rsid w:val="00DE3FE8"/>
    <w:rsid w:val="00E121DF"/>
    <w:rsid w:val="00E31566"/>
    <w:rsid w:val="00E97AF6"/>
    <w:rsid w:val="00EA4BCD"/>
    <w:rsid w:val="00EC5D66"/>
    <w:rsid w:val="00EF0F8C"/>
    <w:rsid w:val="00EF58C9"/>
    <w:rsid w:val="00F1494C"/>
    <w:rsid w:val="00F7166B"/>
    <w:rsid w:val="00F71B05"/>
    <w:rsid w:val="00F75535"/>
    <w:rsid w:val="00FD426A"/>
    <w:rsid w:val="00FE643A"/>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3840"/>
  <w15:docId w15:val="{0DD875B5-ADA9-A744-94E2-DDEE9979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20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0B6"/>
    <w:pPr>
      <w:ind w:left="720"/>
      <w:contextualSpacing/>
    </w:pPr>
  </w:style>
  <w:style w:type="paragraph" w:styleId="FootnoteText">
    <w:name w:val="footnote text"/>
    <w:basedOn w:val="Normal"/>
    <w:link w:val="FootnoteTextChar"/>
    <w:uiPriority w:val="99"/>
    <w:unhideWhenUsed/>
    <w:rsid w:val="0095059F"/>
    <w:pPr>
      <w:spacing w:after="0" w:line="240" w:lineRule="auto"/>
    </w:pPr>
    <w:rPr>
      <w:sz w:val="20"/>
      <w:szCs w:val="20"/>
    </w:rPr>
  </w:style>
  <w:style w:type="character" w:customStyle="1" w:styleId="FootnoteTextChar">
    <w:name w:val="Footnote Text Char"/>
    <w:basedOn w:val="DefaultParagraphFont"/>
    <w:link w:val="FootnoteText"/>
    <w:uiPriority w:val="99"/>
    <w:rsid w:val="0095059F"/>
    <w:rPr>
      <w:sz w:val="20"/>
      <w:szCs w:val="20"/>
    </w:rPr>
  </w:style>
  <w:style w:type="character" w:styleId="FootnoteReference">
    <w:name w:val="footnote reference"/>
    <w:basedOn w:val="DefaultParagraphFont"/>
    <w:uiPriority w:val="99"/>
    <w:semiHidden/>
    <w:unhideWhenUsed/>
    <w:rsid w:val="0095059F"/>
    <w:rPr>
      <w:vertAlign w:val="superscript"/>
    </w:rPr>
  </w:style>
  <w:style w:type="paragraph" w:customStyle="1" w:styleId="Default">
    <w:name w:val="Default"/>
    <w:rsid w:val="005145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81206"/>
  </w:style>
  <w:style w:type="table" w:styleId="TableGrid">
    <w:name w:val="Table Grid"/>
    <w:basedOn w:val="TableNormal"/>
    <w:uiPriority w:val="59"/>
    <w:rsid w:val="00A0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0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F8C"/>
    <w:rPr>
      <w:rFonts w:ascii="Tahoma" w:hAnsi="Tahoma" w:cs="Tahoma"/>
      <w:sz w:val="16"/>
      <w:szCs w:val="16"/>
    </w:rPr>
  </w:style>
  <w:style w:type="paragraph" w:styleId="Header">
    <w:name w:val="header"/>
    <w:basedOn w:val="Normal"/>
    <w:link w:val="HeaderChar"/>
    <w:uiPriority w:val="99"/>
    <w:semiHidden/>
    <w:unhideWhenUsed/>
    <w:rsid w:val="00EF0F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0F8C"/>
  </w:style>
  <w:style w:type="paragraph" w:styleId="Footer">
    <w:name w:val="footer"/>
    <w:basedOn w:val="Normal"/>
    <w:link w:val="FooterChar"/>
    <w:uiPriority w:val="99"/>
    <w:unhideWhenUsed/>
    <w:rsid w:val="00EF0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F8C"/>
  </w:style>
  <w:style w:type="character" w:styleId="Hyperlink">
    <w:name w:val="Hyperlink"/>
    <w:basedOn w:val="DefaultParagraphFont"/>
    <w:uiPriority w:val="99"/>
    <w:unhideWhenUsed/>
    <w:rsid w:val="006D4669"/>
    <w:rPr>
      <w:color w:val="0000FF" w:themeColor="hyperlink"/>
      <w:u w:val="single"/>
    </w:rPr>
  </w:style>
  <w:style w:type="character" w:styleId="Mention">
    <w:name w:val="Mention"/>
    <w:basedOn w:val="DefaultParagraphFont"/>
    <w:uiPriority w:val="99"/>
    <w:semiHidden/>
    <w:unhideWhenUsed/>
    <w:rsid w:val="00EF58C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697382">
      <w:bodyDiv w:val="1"/>
      <w:marLeft w:val="0"/>
      <w:marRight w:val="0"/>
      <w:marTop w:val="0"/>
      <w:marBottom w:val="0"/>
      <w:divBdr>
        <w:top w:val="none" w:sz="0" w:space="0" w:color="auto"/>
        <w:left w:val="none" w:sz="0" w:space="0" w:color="auto"/>
        <w:bottom w:val="none" w:sz="0" w:space="0" w:color="auto"/>
        <w:right w:val="none" w:sz="0" w:space="0" w:color="auto"/>
      </w:divBdr>
    </w:div>
    <w:div w:id="1547988284">
      <w:bodyDiv w:val="1"/>
      <w:marLeft w:val="0"/>
      <w:marRight w:val="0"/>
      <w:marTop w:val="0"/>
      <w:marBottom w:val="0"/>
      <w:divBdr>
        <w:top w:val="none" w:sz="0" w:space="0" w:color="auto"/>
        <w:left w:val="none" w:sz="0" w:space="0" w:color="auto"/>
        <w:bottom w:val="none" w:sz="0" w:space="0" w:color="auto"/>
        <w:right w:val="none" w:sz="0" w:space="0" w:color="auto"/>
      </w:divBdr>
    </w:div>
    <w:div w:id="185981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orvajaraghupathy@gmail.com" TargetMode="External" /><Relationship Id="rId13" Type="http://schemas.openxmlformats.org/officeDocument/2006/relationships/hyperlink" Target="http://www.lawkam.org/criminal/summons-case-warrant-case/7312/"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mja.gov.in/Site/Upload/GR/%20I%20Summ%20of%20Cri.pdf"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thepracticeoflawjalan.blogspot.in/2012/04/crpc-trial-before-magistrates-court_09.html"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s://advocateguru.com/trial-of-warrant-cases-by-magistrate/" TargetMode="External" /><Relationship Id="rId4" Type="http://schemas.openxmlformats.org/officeDocument/2006/relationships/settings" Target="settings.xml" /><Relationship Id="rId9" Type="http://schemas.openxmlformats.org/officeDocument/2006/relationships/hyperlink" Target="http://www.ijesls.com/Trial%20of%20Warrant%20Cases%20by%20Magistrate-%20Shradha%20Arora.pdf" TargetMode="External" /><Relationship Id="rId14"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67C05-88C8-3E4B-8BA2-D097E4D6AA1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4715</Words>
  <Characters>26876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poorvajaraghupathy@gmail.com</cp:lastModifiedBy>
  <cp:revision>7</cp:revision>
  <dcterms:created xsi:type="dcterms:W3CDTF">2017-01-23T13:44:00Z</dcterms:created>
  <dcterms:modified xsi:type="dcterms:W3CDTF">2017-01-24T06:26:00Z</dcterms:modified>
</cp:coreProperties>
</file>