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C4D" w:rsidRDefault="00C72C4D" w:rsidP="00C72C4D">
      <w:pPr>
        <w:pStyle w:val="Title"/>
        <w:rPr>
          <w:rStyle w:val="SubtleEmphasis"/>
        </w:rPr>
      </w:pPr>
      <w:r>
        <w:rPr>
          <w:rFonts w:ascii="Copperplate Gothic Bold" w:hAnsi="Copperplate Gothic Bold"/>
          <w:noProof/>
          <w:color w:val="002060"/>
          <w:u w:val="single"/>
        </w:rPr>
        <w:pict>
          <v:shapetype id="_x0000_t202" coordsize="21600,21600" o:spt="202" path="m,l,21600r21600,l21600,xe">
            <v:stroke joinstyle="miter"/>
            <v:path gradientshapeok="t" o:connecttype="rect"/>
          </v:shapetype>
          <v:shape id="Text Box 1" o:spid="_x0000_s1026" type="#_x0000_t202" style="position:absolute;margin-left:-43.5pt;margin-top:68.95pt;width:267.75pt;height:49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" fillcolor="white [3201]" strokecolor="#fabf8f [1945]" strokeweight="1pt">
            <v:fill color2="#fbd4b4 [1305]" rotate="t" focusposition="1" focussize="" focus="100%" type="gradient"/>
            <v:shadow on="t" type="perspective" color="#974706 [1609]" opacity=".5" offset="1pt" offset2="-3pt"/>
            <v:textbox style="mso-next-textbox:#Text Box 1">
              <w:txbxContent>
                <w:p w:rsidR="00C72C4D" w:rsidRPr="004543C3" w:rsidRDefault="00C72C4D" w:rsidP="00C72C4D">
                  <w:pPr>
                    <w:pBdr>
                      <w:top w:val="inset" w:sz="6" w:space="0" w:color="auto"/>
                      <w:left w:val="inset" w:sz="6" w:space="4" w:color="auto"/>
                      <w:bottom w:val="outset" w:sz="6" w:space="1" w:color="auto"/>
                      <w:right w:val="outset" w:sz="6" w:space="4" w:color="auto"/>
                    </w:pBdr>
                    <w:jc w:val="center"/>
                    <w:rPr>
                      <w:rFonts w:ascii="Hobo Std" w:hAnsi="Hobo Std"/>
                      <w:b/>
                      <w:color w:val="1D1B11" w:themeColor="background2" w:themeShade="1A"/>
                    </w:rPr>
                  </w:pPr>
                  <w:r w:rsidRPr="004543C3">
                    <w:rPr>
                      <w:rFonts w:ascii="Hobo Std" w:hAnsi="Hobo Std"/>
                      <w:b/>
                      <w:color w:val="1D1B11" w:themeColor="background2" w:themeShade="1A"/>
                      <w:sz w:val="30"/>
                      <w:szCs w:val="30"/>
                    </w:rPr>
                    <w:t>C</w:t>
                  </w:r>
                  <w:r w:rsidRPr="004543C3">
                    <w:rPr>
                      <w:rFonts w:ascii="Hobo Std" w:hAnsi="Hobo Std"/>
                      <w:b/>
                      <w:color w:val="1D1B11" w:themeColor="background2" w:themeShade="1A"/>
                    </w:rPr>
                    <w:t xml:space="preserve">ONTENT OF </w:t>
                  </w:r>
                  <w:r w:rsidRPr="004543C3">
                    <w:rPr>
                      <w:rFonts w:ascii="Hobo Std" w:hAnsi="Hobo Std"/>
                      <w:b/>
                      <w:color w:val="1D1B11" w:themeColor="background2" w:themeShade="1A"/>
                      <w:sz w:val="30"/>
                      <w:szCs w:val="30"/>
                    </w:rPr>
                    <w:t>A</w:t>
                  </w:r>
                  <w:r w:rsidRPr="004543C3">
                    <w:rPr>
                      <w:rFonts w:ascii="Hobo Std" w:hAnsi="Hobo Std"/>
                      <w:b/>
                      <w:color w:val="1D1B11" w:themeColor="background2" w:themeShade="1A"/>
                    </w:rPr>
                    <w:t>RTICLES</w:t>
                  </w:r>
                </w:p>
                <w:p w:rsidR="00C72C4D" w:rsidRPr="007130D7" w:rsidRDefault="00C72C4D" w:rsidP="00C72C4D">
                  <w:pPr>
                    <w:pBdr>
                      <w:top w:val="thickThinLargeGap" w:sz="24" w:space="0" w:color="auto"/>
                      <w:left w:val="thickThinLargeGap" w:sz="24" w:space="0" w:color="auto"/>
                      <w:bottom w:val="thinThickLargeGap" w:sz="24" w:space="1" w:color="auto"/>
                      <w:right w:val="thinThickLargeGap" w:sz="24" w:space="1" w:color="auto"/>
                    </w:pBdr>
                    <w:spacing w:after="0" w:line="240" w:lineRule="auto"/>
                    <w:jc w:val="center"/>
                    <w:rPr>
                      <w:rFonts w:ascii="High Tower Text" w:hAnsi="High Tower Text"/>
                      <w:color w:val="1D1B11" w:themeColor="background2" w:themeShade="1A"/>
                      <w:sz w:val="32"/>
                      <w:szCs w:val="32"/>
                    </w:rPr>
                  </w:pPr>
                  <w:r w:rsidRPr="007130D7">
                    <w:rPr>
                      <w:rFonts w:ascii="High Tower Text" w:hAnsi="High Tower Text"/>
                      <w:color w:val="1D1B11" w:themeColor="background2" w:themeShade="1A"/>
                      <w:sz w:val="32"/>
                      <w:szCs w:val="32"/>
                    </w:rPr>
                    <w:t>Introduction</w:t>
                  </w:r>
                </w:p>
                <w:p w:rsidR="00C72C4D" w:rsidRPr="007130D7" w:rsidRDefault="00C72C4D" w:rsidP="00C72C4D">
                  <w:pPr>
                    <w:pBdr>
                      <w:top w:val="thickThinLargeGap" w:sz="24" w:space="0" w:color="auto"/>
                      <w:left w:val="thickThinLargeGap" w:sz="24" w:space="0" w:color="auto"/>
                      <w:bottom w:val="thinThickLargeGap" w:sz="24" w:space="1" w:color="auto"/>
                      <w:right w:val="thinThickLargeGap" w:sz="24" w:space="1" w:color="auto"/>
                    </w:pBdr>
                    <w:spacing w:after="0" w:line="240" w:lineRule="auto"/>
                    <w:jc w:val="center"/>
                    <w:rPr>
                      <w:rFonts w:ascii="High Tower Text" w:hAnsi="High Tower Text"/>
                      <w:color w:val="1D1B11" w:themeColor="background2" w:themeShade="1A"/>
                      <w:sz w:val="32"/>
                      <w:szCs w:val="32"/>
                    </w:rPr>
                  </w:pPr>
                  <w:r>
                    <w:rPr>
                      <w:rFonts w:ascii="High Tower Text" w:hAnsi="High Tower Text"/>
                      <w:color w:val="1D1B11" w:themeColor="background2" w:themeShade="1A"/>
                      <w:sz w:val="32"/>
                      <w:szCs w:val="32"/>
                    </w:rPr>
                    <w:t>Allotment of Shares to FDI</w:t>
                  </w:r>
                </w:p>
                <w:p w:rsidR="00C72C4D" w:rsidRDefault="00C72C4D" w:rsidP="00C72C4D">
                  <w:pPr>
                    <w:pStyle w:val="ListParagraph"/>
                    <w:numPr>
                      <w:ilvl w:val="0"/>
                      <w:numId w:val="11"/>
                    </w:numPr>
                    <w:pBdr>
                      <w:top w:val="thickThinLargeGap" w:sz="24" w:space="0" w:color="auto"/>
                      <w:left w:val="thickThinLargeGap" w:sz="24" w:space="0" w:color="auto"/>
                      <w:bottom w:val="thinThickLargeGap" w:sz="24" w:space="1" w:color="auto"/>
                      <w:right w:val="thinThickLargeGap" w:sz="24" w:space="1" w:color="auto"/>
                    </w:pBdr>
                    <w:spacing w:after="0" w:line="240" w:lineRule="auto"/>
                    <w:jc w:val="both"/>
                    <w:rPr>
                      <w:rFonts w:ascii="High Tower Text" w:hAnsi="High Tower Text"/>
                      <w:color w:val="1D1B11" w:themeColor="background2" w:themeShade="1A"/>
                      <w:sz w:val="28"/>
                      <w:szCs w:val="28"/>
                    </w:rPr>
                  </w:pPr>
                  <w:r>
                    <w:rPr>
                      <w:rFonts w:ascii="High Tower Text" w:hAnsi="High Tower Text"/>
                      <w:color w:val="1D1B11" w:themeColor="background2" w:themeShade="1A"/>
                      <w:sz w:val="28"/>
                      <w:szCs w:val="28"/>
                    </w:rPr>
                    <w:t>Time Period for Issue of Share Certificates</w:t>
                  </w:r>
                </w:p>
                <w:p w:rsidR="00C72C4D" w:rsidRDefault="00C72C4D" w:rsidP="00C72C4D">
                  <w:pPr>
                    <w:pStyle w:val="ListParagraph"/>
                    <w:numPr>
                      <w:ilvl w:val="0"/>
                      <w:numId w:val="11"/>
                    </w:numPr>
                    <w:pBdr>
                      <w:top w:val="thickThinLargeGap" w:sz="24" w:space="0" w:color="auto"/>
                      <w:left w:val="thickThinLargeGap" w:sz="24" w:space="0" w:color="auto"/>
                      <w:bottom w:val="thinThickLargeGap" w:sz="24" w:space="1" w:color="auto"/>
                      <w:right w:val="thinThickLargeGap" w:sz="24" w:space="1" w:color="auto"/>
                    </w:pBdr>
                    <w:spacing w:after="0" w:line="240" w:lineRule="auto"/>
                    <w:jc w:val="both"/>
                    <w:rPr>
                      <w:rFonts w:ascii="High Tower Text" w:hAnsi="High Tower Text"/>
                      <w:color w:val="1D1B11" w:themeColor="background2" w:themeShade="1A"/>
                      <w:sz w:val="28"/>
                      <w:szCs w:val="28"/>
                    </w:rPr>
                  </w:pPr>
                  <w:r>
                    <w:rPr>
                      <w:rFonts w:ascii="High Tower Text" w:hAnsi="High Tower Text"/>
                      <w:color w:val="1D1B11" w:themeColor="background2" w:themeShade="1A"/>
                      <w:sz w:val="28"/>
                      <w:szCs w:val="28"/>
                    </w:rPr>
                    <w:t>Refund in case of Non-compliance</w:t>
                  </w:r>
                </w:p>
                <w:p w:rsidR="00C72C4D" w:rsidRDefault="00C72C4D" w:rsidP="00C72C4D">
                  <w:pPr>
                    <w:pStyle w:val="ListParagraph"/>
                    <w:numPr>
                      <w:ilvl w:val="0"/>
                      <w:numId w:val="11"/>
                    </w:numPr>
                    <w:pBdr>
                      <w:top w:val="thickThinLargeGap" w:sz="24" w:space="0" w:color="auto"/>
                      <w:left w:val="thickThinLargeGap" w:sz="24" w:space="0" w:color="auto"/>
                      <w:bottom w:val="thinThickLargeGap" w:sz="24" w:space="1" w:color="auto"/>
                      <w:right w:val="thinThickLargeGap" w:sz="24" w:space="1" w:color="auto"/>
                    </w:pBdr>
                    <w:spacing w:after="0" w:line="240" w:lineRule="auto"/>
                    <w:jc w:val="both"/>
                    <w:rPr>
                      <w:rFonts w:ascii="High Tower Text" w:hAnsi="High Tower Text"/>
                      <w:color w:val="1D1B11" w:themeColor="background2" w:themeShade="1A"/>
                      <w:sz w:val="28"/>
                      <w:szCs w:val="28"/>
                    </w:rPr>
                  </w:pPr>
                  <w:r>
                    <w:rPr>
                      <w:rFonts w:ascii="High Tower Text" w:hAnsi="High Tower Text"/>
                      <w:color w:val="1D1B11" w:themeColor="background2" w:themeShade="1A"/>
                      <w:sz w:val="28"/>
                      <w:szCs w:val="28"/>
                    </w:rPr>
                    <w:t>Non-Compliance</w:t>
                  </w:r>
                </w:p>
                <w:p w:rsidR="00C72C4D" w:rsidRDefault="00C72C4D" w:rsidP="00C72C4D">
                  <w:pPr>
                    <w:pStyle w:val="ListParagraph"/>
                    <w:numPr>
                      <w:ilvl w:val="0"/>
                      <w:numId w:val="11"/>
                    </w:numPr>
                    <w:pBdr>
                      <w:top w:val="thickThinLargeGap" w:sz="24" w:space="0" w:color="auto"/>
                      <w:left w:val="thickThinLargeGap" w:sz="24" w:space="0" w:color="auto"/>
                      <w:bottom w:val="thinThickLargeGap" w:sz="24" w:space="1" w:color="auto"/>
                      <w:right w:val="thinThickLargeGap" w:sz="24" w:space="1" w:color="auto"/>
                    </w:pBdr>
                    <w:spacing w:after="0" w:line="240" w:lineRule="auto"/>
                    <w:jc w:val="both"/>
                    <w:rPr>
                      <w:rFonts w:ascii="High Tower Text" w:hAnsi="High Tower Text"/>
                      <w:color w:val="1D1B11" w:themeColor="background2" w:themeShade="1A"/>
                      <w:sz w:val="28"/>
                      <w:szCs w:val="28"/>
                    </w:rPr>
                  </w:pPr>
                  <w:r>
                    <w:rPr>
                      <w:rFonts w:ascii="High Tower Text" w:hAnsi="High Tower Text"/>
                      <w:color w:val="1D1B11" w:themeColor="background2" w:themeShade="1A"/>
                      <w:sz w:val="28"/>
                      <w:szCs w:val="28"/>
                    </w:rPr>
                    <w:t>Issue Price of Shares</w:t>
                  </w:r>
                </w:p>
                <w:p w:rsidR="00C72C4D" w:rsidRDefault="00C72C4D" w:rsidP="00C72C4D">
                  <w:pPr>
                    <w:pBdr>
                      <w:top w:val="thickThinLargeGap" w:sz="24" w:space="0" w:color="auto"/>
                      <w:left w:val="thickThinLargeGap" w:sz="24" w:space="0" w:color="auto"/>
                      <w:bottom w:val="thinThickLargeGap" w:sz="24" w:space="1" w:color="auto"/>
                      <w:right w:val="thinThickLargeGap" w:sz="24" w:space="1" w:color="auto"/>
                    </w:pBdr>
                    <w:spacing w:after="0" w:line="240" w:lineRule="auto"/>
                    <w:jc w:val="both"/>
                    <w:rPr>
                      <w:rFonts w:ascii="High Tower Text" w:hAnsi="High Tower Text"/>
                      <w:color w:val="1D1B11" w:themeColor="background2" w:themeShade="1A"/>
                      <w:sz w:val="28"/>
                      <w:szCs w:val="28"/>
                    </w:rPr>
                  </w:pPr>
                  <w:r>
                    <w:rPr>
                      <w:rFonts w:ascii="High Tower Text" w:hAnsi="High Tower Text"/>
                      <w:color w:val="1D1B11" w:themeColor="background2" w:themeShade="1A"/>
                      <w:sz w:val="28"/>
                      <w:szCs w:val="28"/>
                    </w:rPr>
                    <w:t>Allotment of Shares</w:t>
                  </w:r>
                </w:p>
                <w:p w:rsidR="00C72C4D" w:rsidRDefault="00C72C4D" w:rsidP="00C72C4D">
                  <w:pPr>
                    <w:pBdr>
                      <w:top w:val="thickThinLargeGap" w:sz="24" w:space="0" w:color="auto"/>
                      <w:left w:val="thickThinLargeGap" w:sz="24" w:space="0" w:color="auto"/>
                      <w:bottom w:val="thinThickLargeGap" w:sz="24" w:space="1" w:color="auto"/>
                      <w:right w:val="thinThickLargeGap" w:sz="24" w:space="1" w:color="auto"/>
                    </w:pBdr>
                    <w:spacing w:after="0" w:line="240" w:lineRule="auto"/>
                    <w:jc w:val="both"/>
                    <w:rPr>
                      <w:rFonts w:ascii="High Tower Text" w:hAnsi="High Tower Text"/>
                      <w:color w:val="1D1B11" w:themeColor="background2" w:themeShade="1A"/>
                      <w:sz w:val="28"/>
                      <w:szCs w:val="28"/>
                    </w:rPr>
                  </w:pPr>
                  <w:r>
                    <w:rPr>
                      <w:rFonts w:ascii="High Tower Text" w:hAnsi="High Tower Text"/>
                      <w:color w:val="1D1B11" w:themeColor="background2" w:themeShade="1A"/>
                      <w:sz w:val="28"/>
                      <w:szCs w:val="28"/>
                    </w:rPr>
                    <w:t>Subscription of Shares</w:t>
                  </w:r>
                </w:p>
                <w:p w:rsidR="00C72C4D" w:rsidRDefault="00C72C4D" w:rsidP="00C72C4D">
                  <w:pPr>
                    <w:pStyle w:val="ListParagraph"/>
                    <w:numPr>
                      <w:ilvl w:val="0"/>
                      <w:numId w:val="11"/>
                    </w:numPr>
                    <w:pBdr>
                      <w:top w:val="thickThinLargeGap" w:sz="24" w:space="0" w:color="auto"/>
                      <w:left w:val="thickThinLargeGap" w:sz="24" w:space="0" w:color="auto"/>
                      <w:bottom w:val="thinThickLargeGap" w:sz="24" w:space="1" w:color="auto"/>
                      <w:right w:val="thinThickLargeGap" w:sz="24" w:space="1" w:color="auto"/>
                    </w:pBdr>
                    <w:spacing w:after="0" w:line="240" w:lineRule="auto"/>
                    <w:jc w:val="both"/>
                    <w:rPr>
                      <w:rFonts w:ascii="High Tower Text" w:hAnsi="High Tower Text"/>
                      <w:color w:val="1D1B11" w:themeColor="background2" w:themeShade="1A"/>
                      <w:sz w:val="28"/>
                      <w:szCs w:val="28"/>
                    </w:rPr>
                  </w:pPr>
                  <w:r>
                    <w:rPr>
                      <w:rFonts w:ascii="High Tower Text" w:hAnsi="High Tower Text"/>
                      <w:color w:val="1D1B11" w:themeColor="background2" w:themeShade="1A"/>
                      <w:sz w:val="28"/>
                      <w:szCs w:val="28"/>
                    </w:rPr>
                    <w:t>Steps of Issue of Shares to Foreign Investor</w:t>
                  </w:r>
                </w:p>
                <w:p w:rsidR="00C72C4D" w:rsidRDefault="00C72C4D" w:rsidP="00C72C4D">
                  <w:pPr>
                    <w:pBdr>
                      <w:top w:val="thickThinLargeGap" w:sz="24" w:space="0" w:color="auto"/>
                      <w:left w:val="thickThinLargeGap" w:sz="24" w:space="0" w:color="auto"/>
                      <w:bottom w:val="thinThickLargeGap" w:sz="24" w:space="1" w:color="auto"/>
                      <w:right w:val="thinThickLargeGap" w:sz="24" w:space="1" w:color="auto"/>
                    </w:pBdr>
                    <w:spacing w:after="0" w:line="240" w:lineRule="auto"/>
                    <w:jc w:val="both"/>
                    <w:rPr>
                      <w:rFonts w:ascii="High Tower Text" w:hAnsi="High Tower Text"/>
                      <w:color w:val="1D1B11" w:themeColor="background2" w:themeShade="1A"/>
                      <w:sz w:val="28"/>
                      <w:szCs w:val="28"/>
                    </w:rPr>
                  </w:pPr>
                  <w:r>
                    <w:rPr>
                      <w:rFonts w:ascii="High Tower Text" w:hAnsi="High Tower Text"/>
                      <w:color w:val="1D1B11" w:themeColor="background2" w:themeShade="1A"/>
                      <w:sz w:val="28"/>
                      <w:szCs w:val="28"/>
                    </w:rPr>
                    <w:t>Reporting of Amount Consideration</w:t>
                  </w:r>
                </w:p>
                <w:p w:rsidR="00C72C4D" w:rsidRDefault="00C72C4D" w:rsidP="00C72C4D">
                  <w:pPr>
                    <w:pBdr>
                      <w:top w:val="thickThinLargeGap" w:sz="24" w:space="0" w:color="auto"/>
                      <w:left w:val="thickThinLargeGap" w:sz="24" w:space="0" w:color="auto"/>
                      <w:bottom w:val="thinThickLargeGap" w:sz="24" w:space="1" w:color="auto"/>
                      <w:right w:val="thinThickLargeGap" w:sz="24" w:space="1" w:color="auto"/>
                    </w:pBdr>
                    <w:spacing w:after="0" w:line="240" w:lineRule="auto"/>
                    <w:jc w:val="both"/>
                    <w:rPr>
                      <w:rFonts w:ascii="High Tower Text" w:hAnsi="High Tower Text"/>
                      <w:color w:val="1D1B11" w:themeColor="background2" w:themeShade="1A"/>
                      <w:sz w:val="28"/>
                      <w:szCs w:val="28"/>
                    </w:rPr>
                  </w:pPr>
                  <w:r>
                    <w:rPr>
                      <w:rFonts w:ascii="High Tower Text" w:hAnsi="High Tower Text"/>
                      <w:color w:val="1D1B11" w:themeColor="background2" w:themeShade="1A"/>
                      <w:sz w:val="28"/>
                      <w:szCs w:val="28"/>
                    </w:rPr>
                    <w:t>Issuance of Unique Identification No.</w:t>
                  </w:r>
                </w:p>
                <w:p w:rsidR="00C72C4D" w:rsidRDefault="00C72C4D" w:rsidP="00C72C4D">
                  <w:pPr>
                    <w:pBdr>
                      <w:top w:val="thickThinLargeGap" w:sz="24" w:space="0" w:color="auto"/>
                      <w:left w:val="thickThinLargeGap" w:sz="24" w:space="0" w:color="auto"/>
                      <w:bottom w:val="thinThickLargeGap" w:sz="24" w:space="1" w:color="auto"/>
                      <w:right w:val="thinThickLargeGap" w:sz="24" w:space="1" w:color="auto"/>
                    </w:pBdr>
                    <w:spacing w:after="0" w:line="240" w:lineRule="auto"/>
                    <w:jc w:val="both"/>
                    <w:rPr>
                      <w:rFonts w:ascii="High Tower Text" w:hAnsi="High Tower Text"/>
                      <w:color w:val="1D1B11" w:themeColor="background2" w:themeShade="1A"/>
                      <w:sz w:val="28"/>
                      <w:szCs w:val="28"/>
                    </w:rPr>
                  </w:pPr>
                  <w:proofErr w:type="gramStart"/>
                  <w:r>
                    <w:rPr>
                      <w:rFonts w:ascii="High Tower Text" w:hAnsi="High Tower Text"/>
                      <w:color w:val="1D1B11" w:themeColor="background2" w:themeShade="1A"/>
                      <w:sz w:val="28"/>
                      <w:szCs w:val="28"/>
                    </w:rPr>
                    <w:t>Reporting of Issue of Shares.</w:t>
                  </w:r>
                  <w:proofErr w:type="gramEnd"/>
                </w:p>
                <w:p w:rsidR="00C72C4D" w:rsidRDefault="00C72C4D" w:rsidP="00C72C4D">
                  <w:pPr>
                    <w:pBdr>
                      <w:top w:val="thickThinLargeGap" w:sz="24" w:space="0" w:color="auto"/>
                      <w:left w:val="thickThinLargeGap" w:sz="24" w:space="0" w:color="auto"/>
                      <w:bottom w:val="thinThickLargeGap" w:sz="24" w:space="1" w:color="auto"/>
                      <w:right w:val="thinThickLargeGap" w:sz="24" w:space="1" w:color="auto"/>
                    </w:pBdr>
                    <w:spacing w:after="0" w:line="240" w:lineRule="auto"/>
                    <w:jc w:val="both"/>
                    <w:rPr>
                      <w:rFonts w:ascii="High Tower Text" w:hAnsi="High Tower Text"/>
                      <w:color w:val="1D1B11" w:themeColor="background2" w:themeShade="1A"/>
                      <w:sz w:val="28"/>
                      <w:szCs w:val="28"/>
                    </w:rPr>
                  </w:pPr>
                  <w:r>
                    <w:rPr>
                      <w:rFonts w:ascii="High Tower Text" w:hAnsi="High Tower Text"/>
                      <w:color w:val="1D1B11" w:themeColor="background2" w:themeShade="1A"/>
                      <w:sz w:val="28"/>
                      <w:szCs w:val="28"/>
                    </w:rPr>
                    <w:t>Signing of FCGPR</w:t>
                  </w:r>
                </w:p>
                <w:p w:rsidR="00C72C4D" w:rsidRDefault="00C72C4D" w:rsidP="00C72C4D">
                  <w:pPr>
                    <w:pBdr>
                      <w:top w:val="thickThinLargeGap" w:sz="24" w:space="0" w:color="auto"/>
                      <w:left w:val="thickThinLargeGap" w:sz="24" w:space="0" w:color="auto"/>
                      <w:bottom w:val="thinThickLargeGap" w:sz="24" w:space="1" w:color="auto"/>
                      <w:right w:val="thinThickLargeGap" w:sz="24" w:space="1" w:color="auto"/>
                    </w:pBdr>
                    <w:spacing w:after="0" w:line="240" w:lineRule="auto"/>
                    <w:jc w:val="both"/>
                    <w:rPr>
                      <w:rFonts w:ascii="High Tower Text" w:hAnsi="High Tower Text"/>
                      <w:color w:val="1D1B11" w:themeColor="background2" w:themeShade="1A"/>
                      <w:sz w:val="28"/>
                      <w:szCs w:val="28"/>
                    </w:rPr>
                  </w:pPr>
                  <w:r>
                    <w:rPr>
                      <w:rFonts w:ascii="High Tower Text" w:hAnsi="High Tower Text"/>
                      <w:color w:val="1D1B11" w:themeColor="background2" w:themeShade="1A"/>
                      <w:sz w:val="28"/>
                      <w:szCs w:val="28"/>
                    </w:rPr>
                    <w:t>Documents required to be submit</w:t>
                  </w:r>
                </w:p>
                <w:p w:rsidR="00C72C4D" w:rsidRDefault="00C72C4D" w:rsidP="00C72C4D">
                  <w:pPr>
                    <w:pStyle w:val="ListParagraph"/>
                    <w:pBdr>
                      <w:top w:val="thickThinLargeGap" w:sz="24" w:space="0" w:color="auto"/>
                      <w:left w:val="thickThinLargeGap" w:sz="24" w:space="0" w:color="auto"/>
                      <w:bottom w:val="thinThickLargeGap" w:sz="24" w:space="1" w:color="auto"/>
                      <w:right w:val="thinThickLargeGap" w:sz="24" w:space="1" w:color="auto"/>
                    </w:pBdr>
                    <w:spacing w:after="0" w:line="240" w:lineRule="auto"/>
                    <w:jc w:val="both"/>
                    <w:rPr>
                      <w:rFonts w:ascii="High Tower Text" w:hAnsi="High Tower Text"/>
                      <w:color w:val="1D1B11" w:themeColor="background2" w:themeShade="1A"/>
                      <w:sz w:val="28"/>
                      <w:szCs w:val="28"/>
                    </w:rPr>
                  </w:pPr>
                  <w:r>
                    <w:rPr>
                      <w:rFonts w:ascii="High Tower Text" w:hAnsi="High Tower Text"/>
                      <w:color w:val="1D1B11" w:themeColor="background2" w:themeShade="1A"/>
                      <w:sz w:val="28"/>
                      <w:szCs w:val="28"/>
                    </w:rPr>
                    <w:t>-Certificate from Company Secretary</w:t>
                  </w:r>
                </w:p>
                <w:p w:rsidR="00C72C4D" w:rsidRDefault="00C72C4D" w:rsidP="00C72C4D">
                  <w:pPr>
                    <w:pStyle w:val="ListParagraph"/>
                    <w:pBdr>
                      <w:top w:val="thickThinLargeGap" w:sz="24" w:space="0" w:color="auto"/>
                      <w:left w:val="thickThinLargeGap" w:sz="24" w:space="0" w:color="auto"/>
                      <w:bottom w:val="thinThickLargeGap" w:sz="24" w:space="1" w:color="auto"/>
                      <w:right w:val="thinThickLargeGap" w:sz="24" w:space="1" w:color="auto"/>
                    </w:pBdr>
                    <w:spacing w:after="0" w:line="240" w:lineRule="auto"/>
                    <w:jc w:val="both"/>
                    <w:rPr>
                      <w:rFonts w:ascii="High Tower Text" w:hAnsi="High Tower Text"/>
                      <w:color w:val="1D1B11" w:themeColor="background2" w:themeShade="1A"/>
                      <w:sz w:val="28"/>
                      <w:szCs w:val="28"/>
                    </w:rPr>
                  </w:pPr>
                  <w:r>
                    <w:rPr>
                      <w:rFonts w:ascii="High Tower Text" w:hAnsi="High Tower Text"/>
                      <w:color w:val="1D1B11" w:themeColor="background2" w:themeShade="1A"/>
                      <w:sz w:val="28"/>
                      <w:szCs w:val="28"/>
                    </w:rPr>
                    <w:t>-Valuation Certificate</w:t>
                  </w:r>
                </w:p>
                <w:p w:rsidR="00C72C4D" w:rsidRDefault="00C72C4D" w:rsidP="00C72C4D">
                  <w:pPr>
                    <w:pStyle w:val="ListParagraph"/>
                    <w:pBdr>
                      <w:top w:val="thickThinLargeGap" w:sz="24" w:space="0" w:color="auto"/>
                      <w:left w:val="thickThinLargeGap" w:sz="24" w:space="0" w:color="auto"/>
                      <w:bottom w:val="thinThickLargeGap" w:sz="24" w:space="1" w:color="auto"/>
                      <w:right w:val="thinThickLargeGap" w:sz="24" w:space="1" w:color="auto"/>
                    </w:pBdr>
                    <w:spacing w:after="0" w:line="240" w:lineRule="auto"/>
                    <w:jc w:val="both"/>
                    <w:rPr>
                      <w:rFonts w:ascii="High Tower Text" w:hAnsi="High Tower Text"/>
                      <w:color w:val="1D1B11" w:themeColor="background2" w:themeShade="1A"/>
                      <w:sz w:val="28"/>
                      <w:szCs w:val="28"/>
                    </w:rPr>
                  </w:pPr>
                  <w:r>
                    <w:rPr>
                      <w:rFonts w:ascii="High Tower Text" w:hAnsi="High Tower Text"/>
                      <w:color w:val="1D1B11" w:themeColor="background2" w:themeShade="1A"/>
                      <w:sz w:val="28"/>
                      <w:szCs w:val="28"/>
                    </w:rPr>
                    <w:t>- Proof of Receipt of Subscription.</w:t>
                  </w:r>
                </w:p>
                <w:p w:rsidR="00C72C4D" w:rsidRPr="00C72C4D" w:rsidRDefault="00C72C4D" w:rsidP="00C72C4D">
                  <w:pPr>
                    <w:pBdr>
                      <w:top w:val="thickThinLargeGap" w:sz="24" w:space="0" w:color="auto"/>
                      <w:left w:val="thickThinLargeGap" w:sz="24" w:space="0" w:color="auto"/>
                      <w:bottom w:val="thinThickLargeGap" w:sz="24" w:space="1" w:color="auto"/>
                      <w:right w:val="thinThickLargeGap" w:sz="24" w:space="1" w:color="auto"/>
                    </w:pBdr>
                    <w:spacing w:after="0" w:line="240" w:lineRule="auto"/>
                    <w:jc w:val="both"/>
                    <w:rPr>
                      <w:rFonts w:ascii="High Tower Text" w:hAnsi="High Tower Text"/>
                      <w:color w:val="1D1B11" w:themeColor="background2" w:themeShade="1A"/>
                      <w:sz w:val="28"/>
                      <w:szCs w:val="28"/>
                    </w:rPr>
                  </w:pPr>
                  <w:proofErr w:type="gramStart"/>
                  <w:r>
                    <w:rPr>
                      <w:rFonts w:ascii="High Tower Text" w:hAnsi="High Tower Text"/>
                      <w:color w:val="1D1B11" w:themeColor="background2" w:themeShade="1A"/>
                      <w:sz w:val="28"/>
                      <w:szCs w:val="28"/>
                    </w:rPr>
                    <w:t>Annual Return of Foreign Assets &amp; Liabilities.</w:t>
                  </w:r>
                  <w:proofErr w:type="gramEnd"/>
                </w:p>
              </w:txbxContent>
            </v:textbox>
          </v:shape>
        </w:pict>
      </w:r>
      <w:r>
        <w:rPr>
          <w:rStyle w:val="SubtleEmphasis"/>
        </w:rPr>
        <w:t>Allotment of shares to Foreign Investor (FDI)</w:t>
      </w:r>
    </w:p>
    <w:p w:rsidR="00B57D29" w:rsidRPr="00DE5606" w:rsidRDefault="00B57D29" w:rsidP="00C72C4D">
      <w:pPr>
        <w:pStyle w:val="ListParagraph"/>
        <w:numPr>
          <w:ilvl w:val="0"/>
          <w:numId w:val="2"/>
        </w:numPr>
        <w:ind w:left="4680" w:firstLine="0"/>
        <w:jc w:val="both"/>
        <w:rPr>
          <w:rFonts w:ascii="Copperplate Gothic Bold" w:hAnsi="Copperplate Gothic Bold"/>
          <w:color w:val="002060"/>
          <w:u w:val="single"/>
        </w:rPr>
      </w:pPr>
      <w:r w:rsidRPr="00DE5606">
        <w:rPr>
          <w:rFonts w:ascii="Copperplate Gothic Bold" w:hAnsi="Copperplate Gothic Bold"/>
          <w:color w:val="002060"/>
          <w:u w:val="single"/>
        </w:rPr>
        <w:t>Time period for Issue of Certificate:</w:t>
      </w:r>
    </w:p>
    <w:p w:rsidR="00B57D29" w:rsidRPr="00B51B98" w:rsidRDefault="00B57D29" w:rsidP="00C72C4D">
      <w:pPr>
        <w:pStyle w:val="ListParagraph"/>
        <w:numPr>
          <w:ilvl w:val="0"/>
          <w:numId w:val="1"/>
        </w:numPr>
        <w:ind w:left="4680" w:firstLine="0"/>
        <w:jc w:val="both"/>
        <w:rPr>
          <w:rFonts w:ascii="Sylfaen" w:hAnsi="Sylfaen"/>
          <w:sz w:val="24"/>
          <w:szCs w:val="24"/>
        </w:rPr>
      </w:pPr>
      <w:r w:rsidRPr="00B51B98">
        <w:rPr>
          <w:rFonts w:ascii="Sylfaen" w:hAnsi="Sylfaen"/>
          <w:sz w:val="24"/>
          <w:szCs w:val="24"/>
        </w:rPr>
        <w:t xml:space="preserve">The capital instruments should be issued within 180 days from the date of receipt of the inward remittance received through normal banking channels including escrow account opened and maintained for the purpose or by debit to the NRE/FCNR (B) account of the non-resident investor. </w:t>
      </w:r>
    </w:p>
    <w:p w:rsidR="00B57D29" w:rsidRDefault="00B57D29" w:rsidP="00C72C4D">
      <w:pPr>
        <w:pStyle w:val="ListParagraph"/>
        <w:numPr>
          <w:ilvl w:val="0"/>
          <w:numId w:val="1"/>
        </w:numPr>
        <w:ind w:left="4680" w:firstLine="0"/>
        <w:jc w:val="both"/>
        <w:rPr>
          <w:rFonts w:ascii="Sylfaen" w:hAnsi="Sylfaen"/>
          <w:sz w:val="24"/>
          <w:szCs w:val="24"/>
        </w:rPr>
      </w:pPr>
      <w:r w:rsidRPr="00B51B98">
        <w:rPr>
          <w:rFonts w:ascii="Berlin Sans FB Demi" w:hAnsi="Berlin Sans FB Demi"/>
          <w:b/>
        </w:rPr>
        <w:t>Refund in case of non Compliance:</w:t>
      </w:r>
      <w:r>
        <w:rPr>
          <w:rFonts w:ascii="Sylfaen" w:hAnsi="Sylfaen"/>
          <w:sz w:val="24"/>
          <w:szCs w:val="24"/>
        </w:rPr>
        <w:t xml:space="preserve"> </w:t>
      </w:r>
      <w:r w:rsidRPr="00B51B98">
        <w:rPr>
          <w:rFonts w:ascii="Sylfaen" w:hAnsi="Sylfaen"/>
          <w:sz w:val="24"/>
          <w:szCs w:val="24"/>
        </w:rPr>
        <w:t xml:space="preserve">In case, the capital instruments are not issued within 180 days from the date of receipt of the inward remittance or date of debit to the NRE/FCNR (B) account, the amount of consideration so received should be refunded immediately to the non-resident investor by outward remittance through normal banking channels or by credit to the NRE/FCNR (B) account, as the case may be. </w:t>
      </w:r>
    </w:p>
    <w:p w:rsidR="00B57D29" w:rsidRPr="00B51B98" w:rsidRDefault="00B57D29" w:rsidP="00C72C4D">
      <w:pPr>
        <w:ind w:left="4680"/>
        <w:jc w:val="both"/>
        <w:rPr>
          <w:rFonts w:ascii="Sylfaen" w:hAnsi="Sylfaen"/>
          <w:color w:val="002060"/>
          <w:sz w:val="24"/>
          <w:szCs w:val="24"/>
          <w:u w:val="single"/>
        </w:rPr>
      </w:pPr>
      <w:r w:rsidRPr="00B51B98">
        <w:rPr>
          <w:rFonts w:ascii="Berlin Sans FB Demi" w:hAnsi="Berlin Sans FB Demi"/>
          <w:b/>
        </w:rPr>
        <w:t>Exception:</w:t>
      </w:r>
      <w:r>
        <w:rPr>
          <w:rFonts w:ascii="Sylfaen" w:hAnsi="Sylfaen"/>
          <w:sz w:val="24"/>
          <w:szCs w:val="24"/>
        </w:rPr>
        <w:t xml:space="preserve"> </w:t>
      </w:r>
      <w:r w:rsidRPr="00B51B98">
        <w:rPr>
          <w:rFonts w:ascii="Sylfaen" w:hAnsi="Sylfaen"/>
          <w:sz w:val="24"/>
          <w:szCs w:val="24"/>
        </w:rPr>
        <w:t>In exceptional cases, refund of the amount of consideration outstanding beyond a period of 180 days from the date of receipt may be considered by the RBI, on the merits of the case.</w:t>
      </w:r>
    </w:p>
    <w:p w:rsidR="00B57D29" w:rsidRDefault="00B57D29" w:rsidP="00C72C4D">
      <w:pPr>
        <w:pStyle w:val="ListParagraph"/>
        <w:numPr>
          <w:ilvl w:val="0"/>
          <w:numId w:val="1"/>
        </w:numPr>
        <w:ind w:left="4680" w:firstLine="0"/>
        <w:jc w:val="both"/>
        <w:rPr>
          <w:rFonts w:ascii="Sylfaen" w:hAnsi="Sylfaen"/>
          <w:sz w:val="24"/>
          <w:szCs w:val="24"/>
        </w:rPr>
      </w:pPr>
      <w:r w:rsidRPr="00B51B98">
        <w:rPr>
          <w:rFonts w:ascii="Berlin Sans FB Demi" w:hAnsi="Berlin Sans FB Demi"/>
          <w:b/>
        </w:rPr>
        <w:t>Non-compliance</w:t>
      </w:r>
      <w:r w:rsidRPr="00B51B98">
        <w:rPr>
          <w:rFonts w:ascii="Sylfaen" w:hAnsi="Sylfaen"/>
          <w:sz w:val="24"/>
          <w:szCs w:val="24"/>
        </w:rPr>
        <w:t xml:space="preserve"> with the above provision would be reckoned as a contravention under FEMA and would attract penal provisions. </w:t>
      </w:r>
    </w:p>
    <w:p w:rsidR="00B57D29" w:rsidRDefault="00B57D29" w:rsidP="00B57D29">
      <w:pPr>
        <w:pStyle w:val="ListParagraph"/>
        <w:ind w:left="0"/>
        <w:jc w:val="both"/>
        <w:rPr>
          <w:rFonts w:ascii="Sylfaen" w:hAnsi="Sylfaen"/>
          <w:sz w:val="24"/>
          <w:szCs w:val="24"/>
        </w:rPr>
      </w:pPr>
    </w:p>
    <w:p w:rsidR="00C72C4D" w:rsidRDefault="00C72C4D" w:rsidP="00B57D29">
      <w:pPr>
        <w:pStyle w:val="ListParagraph"/>
        <w:ind w:left="0"/>
        <w:jc w:val="both"/>
        <w:rPr>
          <w:rFonts w:ascii="Sylfaen" w:hAnsi="Sylfaen"/>
          <w:sz w:val="24"/>
          <w:szCs w:val="24"/>
        </w:rPr>
      </w:pPr>
    </w:p>
    <w:p w:rsidR="00B57D29" w:rsidRPr="00DE5606" w:rsidRDefault="00B57D29" w:rsidP="00B57D29">
      <w:pPr>
        <w:pStyle w:val="ListParagraph"/>
        <w:numPr>
          <w:ilvl w:val="0"/>
          <w:numId w:val="2"/>
        </w:numPr>
        <w:ind w:left="-180"/>
        <w:rPr>
          <w:rFonts w:ascii="Copperplate Gothic Bold" w:hAnsi="Copperplate Gothic Bold"/>
          <w:color w:val="002060"/>
          <w:u w:val="single"/>
        </w:rPr>
      </w:pPr>
      <w:r w:rsidRPr="00DE5606">
        <w:rPr>
          <w:rFonts w:ascii="Copperplate Gothic Bold" w:hAnsi="Copperplate Gothic Bold"/>
          <w:color w:val="002060"/>
          <w:u w:val="single"/>
        </w:rPr>
        <w:lastRenderedPageBreak/>
        <w:t xml:space="preserve">Issue price of shares </w:t>
      </w:r>
    </w:p>
    <w:p w:rsidR="00B57D29" w:rsidRDefault="00B57D29" w:rsidP="00B57D29">
      <w:pPr>
        <w:jc w:val="both"/>
        <w:rPr>
          <w:rFonts w:ascii="Sylfaen" w:hAnsi="Sylfaen"/>
          <w:sz w:val="24"/>
          <w:szCs w:val="24"/>
        </w:rPr>
      </w:pPr>
      <w:r w:rsidRPr="00DE5606">
        <w:rPr>
          <w:rFonts w:ascii="Sylfaen" w:hAnsi="Sylfaen"/>
          <w:sz w:val="24"/>
          <w:szCs w:val="24"/>
        </w:rPr>
        <w:t>Price of shares issued to persons resident outside India under the FDI Policy, shall not be less than –</w:t>
      </w:r>
    </w:p>
    <w:p w:rsidR="00B57D29" w:rsidRPr="00D7338B" w:rsidRDefault="00B57D29" w:rsidP="00B57D29">
      <w:pPr>
        <w:jc w:val="both"/>
        <w:rPr>
          <w:rFonts w:ascii="Berlin Sans FB Demi" w:hAnsi="Berlin Sans FB Demi" w:cs="Narkisim"/>
          <w:color w:val="403152" w:themeColor="accent4" w:themeShade="80"/>
          <w:sz w:val="24"/>
          <w:szCs w:val="24"/>
          <w:u w:val="single"/>
        </w:rPr>
      </w:pPr>
      <w:r w:rsidRPr="00D7338B">
        <w:rPr>
          <w:rFonts w:ascii="Berlin Sans FB Demi" w:hAnsi="Berlin Sans FB Demi" w:cs="Narkisim"/>
          <w:color w:val="403152" w:themeColor="accent4" w:themeShade="80"/>
          <w:sz w:val="24"/>
          <w:szCs w:val="24"/>
          <w:u w:val="single"/>
        </w:rPr>
        <w:t>Allotment of Shares:</w:t>
      </w:r>
    </w:p>
    <w:p w:rsidR="00B57D29" w:rsidRDefault="00B57D29" w:rsidP="00B57D29">
      <w:pPr>
        <w:pStyle w:val="ListParagraph"/>
        <w:numPr>
          <w:ilvl w:val="0"/>
          <w:numId w:val="3"/>
        </w:numPr>
        <w:ind w:left="180" w:hanging="180"/>
        <w:jc w:val="both"/>
      </w:pPr>
      <w:r w:rsidRPr="00DE5606">
        <w:rPr>
          <w:rFonts w:ascii="Berlin Sans FB Demi" w:hAnsi="Berlin Sans FB Demi"/>
          <w:b/>
        </w:rPr>
        <w:t>Listed Shares: -</w:t>
      </w:r>
      <w:r w:rsidRPr="00DE5606">
        <w:t xml:space="preserve"> </w:t>
      </w:r>
      <w:r>
        <w:t>The</w:t>
      </w:r>
      <w:r w:rsidRPr="00DE5606">
        <w:rPr>
          <w:rFonts w:ascii="Sylfaen" w:hAnsi="Sylfaen"/>
          <w:sz w:val="24"/>
          <w:szCs w:val="24"/>
        </w:rPr>
        <w:t xml:space="preserve"> price worked out in accordance with the SEBI guidelines, as applicabl</w:t>
      </w:r>
      <w:r>
        <w:rPr>
          <w:rFonts w:ascii="Sylfaen" w:hAnsi="Sylfaen"/>
        </w:rPr>
        <w:t>e.</w:t>
      </w:r>
      <w:r>
        <w:t xml:space="preserve"> </w:t>
      </w:r>
    </w:p>
    <w:p w:rsidR="00B57D29" w:rsidRPr="006B4B81" w:rsidRDefault="00B57D29" w:rsidP="00B57D29">
      <w:pPr>
        <w:pStyle w:val="ListParagraph"/>
        <w:numPr>
          <w:ilvl w:val="0"/>
          <w:numId w:val="3"/>
        </w:numPr>
        <w:ind w:left="180" w:hanging="180"/>
        <w:jc w:val="both"/>
        <w:rPr>
          <w:rFonts w:ascii="Sylfaen" w:hAnsi="Sylfaen"/>
          <w:color w:val="632423" w:themeColor="accent2" w:themeShade="80"/>
          <w:sz w:val="24"/>
          <w:szCs w:val="24"/>
          <w:u w:val="single"/>
        </w:rPr>
      </w:pPr>
      <w:r w:rsidRPr="00DE5606">
        <w:rPr>
          <w:rFonts w:ascii="Berlin Sans FB Demi" w:hAnsi="Berlin Sans FB Demi"/>
          <w:b/>
        </w:rPr>
        <w:t>Non-Listed Shares:-</w:t>
      </w:r>
      <w:r w:rsidRPr="00DE5606">
        <w:rPr>
          <w:rFonts w:ascii="Sylfaen" w:hAnsi="Sylfaen"/>
          <w:sz w:val="24"/>
          <w:szCs w:val="24"/>
        </w:rPr>
        <w:t xml:space="preserve"> </w:t>
      </w:r>
      <w:r>
        <w:rPr>
          <w:rFonts w:ascii="Sylfaen" w:hAnsi="Sylfaen"/>
          <w:sz w:val="24"/>
          <w:szCs w:val="24"/>
        </w:rPr>
        <w:t xml:space="preserve"> </w:t>
      </w:r>
    </w:p>
    <w:p w:rsidR="00B57D29" w:rsidRPr="006B4B81" w:rsidRDefault="00B57D29" w:rsidP="00B57D29">
      <w:pPr>
        <w:pStyle w:val="ListParagraph"/>
        <w:numPr>
          <w:ilvl w:val="0"/>
          <w:numId w:val="1"/>
        </w:numPr>
        <w:ind w:left="180" w:hanging="180"/>
        <w:jc w:val="both"/>
        <w:rPr>
          <w:rFonts w:ascii="Sylfaen" w:hAnsi="Sylfaen"/>
          <w:sz w:val="24"/>
          <w:szCs w:val="24"/>
        </w:rPr>
      </w:pPr>
      <w:r w:rsidRPr="006B4B81">
        <w:rPr>
          <w:rFonts w:ascii="Sylfaen" w:hAnsi="Sylfaen"/>
          <w:color w:val="632423" w:themeColor="accent2" w:themeShade="80"/>
          <w:sz w:val="24"/>
          <w:szCs w:val="24"/>
          <w:u w:val="single"/>
        </w:rPr>
        <w:t>On Allotment of Shares:</w:t>
      </w:r>
      <w:r>
        <w:rPr>
          <w:rFonts w:ascii="Sylfaen" w:hAnsi="Sylfaen"/>
          <w:color w:val="632423" w:themeColor="accent2" w:themeShade="80"/>
          <w:sz w:val="24"/>
          <w:szCs w:val="24"/>
          <w:u w:val="single"/>
        </w:rPr>
        <w:t xml:space="preserve"> </w:t>
      </w:r>
      <w:r w:rsidRPr="006B4B81">
        <w:rPr>
          <w:rFonts w:ascii="Sylfaen" w:hAnsi="Sylfaen"/>
          <w:sz w:val="24"/>
          <w:szCs w:val="24"/>
        </w:rPr>
        <w:t xml:space="preserve">The fair valuation of shares done by a </w:t>
      </w:r>
    </w:p>
    <w:p w:rsidR="00B57D29" w:rsidRDefault="00B57D29" w:rsidP="00B57D29">
      <w:pPr>
        <w:pStyle w:val="ListParagraph"/>
        <w:numPr>
          <w:ilvl w:val="0"/>
          <w:numId w:val="4"/>
        </w:numPr>
        <w:jc w:val="both"/>
        <w:rPr>
          <w:rFonts w:ascii="Sylfaen" w:hAnsi="Sylfaen"/>
          <w:sz w:val="24"/>
          <w:szCs w:val="24"/>
        </w:rPr>
      </w:pPr>
      <w:r w:rsidRPr="00DE5606">
        <w:rPr>
          <w:rFonts w:ascii="Sylfaen" w:hAnsi="Sylfaen"/>
          <w:sz w:val="24"/>
          <w:szCs w:val="24"/>
        </w:rPr>
        <w:t xml:space="preserve">SEBI registered Merchant Banker or </w:t>
      </w:r>
    </w:p>
    <w:p w:rsidR="00B57D29" w:rsidRDefault="00B57D29" w:rsidP="00B57D29">
      <w:pPr>
        <w:pStyle w:val="ListParagraph"/>
        <w:numPr>
          <w:ilvl w:val="0"/>
          <w:numId w:val="4"/>
        </w:numPr>
        <w:jc w:val="both"/>
        <w:rPr>
          <w:rFonts w:ascii="Sylfaen" w:hAnsi="Sylfaen"/>
          <w:sz w:val="24"/>
          <w:szCs w:val="24"/>
        </w:rPr>
      </w:pPr>
      <w:r w:rsidRPr="00DE5606">
        <w:rPr>
          <w:rFonts w:ascii="Sylfaen" w:hAnsi="Sylfaen"/>
          <w:sz w:val="24"/>
          <w:szCs w:val="24"/>
        </w:rPr>
        <w:t>A Chartered Accountant as per any internationally accepted pricing met</w:t>
      </w:r>
      <w:r>
        <w:rPr>
          <w:rFonts w:ascii="Sylfaen" w:hAnsi="Sylfaen"/>
          <w:sz w:val="24"/>
          <w:szCs w:val="24"/>
        </w:rPr>
        <w:t>hodology on arm’s length basis.</w:t>
      </w:r>
    </w:p>
    <w:p w:rsidR="00B57D29" w:rsidRDefault="00B57D29" w:rsidP="00B57D29">
      <w:pPr>
        <w:pStyle w:val="ListParagraph"/>
        <w:ind w:left="540"/>
        <w:jc w:val="both"/>
        <w:rPr>
          <w:rFonts w:ascii="Sylfaen" w:hAnsi="Sylfaen"/>
          <w:sz w:val="24"/>
          <w:szCs w:val="24"/>
        </w:rPr>
      </w:pPr>
    </w:p>
    <w:p w:rsidR="00B57D29" w:rsidRPr="006B4B81" w:rsidRDefault="00B57D29" w:rsidP="00E66EEB">
      <w:pPr>
        <w:pStyle w:val="ListParagraph"/>
        <w:numPr>
          <w:ilvl w:val="0"/>
          <w:numId w:val="1"/>
        </w:numPr>
        <w:spacing w:after="0"/>
        <w:ind w:left="180" w:hanging="180"/>
        <w:jc w:val="both"/>
        <w:rPr>
          <w:rFonts w:ascii="Sylfaen" w:hAnsi="Sylfaen"/>
          <w:sz w:val="24"/>
          <w:szCs w:val="24"/>
        </w:rPr>
      </w:pPr>
      <w:r w:rsidRPr="006B4B81">
        <w:rPr>
          <w:rFonts w:ascii="Sylfaen" w:hAnsi="Sylfaen"/>
          <w:color w:val="632423" w:themeColor="accent2" w:themeShade="80"/>
          <w:sz w:val="24"/>
          <w:szCs w:val="24"/>
          <w:u w:val="single"/>
        </w:rPr>
        <w:t xml:space="preserve">On </w:t>
      </w:r>
      <w:r>
        <w:rPr>
          <w:rFonts w:ascii="Sylfaen" w:hAnsi="Sylfaen"/>
          <w:color w:val="632423" w:themeColor="accent2" w:themeShade="80"/>
          <w:sz w:val="24"/>
          <w:szCs w:val="24"/>
          <w:u w:val="single"/>
        </w:rPr>
        <w:t>Subscription</w:t>
      </w:r>
      <w:r w:rsidRPr="006B4B81">
        <w:rPr>
          <w:rFonts w:ascii="Sylfaen" w:hAnsi="Sylfaen"/>
          <w:color w:val="632423" w:themeColor="accent2" w:themeShade="80"/>
          <w:sz w:val="24"/>
          <w:szCs w:val="24"/>
          <w:u w:val="single"/>
        </w:rPr>
        <w:t xml:space="preserve"> of Shares</w:t>
      </w:r>
      <w:r>
        <w:rPr>
          <w:rFonts w:ascii="Sylfaen" w:hAnsi="Sylfaen"/>
          <w:color w:val="632423" w:themeColor="accent2" w:themeShade="80"/>
          <w:sz w:val="24"/>
          <w:szCs w:val="24"/>
          <w:u w:val="single"/>
        </w:rPr>
        <w:t xml:space="preserve"> on Incorporation:</w:t>
      </w:r>
    </w:p>
    <w:p w:rsidR="00C13968" w:rsidRDefault="00B57D29" w:rsidP="00B57D29">
      <w:pPr>
        <w:rPr>
          <w:rFonts w:ascii="Sylfaen" w:hAnsi="Sylfaen"/>
          <w:sz w:val="24"/>
          <w:szCs w:val="24"/>
        </w:rPr>
      </w:pPr>
      <w:r w:rsidRPr="006B4B81">
        <w:rPr>
          <w:rFonts w:ascii="Sylfaen" w:hAnsi="Sylfaen"/>
          <w:sz w:val="24"/>
          <w:szCs w:val="24"/>
        </w:rPr>
        <w:t xml:space="preserve">Where non-residents (including NRIs) are making investments in an Indian company in compliance with the provisions of the Companies Act, as applicable, by way of subscription to its Memorandum of Association, such investments may be made at </w:t>
      </w:r>
      <w:r w:rsidRPr="006B4B81">
        <w:rPr>
          <w:rFonts w:ascii="Sylfaen" w:hAnsi="Sylfaen"/>
          <w:i/>
          <w:color w:val="632423" w:themeColor="accent2" w:themeShade="80"/>
          <w:sz w:val="24"/>
          <w:szCs w:val="24"/>
          <w:u w:val="single"/>
        </w:rPr>
        <w:t>Face Value</w:t>
      </w:r>
      <w:r w:rsidRPr="006B4B81">
        <w:rPr>
          <w:rFonts w:ascii="Sylfaen" w:hAnsi="Sylfaen"/>
          <w:sz w:val="24"/>
          <w:szCs w:val="24"/>
        </w:rPr>
        <w:t xml:space="preserve"> subject to their eligibility to invest under the FDI scheme</w:t>
      </w:r>
      <w:r w:rsidR="00E66EEB">
        <w:rPr>
          <w:rFonts w:ascii="Sylfaen" w:hAnsi="Sylfaen"/>
          <w:sz w:val="24"/>
          <w:szCs w:val="24"/>
        </w:rPr>
        <w:t>.</w:t>
      </w:r>
    </w:p>
    <w:p w:rsidR="00654899" w:rsidRDefault="0073610D" w:rsidP="00654899">
      <w:pPr>
        <w:pStyle w:val="ListParagraph"/>
        <w:numPr>
          <w:ilvl w:val="0"/>
          <w:numId w:val="2"/>
        </w:numPr>
        <w:ind w:left="-180"/>
        <w:rPr>
          <w:rFonts w:ascii="Copperplate Gothic Bold" w:hAnsi="Copperplate Gothic Bold"/>
          <w:color w:val="002060"/>
          <w:u w:val="single"/>
        </w:rPr>
      </w:pPr>
      <w:r>
        <w:rPr>
          <w:rStyle w:val="FootnoteReference"/>
          <w:rFonts w:ascii="Copperplate Gothic Bold" w:hAnsi="Copperplate Gothic Bold"/>
          <w:color w:val="002060"/>
          <w:u w:val="single"/>
        </w:rPr>
        <w:footnoteReference w:id="2"/>
      </w:r>
      <w:r w:rsidR="00E66EEB" w:rsidRPr="00E66EEB">
        <w:rPr>
          <w:rFonts w:ascii="Copperplate Gothic Bold" w:hAnsi="Copperplate Gothic Bold"/>
          <w:color w:val="002060"/>
          <w:u w:val="single"/>
        </w:rPr>
        <w:t>Reporting of FDI</w:t>
      </w:r>
      <w:r w:rsidR="00E66EEB">
        <w:rPr>
          <w:rFonts w:ascii="Copperplate Gothic Bold" w:hAnsi="Copperplate Gothic Bold"/>
          <w:color w:val="002060"/>
          <w:u w:val="single"/>
        </w:rPr>
        <w:t>:</w:t>
      </w:r>
    </w:p>
    <w:p w:rsidR="00654899" w:rsidRDefault="00654899" w:rsidP="00654899">
      <w:pPr>
        <w:pStyle w:val="ListParagraph"/>
        <w:ind w:left="-180"/>
        <w:rPr>
          <w:rFonts w:ascii="Bodoni MT Black" w:hAnsi="Bodoni MT Black" w:cs="Narkisim"/>
          <w:color w:val="403152" w:themeColor="accent4" w:themeShade="80"/>
          <w:sz w:val="24"/>
          <w:szCs w:val="24"/>
          <w:u w:val="single"/>
        </w:rPr>
      </w:pPr>
    </w:p>
    <w:p w:rsidR="00A25F55" w:rsidRPr="00A25F55" w:rsidRDefault="00A25F55" w:rsidP="00654899">
      <w:pPr>
        <w:pStyle w:val="ListParagraph"/>
        <w:ind w:left="-180"/>
        <w:rPr>
          <w:rFonts w:ascii="Bauhaus 93" w:hAnsi="Bauhaus 93" w:cs="Narkisim"/>
          <w:color w:val="632423" w:themeColor="accent2" w:themeShade="80"/>
          <w:sz w:val="24"/>
          <w:szCs w:val="24"/>
          <w:u w:val="single"/>
        </w:rPr>
      </w:pPr>
      <w:r w:rsidRPr="00A25F55">
        <w:rPr>
          <w:rFonts w:ascii="Bauhaus 93" w:hAnsi="Bauhaus 93" w:cs="Narkisim"/>
          <w:color w:val="632423" w:themeColor="accent2" w:themeShade="80"/>
          <w:sz w:val="24"/>
          <w:szCs w:val="24"/>
          <w:u w:val="single"/>
        </w:rPr>
        <w:t>STEP-1</w:t>
      </w:r>
    </w:p>
    <w:p w:rsidR="00A25F55" w:rsidRDefault="00A25F55" w:rsidP="00A25F55">
      <w:pPr>
        <w:pStyle w:val="ListParagraph"/>
        <w:ind w:left="-180"/>
        <w:rPr>
          <w:rFonts w:ascii="Bauhaus 93" w:hAnsi="Bauhaus 93" w:cs="Narkisim"/>
          <w:color w:val="403152" w:themeColor="accent4" w:themeShade="80"/>
          <w:sz w:val="24"/>
          <w:szCs w:val="24"/>
          <w:u w:val="single"/>
        </w:rPr>
      </w:pPr>
      <w:r w:rsidRPr="00D7338B">
        <w:rPr>
          <w:rFonts w:ascii="Berlin Sans FB Demi" w:hAnsi="Berlin Sans FB Demi" w:cs="Narkisim"/>
          <w:color w:val="403152" w:themeColor="accent4" w:themeShade="80"/>
          <w:sz w:val="24"/>
          <w:szCs w:val="24"/>
          <w:u w:val="single"/>
        </w:rPr>
        <w:t xml:space="preserve">Reporting of </w:t>
      </w:r>
      <w:r w:rsidR="00B1249A" w:rsidRPr="00D7338B">
        <w:rPr>
          <w:rFonts w:ascii="Berlin Sans FB Demi" w:hAnsi="Berlin Sans FB Demi" w:cs="Narkisim"/>
          <w:color w:val="403152" w:themeColor="accent4" w:themeShade="80"/>
          <w:sz w:val="24"/>
          <w:szCs w:val="24"/>
          <w:u w:val="single"/>
        </w:rPr>
        <w:t>Amount Consideration</w:t>
      </w:r>
      <w:r w:rsidR="00654899">
        <w:rPr>
          <w:rFonts w:ascii="Bauhaus 93" w:hAnsi="Bauhaus 93" w:cs="Narkisim"/>
          <w:color w:val="403152" w:themeColor="accent4" w:themeShade="80"/>
          <w:sz w:val="24"/>
          <w:szCs w:val="24"/>
          <w:u w:val="single"/>
        </w:rPr>
        <w:t>:-</w:t>
      </w:r>
    </w:p>
    <w:p w:rsidR="00A25F55" w:rsidRDefault="00A25F55" w:rsidP="00A9528E">
      <w:pPr>
        <w:pStyle w:val="ListParagraph"/>
        <w:ind w:left="-180"/>
        <w:jc w:val="both"/>
        <w:rPr>
          <w:rFonts w:ascii="Sylfaen" w:hAnsi="Sylfaen"/>
          <w:sz w:val="24"/>
          <w:szCs w:val="24"/>
        </w:rPr>
      </w:pPr>
      <w:r w:rsidRPr="00A25F55">
        <w:rPr>
          <w:rFonts w:ascii="Sylfaen" w:hAnsi="Sylfaen"/>
          <w:sz w:val="24"/>
          <w:szCs w:val="24"/>
        </w:rPr>
        <w:t>An Indian company receiving investment from outside India for issuing shares/convertible debentures/preference shares under the FDI Scheme, should report the details of the amount of consideration to the Regional Office concerned of the Reserve Bank not later than 30 days from the date of receipt in the Advance Reporting.</w:t>
      </w:r>
    </w:p>
    <w:p w:rsidR="00B1249A" w:rsidRDefault="00B1249A" w:rsidP="00467CE1">
      <w:pPr>
        <w:pStyle w:val="ListParagraph"/>
        <w:ind w:left="-180"/>
        <w:rPr>
          <w:rFonts w:ascii="Bauhaus 93" w:hAnsi="Bauhaus 93" w:cs="Narkisim"/>
          <w:color w:val="403152" w:themeColor="accent4" w:themeShade="80"/>
          <w:sz w:val="24"/>
          <w:szCs w:val="24"/>
          <w:u w:val="single"/>
        </w:rPr>
      </w:pPr>
    </w:p>
    <w:p w:rsidR="00467CE1" w:rsidRPr="00D7338B" w:rsidRDefault="00467CE1" w:rsidP="00467CE1">
      <w:pPr>
        <w:pStyle w:val="ListParagraph"/>
        <w:ind w:left="-180"/>
        <w:rPr>
          <w:rFonts w:ascii="Berlin Sans FB Demi" w:hAnsi="Berlin Sans FB Demi" w:cs="Narkisim"/>
          <w:color w:val="403152" w:themeColor="accent4" w:themeShade="80"/>
          <w:sz w:val="24"/>
          <w:szCs w:val="24"/>
          <w:u w:val="single"/>
        </w:rPr>
      </w:pPr>
      <w:r w:rsidRPr="00D7338B">
        <w:rPr>
          <w:rFonts w:ascii="Berlin Sans FB Demi" w:hAnsi="Berlin Sans FB Demi" w:cs="Narkisim"/>
          <w:color w:val="403152" w:themeColor="accent4" w:themeShade="80"/>
          <w:sz w:val="24"/>
          <w:szCs w:val="24"/>
          <w:u w:val="single"/>
        </w:rPr>
        <w:t>Reporting of Receipt of Money:-</w:t>
      </w:r>
    </w:p>
    <w:p w:rsidR="00B1249A" w:rsidRDefault="00B1249A" w:rsidP="00B1249A">
      <w:pPr>
        <w:pStyle w:val="ListParagraph"/>
        <w:ind w:left="-180"/>
        <w:jc w:val="both"/>
        <w:rPr>
          <w:rFonts w:ascii="Sylfaen" w:hAnsi="Sylfaen"/>
          <w:sz w:val="24"/>
          <w:szCs w:val="24"/>
        </w:rPr>
      </w:pPr>
      <w:r w:rsidRPr="00B1249A">
        <w:rPr>
          <w:rFonts w:ascii="Sylfaen" w:hAnsi="Sylfaen"/>
          <w:sz w:val="24"/>
          <w:szCs w:val="24"/>
        </w:rPr>
        <w:t xml:space="preserve">Indian companies are required to report the details of the receipt of the amount of consideration for issue of shares/convertible debentures, through an AD Category-I bank, together with a </w:t>
      </w:r>
    </w:p>
    <w:p w:rsidR="00B1249A" w:rsidRDefault="00B1249A" w:rsidP="00B1249A">
      <w:pPr>
        <w:pStyle w:val="ListParagraph"/>
        <w:numPr>
          <w:ilvl w:val="0"/>
          <w:numId w:val="1"/>
        </w:numPr>
        <w:jc w:val="both"/>
        <w:rPr>
          <w:rFonts w:ascii="Sylfaen" w:hAnsi="Sylfaen"/>
          <w:sz w:val="24"/>
          <w:szCs w:val="24"/>
        </w:rPr>
      </w:pPr>
      <w:r w:rsidRPr="00B1249A">
        <w:rPr>
          <w:rFonts w:ascii="Sylfaen" w:hAnsi="Sylfaen"/>
          <w:sz w:val="24"/>
          <w:szCs w:val="24"/>
        </w:rPr>
        <w:t>Copy/</w:t>
      </w:r>
      <w:proofErr w:type="spellStart"/>
      <w:r w:rsidRPr="00B1249A">
        <w:rPr>
          <w:rFonts w:ascii="Sylfaen" w:hAnsi="Sylfaen"/>
          <w:sz w:val="24"/>
          <w:szCs w:val="24"/>
        </w:rPr>
        <w:t>ies</w:t>
      </w:r>
      <w:proofErr w:type="spellEnd"/>
      <w:r w:rsidRPr="00B1249A">
        <w:rPr>
          <w:rFonts w:ascii="Sylfaen" w:hAnsi="Sylfaen"/>
          <w:sz w:val="24"/>
          <w:szCs w:val="24"/>
        </w:rPr>
        <w:t xml:space="preserve"> of the FIRC/s evidencing the receipt of the remittance along with </w:t>
      </w:r>
    </w:p>
    <w:p w:rsidR="0073610D" w:rsidRDefault="00B1249A" w:rsidP="0073610D">
      <w:pPr>
        <w:pStyle w:val="ListParagraph"/>
        <w:numPr>
          <w:ilvl w:val="0"/>
          <w:numId w:val="1"/>
        </w:numPr>
        <w:jc w:val="both"/>
        <w:rPr>
          <w:rFonts w:ascii="Sylfaen" w:hAnsi="Sylfaen"/>
          <w:sz w:val="24"/>
          <w:szCs w:val="24"/>
        </w:rPr>
      </w:pPr>
      <w:r w:rsidRPr="00B1249A">
        <w:rPr>
          <w:rFonts w:ascii="Sylfaen" w:hAnsi="Sylfaen"/>
          <w:sz w:val="24"/>
          <w:szCs w:val="24"/>
        </w:rPr>
        <w:lastRenderedPageBreak/>
        <w:t>The KYC report</w:t>
      </w:r>
      <w:r w:rsidR="0073610D">
        <w:rPr>
          <w:rFonts w:ascii="Sylfaen" w:hAnsi="Sylfaen"/>
          <w:sz w:val="24"/>
          <w:szCs w:val="24"/>
        </w:rPr>
        <w:t xml:space="preserve"> </w:t>
      </w:r>
      <w:r w:rsidR="0073610D" w:rsidRPr="0073610D">
        <w:rPr>
          <w:rFonts w:ascii="Sylfaen" w:hAnsi="Sylfaen"/>
          <w:sz w:val="24"/>
          <w:szCs w:val="24"/>
        </w:rPr>
        <w:t>on the non-resident investor from the overseas bank remitting the amount</w:t>
      </w:r>
      <w:r w:rsidR="0073610D">
        <w:rPr>
          <w:rFonts w:ascii="Sylfaen" w:hAnsi="Sylfaen"/>
          <w:sz w:val="24"/>
          <w:szCs w:val="24"/>
        </w:rPr>
        <w:t>.</w:t>
      </w:r>
    </w:p>
    <w:p w:rsidR="0073610D" w:rsidRPr="0073610D" w:rsidRDefault="0073610D" w:rsidP="0073610D">
      <w:pPr>
        <w:spacing w:after="0"/>
        <w:ind w:left="-180"/>
        <w:jc w:val="both"/>
        <w:rPr>
          <w:rFonts w:ascii="Sylfaen" w:hAnsi="Sylfaen"/>
          <w:sz w:val="24"/>
          <w:szCs w:val="24"/>
        </w:rPr>
      </w:pPr>
      <w:r w:rsidRPr="0073610D">
        <w:rPr>
          <w:rFonts w:ascii="Bauhaus 93" w:hAnsi="Bauhaus 93" w:cs="Narkisim"/>
          <w:color w:val="632423" w:themeColor="accent2" w:themeShade="80"/>
          <w:sz w:val="24"/>
          <w:szCs w:val="24"/>
          <w:u w:val="single"/>
        </w:rPr>
        <w:t>STEP-1I</w:t>
      </w:r>
    </w:p>
    <w:p w:rsidR="0073610D" w:rsidRPr="00D7338B" w:rsidRDefault="0073610D" w:rsidP="0073610D">
      <w:pPr>
        <w:pStyle w:val="ListParagraph"/>
        <w:ind w:left="-180"/>
        <w:rPr>
          <w:rFonts w:ascii="Berlin Sans FB Demi" w:hAnsi="Berlin Sans FB Demi" w:cs="Narkisim"/>
          <w:color w:val="403152" w:themeColor="accent4" w:themeShade="80"/>
          <w:sz w:val="24"/>
          <w:szCs w:val="24"/>
          <w:u w:val="single"/>
        </w:rPr>
      </w:pPr>
      <w:r w:rsidRPr="00D7338B">
        <w:rPr>
          <w:rFonts w:ascii="Berlin Sans FB Demi" w:hAnsi="Berlin Sans FB Demi" w:cs="Narkisim"/>
          <w:color w:val="403152" w:themeColor="accent4" w:themeShade="80"/>
          <w:sz w:val="24"/>
          <w:szCs w:val="24"/>
          <w:u w:val="single"/>
        </w:rPr>
        <w:t>Unique Identification Number-</w:t>
      </w:r>
    </w:p>
    <w:p w:rsidR="0073610D" w:rsidRDefault="0073610D" w:rsidP="0073610D">
      <w:pPr>
        <w:pStyle w:val="ListParagraph"/>
        <w:ind w:left="-180"/>
        <w:jc w:val="both"/>
        <w:rPr>
          <w:rFonts w:ascii="Sylfaen" w:hAnsi="Sylfaen"/>
          <w:sz w:val="24"/>
          <w:szCs w:val="24"/>
        </w:rPr>
      </w:pPr>
      <w:r w:rsidRPr="0073610D">
        <w:rPr>
          <w:rFonts w:ascii="Sylfaen" w:hAnsi="Sylfaen"/>
          <w:sz w:val="24"/>
          <w:szCs w:val="24"/>
        </w:rPr>
        <w:t>The report would be acknowledged by the Regional Office concerned, which will allot a Unique Identification Number (UIN) for the amount reported</w:t>
      </w:r>
      <w:r>
        <w:rPr>
          <w:rFonts w:ascii="Sylfaen" w:hAnsi="Sylfaen"/>
          <w:sz w:val="24"/>
          <w:szCs w:val="24"/>
        </w:rPr>
        <w:t>.</w:t>
      </w:r>
    </w:p>
    <w:p w:rsidR="00567647" w:rsidRPr="0073610D" w:rsidRDefault="00567647" w:rsidP="00567647">
      <w:pPr>
        <w:spacing w:after="0"/>
        <w:ind w:left="-180"/>
        <w:jc w:val="both"/>
        <w:rPr>
          <w:rFonts w:ascii="Sylfaen" w:hAnsi="Sylfaen"/>
          <w:sz w:val="24"/>
          <w:szCs w:val="24"/>
        </w:rPr>
      </w:pPr>
      <w:r w:rsidRPr="0073610D">
        <w:rPr>
          <w:rFonts w:ascii="Bauhaus 93" w:hAnsi="Bauhaus 93" w:cs="Narkisim"/>
          <w:color w:val="632423" w:themeColor="accent2" w:themeShade="80"/>
          <w:sz w:val="24"/>
          <w:szCs w:val="24"/>
          <w:u w:val="single"/>
        </w:rPr>
        <w:t>STEP-1I</w:t>
      </w:r>
      <w:r>
        <w:rPr>
          <w:rFonts w:ascii="Bauhaus 93" w:hAnsi="Bauhaus 93" w:cs="Narkisim"/>
          <w:color w:val="632423" w:themeColor="accent2" w:themeShade="80"/>
          <w:sz w:val="24"/>
          <w:szCs w:val="24"/>
          <w:u w:val="single"/>
        </w:rPr>
        <w:t>I</w:t>
      </w:r>
    </w:p>
    <w:p w:rsidR="00567647" w:rsidRPr="00D7338B" w:rsidRDefault="00567647" w:rsidP="00567647">
      <w:pPr>
        <w:pStyle w:val="ListParagraph"/>
        <w:ind w:left="-180"/>
        <w:rPr>
          <w:rFonts w:ascii="Berlin Sans FB Demi" w:hAnsi="Berlin Sans FB Demi" w:cs="Narkisim"/>
          <w:color w:val="403152" w:themeColor="accent4" w:themeShade="80"/>
          <w:sz w:val="24"/>
          <w:szCs w:val="24"/>
          <w:u w:val="single"/>
        </w:rPr>
      </w:pPr>
      <w:r w:rsidRPr="00D7338B">
        <w:rPr>
          <w:rFonts w:ascii="Berlin Sans FB Demi" w:hAnsi="Berlin Sans FB Demi" w:cs="Narkisim"/>
          <w:color w:val="403152" w:themeColor="accent4" w:themeShade="80"/>
          <w:sz w:val="24"/>
          <w:szCs w:val="24"/>
          <w:u w:val="single"/>
        </w:rPr>
        <w:t>Reporting of Issue of Shares-</w:t>
      </w:r>
    </w:p>
    <w:p w:rsidR="00567647" w:rsidRDefault="00C043CB" w:rsidP="00C043CB">
      <w:pPr>
        <w:pStyle w:val="ListParagraph"/>
        <w:ind w:left="-180"/>
        <w:jc w:val="both"/>
        <w:rPr>
          <w:rFonts w:ascii="Sylfaen" w:hAnsi="Sylfaen"/>
          <w:sz w:val="24"/>
          <w:szCs w:val="24"/>
        </w:rPr>
      </w:pPr>
      <w:r w:rsidRPr="00C043CB">
        <w:rPr>
          <w:rFonts w:ascii="Sylfaen" w:hAnsi="Sylfaen"/>
          <w:sz w:val="24"/>
          <w:szCs w:val="24"/>
        </w:rPr>
        <w:t>After issue of shares the Indian company has to file Form FC-GPR, not later than 30 days from the date of issue of shares.</w:t>
      </w:r>
    </w:p>
    <w:p w:rsidR="00EF17FA" w:rsidRDefault="00EF17FA" w:rsidP="00C043CB">
      <w:pPr>
        <w:pStyle w:val="ListParagraph"/>
        <w:ind w:left="-180"/>
        <w:jc w:val="both"/>
        <w:rPr>
          <w:rFonts w:ascii="Sylfaen" w:hAnsi="Sylfaen"/>
          <w:sz w:val="24"/>
          <w:szCs w:val="24"/>
        </w:rPr>
      </w:pPr>
    </w:p>
    <w:p w:rsidR="00D7338B" w:rsidRPr="00D7338B" w:rsidRDefault="00D7338B" w:rsidP="00EF17FA">
      <w:pPr>
        <w:pStyle w:val="ListParagraph"/>
        <w:numPr>
          <w:ilvl w:val="0"/>
          <w:numId w:val="4"/>
        </w:numPr>
        <w:ind w:left="180"/>
        <w:rPr>
          <w:rFonts w:ascii="Berlin Sans FB Demi" w:hAnsi="Berlin Sans FB Demi" w:cs="Narkisim"/>
          <w:color w:val="403152" w:themeColor="accent4" w:themeShade="80"/>
          <w:sz w:val="24"/>
          <w:szCs w:val="24"/>
          <w:u w:val="single"/>
        </w:rPr>
      </w:pPr>
      <w:r w:rsidRPr="00D7338B">
        <w:rPr>
          <w:rFonts w:ascii="Berlin Sans FB Demi" w:hAnsi="Berlin Sans FB Demi" w:cs="Narkisim"/>
          <w:color w:val="403152" w:themeColor="accent4" w:themeShade="80"/>
          <w:sz w:val="24"/>
          <w:szCs w:val="24"/>
          <w:u w:val="single"/>
        </w:rPr>
        <w:t>Condition of FCGPR:</w:t>
      </w:r>
    </w:p>
    <w:p w:rsidR="0073610D" w:rsidRDefault="00EF17FA" w:rsidP="00EF17FA">
      <w:pPr>
        <w:pStyle w:val="ListParagraph"/>
        <w:numPr>
          <w:ilvl w:val="0"/>
          <w:numId w:val="5"/>
        </w:numPr>
        <w:jc w:val="both"/>
        <w:rPr>
          <w:rFonts w:ascii="Sylfaen" w:hAnsi="Sylfaen"/>
          <w:sz w:val="24"/>
          <w:szCs w:val="24"/>
        </w:rPr>
      </w:pPr>
      <w:r w:rsidRPr="00EF17FA">
        <w:rPr>
          <w:rFonts w:ascii="Sylfaen" w:hAnsi="Sylfaen"/>
          <w:color w:val="632423" w:themeColor="accent2" w:themeShade="80"/>
          <w:sz w:val="24"/>
          <w:szCs w:val="24"/>
          <w:u w:val="single"/>
        </w:rPr>
        <w:t xml:space="preserve">Signing of FCGPR: </w:t>
      </w:r>
      <w:r w:rsidRPr="00EF17FA">
        <w:rPr>
          <w:rFonts w:ascii="Sylfaen" w:hAnsi="Sylfaen"/>
          <w:sz w:val="24"/>
          <w:szCs w:val="24"/>
        </w:rPr>
        <w:t>Form FC-GPR has to be duly filled up and signed by Managing Director/Director/Secretary of the Company and submitted to the Authorized Dealer of the company, who will forward it to the Reserve Bank.</w:t>
      </w:r>
    </w:p>
    <w:p w:rsidR="00EF17FA" w:rsidRPr="00EF17FA" w:rsidRDefault="00EF17FA" w:rsidP="00EF17FA">
      <w:pPr>
        <w:pStyle w:val="ListParagraph"/>
        <w:ind w:left="540"/>
        <w:jc w:val="both"/>
        <w:rPr>
          <w:rFonts w:ascii="Sylfaen" w:hAnsi="Sylfaen"/>
          <w:sz w:val="24"/>
          <w:szCs w:val="24"/>
        </w:rPr>
      </w:pPr>
    </w:p>
    <w:p w:rsidR="0073610D" w:rsidRDefault="00EF17FA" w:rsidP="00C72C4D">
      <w:pPr>
        <w:pStyle w:val="ListParagraph"/>
        <w:numPr>
          <w:ilvl w:val="0"/>
          <w:numId w:val="5"/>
        </w:numPr>
        <w:ind w:left="-180" w:firstLine="0"/>
        <w:jc w:val="both"/>
        <w:rPr>
          <w:rFonts w:ascii="Sylfaen" w:hAnsi="Sylfaen"/>
          <w:sz w:val="24"/>
          <w:szCs w:val="24"/>
        </w:rPr>
      </w:pPr>
      <w:r>
        <w:rPr>
          <w:rFonts w:ascii="Sylfaen" w:hAnsi="Sylfaen"/>
          <w:color w:val="632423" w:themeColor="accent2" w:themeShade="80"/>
          <w:sz w:val="24"/>
          <w:szCs w:val="24"/>
          <w:u w:val="single"/>
        </w:rPr>
        <w:t>Documents to be Submit</w:t>
      </w:r>
      <w:r w:rsidRPr="00EF17FA">
        <w:rPr>
          <w:rFonts w:ascii="Sylfaen" w:hAnsi="Sylfaen"/>
          <w:color w:val="632423" w:themeColor="accent2" w:themeShade="80"/>
          <w:sz w:val="24"/>
          <w:szCs w:val="24"/>
          <w:u w:val="single"/>
        </w:rPr>
        <w:t>:</w:t>
      </w:r>
      <w:r w:rsidRPr="00EF17FA">
        <w:t xml:space="preserve"> </w:t>
      </w:r>
      <w:r w:rsidRPr="00EF17FA">
        <w:rPr>
          <w:rFonts w:ascii="Sylfaen" w:hAnsi="Sylfaen"/>
          <w:sz w:val="24"/>
          <w:szCs w:val="24"/>
        </w:rPr>
        <w:t>The following documents have to be submitted along with the form:</w:t>
      </w:r>
    </w:p>
    <w:p w:rsidR="00A93E97" w:rsidRPr="00A93E97" w:rsidRDefault="00A93E97" w:rsidP="00A93E97">
      <w:pPr>
        <w:pStyle w:val="ListParagraph"/>
        <w:rPr>
          <w:rFonts w:ascii="Sylfaen" w:hAnsi="Sylfaen"/>
          <w:sz w:val="24"/>
          <w:szCs w:val="24"/>
        </w:rPr>
      </w:pPr>
    </w:p>
    <w:p w:rsidR="00EF17FA" w:rsidRDefault="005469FF" w:rsidP="00EF17FA">
      <w:pPr>
        <w:pStyle w:val="ListParagraph"/>
        <w:numPr>
          <w:ilvl w:val="0"/>
          <w:numId w:val="8"/>
        </w:numPr>
        <w:ind w:left="360"/>
        <w:jc w:val="both"/>
        <w:rPr>
          <w:rFonts w:ascii="Sylfaen" w:hAnsi="Sylfaen"/>
          <w:sz w:val="24"/>
          <w:szCs w:val="24"/>
        </w:rPr>
      </w:pPr>
      <w:r w:rsidRPr="005469FF">
        <w:rPr>
          <w:rFonts w:ascii="Berlin Sans FB Demi" w:hAnsi="Berlin Sans FB Demi"/>
          <w:b/>
          <w:color w:val="1D1B11" w:themeColor="background2" w:themeShade="1A"/>
          <w:sz w:val="24"/>
          <w:szCs w:val="24"/>
          <w:u w:val="single"/>
        </w:rPr>
        <w:t>Certificate from Company Secretary</w:t>
      </w:r>
      <w:r>
        <w:rPr>
          <w:rFonts w:ascii="Sylfaen" w:hAnsi="Sylfaen"/>
          <w:sz w:val="24"/>
          <w:szCs w:val="24"/>
        </w:rPr>
        <w:t xml:space="preserve">: </w:t>
      </w:r>
      <w:r>
        <w:rPr>
          <w:rStyle w:val="FootnoteReference"/>
          <w:rFonts w:ascii="Sylfaen" w:hAnsi="Sylfaen"/>
          <w:sz w:val="24"/>
          <w:szCs w:val="24"/>
        </w:rPr>
        <w:footnoteReference w:id="3"/>
      </w:r>
      <w:r w:rsidR="00EF17FA" w:rsidRPr="00EF17FA">
        <w:rPr>
          <w:rFonts w:ascii="Sylfaen" w:hAnsi="Sylfaen"/>
          <w:sz w:val="24"/>
          <w:szCs w:val="24"/>
        </w:rPr>
        <w:t>A certificate from the Company Secretary of the company certifying that:</w:t>
      </w:r>
    </w:p>
    <w:p w:rsidR="00EF17FA" w:rsidRDefault="00EF17FA" w:rsidP="00EF17FA">
      <w:pPr>
        <w:pStyle w:val="ListParagraph"/>
        <w:numPr>
          <w:ilvl w:val="0"/>
          <w:numId w:val="5"/>
        </w:numPr>
        <w:ind w:hanging="180"/>
        <w:jc w:val="both"/>
        <w:rPr>
          <w:rFonts w:ascii="Sylfaen" w:hAnsi="Sylfaen"/>
          <w:sz w:val="24"/>
          <w:szCs w:val="24"/>
        </w:rPr>
      </w:pPr>
      <w:r w:rsidRPr="00EF17FA">
        <w:rPr>
          <w:rFonts w:ascii="Sylfaen" w:hAnsi="Sylfaen"/>
          <w:sz w:val="24"/>
          <w:szCs w:val="24"/>
        </w:rPr>
        <w:t>All the requirements of the Companies Act, as applicable, have been complied with</w:t>
      </w:r>
    </w:p>
    <w:p w:rsidR="00EF17FA" w:rsidRDefault="00EF17FA" w:rsidP="00EF17FA">
      <w:pPr>
        <w:pStyle w:val="ListParagraph"/>
        <w:numPr>
          <w:ilvl w:val="0"/>
          <w:numId w:val="5"/>
        </w:numPr>
        <w:ind w:hanging="180"/>
        <w:jc w:val="both"/>
        <w:rPr>
          <w:rFonts w:ascii="Sylfaen" w:hAnsi="Sylfaen"/>
          <w:sz w:val="24"/>
          <w:szCs w:val="24"/>
        </w:rPr>
      </w:pPr>
      <w:r w:rsidRPr="00EF17FA">
        <w:rPr>
          <w:rFonts w:ascii="Sylfaen" w:hAnsi="Sylfaen"/>
          <w:sz w:val="24"/>
          <w:szCs w:val="24"/>
        </w:rPr>
        <w:t>Terms and conditions of the Government of India approval, if any, have been complied with</w:t>
      </w:r>
    </w:p>
    <w:p w:rsidR="00EF17FA" w:rsidRDefault="00EF17FA" w:rsidP="00EF17FA">
      <w:pPr>
        <w:pStyle w:val="ListParagraph"/>
        <w:numPr>
          <w:ilvl w:val="0"/>
          <w:numId w:val="5"/>
        </w:numPr>
        <w:ind w:hanging="180"/>
        <w:jc w:val="both"/>
        <w:rPr>
          <w:rFonts w:ascii="Sylfaen" w:hAnsi="Sylfaen"/>
          <w:sz w:val="24"/>
          <w:szCs w:val="24"/>
        </w:rPr>
      </w:pPr>
      <w:r w:rsidRPr="00EF17FA">
        <w:rPr>
          <w:rFonts w:ascii="Sylfaen" w:hAnsi="Sylfaen"/>
          <w:sz w:val="24"/>
          <w:szCs w:val="24"/>
        </w:rPr>
        <w:t>The company is eligible to issue shares under these Regulations; and</w:t>
      </w:r>
    </w:p>
    <w:p w:rsidR="00EF17FA" w:rsidRPr="00EF17FA" w:rsidRDefault="00EF17FA" w:rsidP="00EF17FA">
      <w:pPr>
        <w:pStyle w:val="ListParagraph"/>
        <w:numPr>
          <w:ilvl w:val="0"/>
          <w:numId w:val="5"/>
        </w:numPr>
        <w:ind w:hanging="180"/>
        <w:jc w:val="both"/>
        <w:rPr>
          <w:rFonts w:ascii="Sylfaen" w:hAnsi="Sylfaen"/>
          <w:sz w:val="24"/>
          <w:szCs w:val="24"/>
        </w:rPr>
      </w:pPr>
      <w:r w:rsidRPr="00EF17FA">
        <w:rPr>
          <w:rFonts w:ascii="Sylfaen" w:hAnsi="Sylfaen"/>
          <w:sz w:val="24"/>
          <w:szCs w:val="24"/>
        </w:rPr>
        <w:t>The company has all original certificates issued by authorized dealers in India evidencing receipt of amount of consideration</w:t>
      </w:r>
    </w:p>
    <w:p w:rsidR="00EF17FA" w:rsidRDefault="00EF17FA" w:rsidP="00EF17FA">
      <w:pPr>
        <w:pStyle w:val="ListParagraph"/>
        <w:ind w:left="540"/>
        <w:jc w:val="both"/>
        <w:rPr>
          <w:rFonts w:ascii="Sylfaen" w:hAnsi="Sylfaen"/>
          <w:sz w:val="24"/>
          <w:szCs w:val="24"/>
        </w:rPr>
      </w:pPr>
    </w:p>
    <w:p w:rsidR="00C72C4D" w:rsidRDefault="00C72C4D" w:rsidP="00EF17FA">
      <w:pPr>
        <w:pStyle w:val="ListParagraph"/>
        <w:ind w:left="540"/>
        <w:jc w:val="both"/>
        <w:rPr>
          <w:rFonts w:ascii="Sylfaen" w:hAnsi="Sylfaen"/>
          <w:sz w:val="24"/>
          <w:szCs w:val="24"/>
        </w:rPr>
      </w:pPr>
    </w:p>
    <w:p w:rsidR="00C72C4D" w:rsidRDefault="00C72C4D" w:rsidP="00EF17FA">
      <w:pPr>
        <w:pStyle w:val="ListParagraph"/>
        <w:ind w:left="540"/>
        <w:jc w:val="both"/>
        <w:rPr>
          <w:rFonts w:ascii="Sylfaen" w:hAnsi="Sylfaen"/>
          <w:sz w:val="24"/>
          <w:szCs w:val="24"/>
        </w:rPr>
      </w:pPr>
    </w:p>
    <w:p w:rsidR="00C72C4D" w:rsidRDefault="00C72C4D" w:rsidP="00EF17FA">
      <w:pPr>
        <w:pStyle w:val="ListParagraph"/>
        <w:ind w:left="540"/>
        <w:jc w:val="both"/>
        <w:rPr>
          <w:rFonts w:ascii="Sylfaen" w:hAnsi="Sylfaen"/>
          <w:sz w:val="24"/>
          <w:szCs w:val="24"/>
        </w:rPr>
      </w:pPr>
    </w:p>
    <w:p w:rsidR="00C72C4D" w:rsidRPr="0073610D" w:rsidRDefault="00C72C4D" w:rsidP="00EF17FA">
      <w:pPr>
        <w:pStyle w:val="ListParagraph"/>
        <w:ind w:left="540"/>
        <w:jc w:val="both"/>
        <w:rPr>
          <w:rFonts w:ascii="Sylfaen" w:hAnsi="Sylfaen"/>
          <w:sz w:val="24"/>
          <w:szCs w:val="24"/>
        </w:rPr>
      </w:pPr>
    </w:p>
    <w:p w:rsidR="00EF17FA" w:rsidRPr="005469FF" w:rsidRDefault="005469FF" w:rsidP="00EF17FA">
      <w:pPr>
        <w:pStyle w:val="ListParagraph"/>
        <w:numPr>
          <w:ilvl w:val="0"/>
          <w:numId w:val="8"/>
        </w:numPr>
        <w:ind w:left="360"/>
        <w:jc w:val="both"/>
        <w:rPr>
          <w:rFonts w:ascii="Berlin Sans FB Demi" w:hAnsi="Berlin Sans FB Demi"/>
          <w:b/>
          <w:color w:val="1D1B11" w:themeColor="background2" w:themeShade="1A"/>
          <w:sz w:val="24"/>
          <w:szCs w:val="24"/>
          <w:u w:val="single"/>
        </w:rPr>
      </w:pPr>
      <w:r w:rsidRPr="005469FF">
        <w:rPr>
          <w:rFonts w:ascii="Berlin Sans FB Demi" w:hAnsi="Berlin Sans FB Demi"/>
          <w:b/>
          <w:color w:val="1D1B11" w:themeColor="background2" w:themeShade="1A"/>
          <w:sz w:val="24"/>
          <w:szCs w:val="24"/>
          <w:u w:val="single"/>
        </w:rPr>
        <w:t>Valuation Certificate</w:t>
      </w:r>
      <w:r w:rsidR="00EF17FA" w:rsidRPr="005469FF">
        <w:rPr>
          <w:rFonts w:ascii="Berlin Sans FB Demi" w:hAnsi="Berlin Sans FB Demi"/>
          <w:b/>
          <w:color w:val="1D1B11" w:themeColor="background2" w:themeShade="1A"/>
          <w:sz w:val="24"/>
          <w:szCs w:val="24"/>
          <w:u w:val="single"/>
        </w:rPr>
        <w:t>:</w:t>
      </w:r>
    </w:p>
    <w:p w:rsidR="005469FF" w:rsidRDefault="005469FF" w:rsidP="005469FF">
      <w:pPr>
        <w:pStyle w:val="ListParagraph"/>
        <w:ind w:left="360"/>
        <w:jc w:val="both"/>
        <w:rPr>
          <w:rFonts w:ascii="Sylfaen" w:hAnsi="Sylfaen"/>
          <w:sz w:val="24"/>
          <w:szCs w:val="24"/>
        </w:rPr>
      </w:pPr>
      <w:r w:rsidRPr="005469FF">
        <w:rPr>
          <w:rFonts w:ascii="Sylfaen" w:hAnsi="Sylfaen"/>
          <w:sz w:val="24"/>
          <w:szCs w:val="24"/>
        </w:rPr>
        <w:t>A certificate from SEBI registered Merchant Banker or Chartered Accountant indicating the manner of arriving at the price of the shares is</w:t>
      </w:r>
      <w:r>
        <w:rPr>
          <w:rFonts w:ascii="Sylfaen" w:hAnsi="Sylfaen"/>
          <w:sz w:val="24"/>
          <w:szCs w:val="24"/>
        </w:rPr>
        <w:t xml:space="preserve"> </w:t>
      </w:r>
      <w:proofErr w:type="spellStart"/>
      <w:r w:rsidRPr="005469FF">
        <w:rPr>
          <w:rFonts w:ascii="Sylfaen" w:hAnsi="Sylfaen"/>
          <w:sz w:val="24"/>
          <w:szCs w:val="24"/>
        </w:rPr>
        <w:t>Indiad</w:t>
      </w:r>
      <w:proofErr w:type="spellEnd"/>
      <w:r w:rsidRPr="005469FF">
        <w:rPr>
          <w:rFonts w:ascii="Sylfaen" w:hAnsi="Sylfaen"/>
          <w:sz w:val="24"/>
          <w:szCs w:val="24"/>
        </w:rPr>
        <w:t xml:space="preserve"> to the </w:t>
      </w:r>
      <w:proofErr w:type="gramStart"/>
      <w:r w:rsidRPr="005469FF">
        <w:rPr>
          <w:rFonts w:ascii="Sylfaen" w:hAnsi="Sylfaen"/>
          <w:sz w:val="24"/>
          <w:szCs w:val="24"/>
        </w:rPr>
        <w:t>persons</w:t>
      </w:r>
      <w:proofErr w:type="gramEnd"/>
      <w:r w:rsidRPr="005469FF">
        <w:rPr>
          <w:rFonts w:ascii="Sylfaen" w:hAnsi="Sylfaen"/>
          <w:sz w:val="24"/>
          <w:szCs w:val="24"/>
        </w:rPr>
        <w:t xml:space="preserve"> resident outside India.</w:t>
      </w:r>
    </w:p>
    <w:p w:rsidR="00B1249A" w:rsidRDefault="00B1249A" w:rsidP="005469FF">
      <w:pPr>
        <w:pStyle w:val="ListParagraph"/>
        <w:ind w:left="360"/>
        <w:jc w:val="both"/>
        <w:rPr>
          <w:rFonts w:ascii="Sylfaen" w:hAnsi="Sylfaen"/>
          <w:sz w:val="24"/>
          <w:szCs w:val="24"/>
        </w:rPr>
      </w:pPr>
    </w:p>
    <w:p w:rsidR="005469FF" w:rsidRPr="005469FF" w:rsidRDefault="005469FF" w:rsidP="005469FF">
      <w:pPr>
        <w:pStyle w:val="ListParagraph"/>
        <w:numPr>
          <w:ilvl w:val="0"/>
          <w:numId w:val="8"/>
        </w:numPr>
        <w:ind w:left="360"/>
        <w:jc w:val="both"/>
        <w:rPr>
          <w:rFonts w:ascii="Sylfaen" w:hAnsi="Sylfaen"/>
          <w:b/>
          <w:sz w:val="24"/>
          <w:szCs w:val="24"/>
        </w:rPr>
      </w:pPr>
      <w:r w:rsidRPr="005469FF">
        <w:rPr>
          <w:rFonts w:ascii="Berlin Sans FB Demi" w:hAnsi="Berlin Sans FB Demi"/>
          <w:b/>
          <w:color w:val="1D1B11" w:themeColor="background2" w:themeShade="1A"/>
          <w:sz w:val="24"/>
          <w:szCs w:val="24"/>
          <w:u w:val="single"/>
        </w:rPr>
        <w:t>Proof of receipt of Consideration:</w:t>
      </w:r>
      <w:r>
        <w:rPr>
          <w:rFonts w:ascii="Sylfaen" w:hAnsi="Sylfaen"/>
          <w:sz w:val="24"/>
          <w:szCs w:val="24"/>
        </w:rPr>
        <w:t xml:space="preserve"> </w:t>
      </w:r>
      <w:r w:rsidRPr="005469FF">
        <w:rPr>
          <w:rFonts w:ascii="Sylfaen" w:hAnsi="Sylfaen"/>
          <w:sz w:val="24"/>
          <w:szCs w:val="24"/>
        </w:rPr>
        <w:t>The report of receipt of consideration</w:t>
      </w:r>
      <w:r>
        <w:rPr>
          <w:rFonts w:ascii="Sylfaen" w:hAnsi="Sylfaen"/>
          <w:sz w:val="24"/>
          <w:szCs w:val="24"/>
        </w:rPr>
        <w:t>.</w:t>
      </w:r>
    </w:p>
    <w:p w:rsidR="005469FF" w:rsidRDefault="005469FF" w:rsidP="005469FF">
      <w:pPr>
        <w:pStyle w:val="ListParagraph"/>
        <w:ind w:left="360"/>
        <w:jc w:val="both"/>
        <w:rPr>
          <w:rFonts w:ascii="Sylfaen" w:hAnsi="Sylfaen"/>
          <w:sz w:val="24"/>
          <w:szCs w:val="24"/>
        </w:rPr>
      </w:pPr>
    </w:p>
    <w:p w:rsidR="005469FF" w:rsidRDefault="00A93E97" w:rsidP="005469FF">
      <w:pPr>
        <w:pStyle w:val="ListParagraph"/>
        <w:numPr>
          <w:ilvl w:val="0"/>
          <w:numId w:val="8"/>
        </w:numPr>
        <w:ind w:left="360"/>
        <w:jc w:val="both"/>
        <w:rPr>
          <w:rFonts w:ascii="Sylfaen" w:hAnsi="Sylfaen"/>
          <w:sz w:val="24"/>
          <w:szCs w:val="24"/>
        </w:rPr>
      </w:pPr>
      <w:r>
        <w:rPr>
          <w:rStyle w:val="FootnoteReference"/>
          <w:rFonts w:ascii="Berlin Sans FB Demi" w:hAnsi="Berlin Sans FB Demi"/>
          <w:b/>
          <w:color w:val="1D1B11" w:themeColor="background2" w:themeShade="1A"/>
          <w:sz w:val="24"/>
          <w:szCs w:val="24"/>
          <w:u w:val="single"/>
        </w:rPr>
        <w:footnoteReference w:id="4"/>
      </w:r>
      <w:r w:rsidR="005469FF" w:rsidRPr="005469FF">
        <w:rPr>
          <w:rFonts w:ascii="Berlin Sans FB Demi" w:hAnsi="Berlin Sans FB Demi"/>
          <w:b/>
          <w:color w:val="1D1B11" w:themeColor="background2" w:themeShade="1A"/>
          <w:sz w:val="24"/>
          <w:szCs w:val="24"/>
          <w:u w:val="single"/>
        </w:rPr>
        <w:t>Submission of Form:</w:t>
      </w:r>
      <w:r w:rsidR="005469FF">
        <w:rPr>
          <w:rFonts w:ascii="Sylfaen" w:hAnsi="Sylfaen"/>
          <w:sz w:val="24"/>
          <w:szCs w:val="24"/>
        </w:rPr>
        <w:t xml:space="preserve"> </w:t>
      </w:r>
      <w:r w:rsidR="005469FF" w:rsidRPr="005469FF">
        <w:rPr>
          <w:rFonts w:ascii="Sylfaen" w:hAnsi="Sylfaen"/>
          <w:sz w:val="24"/>
          <w:szCs w:val="24"/>
        </w:rPr>
        <w:t>Form FC-GPR have to be submitted by the AD Category-I bank to the Regional Office concerned of the Reserve Bank under whose jurisdiction the registered office of the company is situated</w:t>
      </w:r>
      <w:r w:rsidR="00D572BA">
        <w:rPr>
          <w:rFonts w:ascii="Sylfaen" w:hAnsi="Sylfaen"/>
          <w:sz w:val="24"/>
          <w:szCs w:val="24"/>
        </w:rPr>
        <w:t>.</w:t>
      </w:r>
    </w:p>
    <w:p w:rsidR="008D6ED7" w:rsidRPr="008D6ED7" w:rsidRDefault="008D6ED7" w:rsidP="008D6ED7">
      <w:pPr>
        <w:pStyle w:val="ListParagraph"/>
        <w:rPr>
          <w:rFonts w:ascii="Sylfaen" w:hAnsi="Sylfaen"/>
          <w:sz w:val="24"/>
          <w:szCs w:val="24"/>
        </w:rPr>
      </w:pPr>
    </w:p>
    <w:p w:rsidR="00FF18AE" w:rsidRDefault="008D6ED7" w:rsidP="00FF18AE">
      <w:pPr>
        <w:pStyle w:val="ListParagraph"/>
        <w:numPr>
          <w:ilvl w:val="0"/>
          <w:numId w:val="2"/>
        </w:numPr>
        <w:ind w:left="-180"/>
        <w:rPr>
          <w:rFonts w:ascii="Copperplate Gothic Bold" w:hAnsi="Copperplate Gothic Bold"/>
          <w:color w:val="002060"/>
          <w:u w:val="single"/>
        </w:rPr>
      </w:pPr>
      <w:r w:rsidRPr="008D6ED7">
        <w:rPr>
          <w:rFonts w:ascii="Copperplate Gothic Bold" w:hAnsi="Copperplate Gothic Bold"/>
          <w:color w:val="002060"/>
          <w:u w:val="single"/>
        </w:rPr>
        <w:t>Annual return on Foreign Liabilities and Assets</w:t>
      </w:r>
      <w:r>
        <w:rPr>
          <w:rFonts w:ascii="Copperplate Gothic Bold" w:hAnsi="Copperplate Gothic Bold"/>
          <w:color w:val="002060"/>
          <w:u w:val="single"/>
        </w:rPr>
        <w:t>:</w:t>
      </w:r>
    </w:p>
    <w:p w:rsidR="008D6ED7" w:rsidRDefault="00FF18AE" w:rsidP="00FF18AE">
      <w:pPr>
        <w:pStyle w:val="ListParagraph"/>
        <w:numPr>
          <w:ilvl w:val="0"/>
          <w:numId w:val="10"/>
        </w:numPr>
        <w:ind w:left="180" w:hanging="180"/>
        <w:jc w:val="both"/>
        <w:rPr>
          <w:rFonts w:ascii="Sylfaen" w:hAnsi="Sylfaen"/>
          <w:sz w:val="24"/>
          <w:szCs w:val="24"/>
        </w:rPr>
      </w:pPr>
      <w:r w:rsidRPr="00FF18AE">
        <w:rPr>
          <w:rFonts w:ascii="Sylfaen" w:hAnsi="Sylfaen"/>
          <w:sz w:val="24"/>
          <w:szCs w:val="24"/>
        </w:rPr>
        <w:t>Annual return on Foreign Liabilities and Assets should be filed on an annual basis by the Indian company, directly with the Reserve Bank.</w:t>
      </w:r>
    </w:p>
    <w:p w:rsidR="00FF18AE" w:rsidRDefault="00FF18AE" w:rsidP="00FF18AE">
      <w:pPr>
        <w:pStyle w:val="ListParagraph"/>
        <w:numPr>
          <w:ilvl w:val="0"/>
          <w:numId w:val="10"/>
        </w:numPr>
        <w:ind w:left="180" w:hanging="180"/>
        <w:jc w:val="both"/>
        <w:rPr>
          <w:rFonts w:ascii="Sylfaen" w:hAnsi="Sylfaen"/>
          <w:sz w:val="24"/>
          <w:szCs w:val="24"/>
        </w:rPr>
      </w:pPr>
      <w:r w:rsidRPr="00FF18AE">
        <w:rPr>
          <w:rFonts w:ascii="Sylfaen" w:hAnsi="Sylfaen"/>
          <w:sz w:val="24"/>
          <w:szCs w:val="24"/>
        </w:rPr>
        <w:t xml:space="preserve">This is an annual return to be submitted by 15th of July every </w:t>
      </w:r>
      <w:proofErr w:type="gramStart"/>
      <w:r w:rsidRPr="00FF18AE">
        <w:rPr>
          <w:rFonts w:ascii="Sylfaen" w:hAnsi="Sylfaen"/>
          <w:sz w:val="24"/>
          <w:szCs w:val="24"/>
        </w:rPr>
        <w:t>year,</w:t>
      </w:r>
      <w:proofErr w:type="gramEnd"/>
      <w:r w:rsidRPr="00FF18AE">
        <w:rPr>
          <w:rFonts w:ascii="Sylfaen" w:hAnsi="Sylfaen"/>
          <w:sz w:val="24"/>
          <w:szCs w:val="24"/>
        </w:rPr>
        <w:t xml:space="preserve"> pertaining to all investments by way of direct/portfolio investments/reinvested earnings/other capital in the Indian company made during the previous years (i.e. the information submitted by 15th July will pertain to all the investments made in the previous </w:t>
      </w:r>
      <w:proofErr w:type="spellStart"/>
      <w:r w:rsidRPr="00FF18AE">
        <w:rPr>
          <w:rFonts w:ascii="Sylfaen" w:hAnsi="Sylfaen"/>
          <w:sz w:val="24"/>
          <w:szCs w:val="24"/>
        </w:rPr>
        <w:t>years</w:t>
      </w:r>
      <w:proofErr w:type="spellEnd"/>
      <w:r w:rsidRPr="00FF18AE">
        <w:rPr>
          <w:rFonts w:ascii="Sylfaen" w:hAnsi="Sylfaen"/>
          <w:sz w:val="24"/>
          <w:szCs w:val="24"/>
        </w:rPr>
        <w:t xml:space="preserve"> up to March 31)</w:t>
      </w:r>
      <w:r>
        <w:rPr>
          <w:rFonts w:ascii="Sylfaen" w:hAnsi="Sylfaen"/>
          <w:sz w:val="24"/>
          <w:szCs w:val="24"/>
        </w:rPr>
        <w:t>.</w:t>
      </w:r>
    </w:p>
    <w:p w:rsidR="00FF18AE" w:rsidRDefault="00FF18AE" w:rsidP="00FF18AE">
      <w:pPr>
        <w:pStyle w:val="ListParagraph"/>
        <w:numPr>
          <w:ilvl w:val="0"/>
          <w:numId w:val="10"/>
        </w:numPr>
        <w:ind w:left="180" w:hanging="180"/>
        <w:jc w:val="both"/>
        <w:rPr>
          <w:rFonts w:ascii="Sylfaen" w:hAnsi="Sylfaen"/>
          <w:sz w:val="24"/>
          <w:szCs w:val="24"/>
        </w:rPr>
      </w:pPr>
      <w:r w:rsidRPr="00FF18AE">
        <w:rPr>
          <w:rFonts w:ascii="Sylfaen" w:hAnsi="Sylfaen"/>
          <w:sz w:val="24"/>
          <w:szCs w:val="24"/>
        </w:rPr>
        <w:t>The details of the investments to be reported would include all foreign investments made into the company which is outstanding as on the balance sheet date</w:t>
      </w:r>
      <w:r>
        <w:rPr>
          <w:rFonts w:ascii="Sylfaen" w:hAnsi="Sylfaen"/>
          <w:sz w:val="24"/>
          <w:szCs w:val="24"/>
        </w:rPr>
        <w:t>.</w:t>
      </w:r>
    </w:p>
    <w:p w:rsidR="00FF18AE" w:rsidRPr="00FF18AE" w:rsidRDefault="00FF18AE" w:rsidP="00FF18AE">
      <w:pPr>
        <w:pStyle w:val="ListParagraph"/>
        <w:numPr>
          <w:ilvl w:val="0"/>
          <w:numId w:val="10"/>
        </w:numPr>
        <w:ind w:left="180" w:hanging="180"/>
        <w:jc w:val="both"/>
        <w:rPr>
          <w:rFonts w:ascii="Sylfaen" w:hAnsi="Sylfaen"/>
          <w:sz w:val="24"/>
          <w:szCs w:val="24"/>
        </w:rPr>
      </w:pPr>
      <w:r>
        <w:t>The details of overseas investments in the company both under direct/</w:t>
      </w:r>
      <w:proofErr w:type="spellStart"/>
      <w:r>
        <w:t>portfIndiao</w:t>
      </w:r>
      <w:proofErr w:type="spellEnd"/>
      <w:r>
        <w:t xml:space="preserve"> investment may be separately indicated</w:t>
      </w:r>
    </w:p>
    <w:p w:rsidR="00654899" w:rsidRPr="00B1249A" w:rsidRDefault="00C72C4D" w:rsidP="005469FF">
      <w:pPr>
        <w:pStyle w:val="ListParagraph"/>
        <w:ind w:left="360"/>
        <w:jc w:val="both"/>
        <w:rPr>
          <w:rFonts w:ascii="Sylfaen" w:hAnsi="Sylfaen"/>
          <w:sz w:val="24"/>
          <w:szCs w:val="24"/>
        </w:rPr>
      </w:pPr>
      <w:r>
        <w:rPr>
          <w:rFonts w:ascii="Copperplate Gothic Bold" w:hAnsi="Copperplate Gothic Bold"/>
          <w:noProof/>
          <w:color w:val="002060"/>
          <w:u w:val="single"/>
        </w:rPr>
        <w:pict>
          <v:rect id="AutoShape 9" o:spid="_x0000_s1027" style="position:absolute;left:0;text-align:left;margin-left:-36pt;margin-top:10.35pt;width:530.25pt;height:162pt;z-index:251659264;visibility:visible;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" fillcolor="white [3201]" strokecolor="#8064a2 [3207]" strokeweight="2.5pt">
            <v:shadow color="#868686"/>
            <v:textbox style="mso-next-textbox:#AutoShape 9">
              <w:txbxContent>
                <w:p w:rsidR="00C72C4D" w:rsidRDefault="00C72C4D" w:rsidP="00C72C4D">
                  <w:pPr>
                    <w:tabs>
                      <w:tab w:val="left" w:pos="540"/>
                    </w:tabs>
                    <w:jc w:val="both"/>
                    <w:rPr>
                      <w:rFonts w:ascii="Andalus" w:hAnsi="Andalus" w:cs="Andalus"/>
                      <w:sz w:val="26"/>
                      <w:szCs w:val="26"/>
                    </w:rPr>
                  </w:pPr>
                  <w:r w:rsidRPr="00231E57">
                    <w:rPr>
                      <w:rFonts w:ascii="Andalus" w:hAnsi="Andalus" w:cs="Andalus"/>
                      <w:sz w:val="26"/>
                      <w:szCs w:val="26"/>
                    </w:rPr>
                    <w:t xml:space="preserve">(Author – CS Divesh Goyal, GOYAL DIVESH &amp; ASSOCIATES Company Secretary in Practice from Delhi and can be contacted at csdiveshgoyal@gmail.com) </w:t>
                  </w:r>
                </w:p>
                <w:p w:rsidR="00C72C4D" w:rsidRPr="00AB1B08" w:rsidRDefault="00C72C4D" w:rsidP="00C72C4D">
                  <w:pPr>
                    <w:tabs>
                      <w:tab w:val="left" w:pos="540"/>
                    </w:tabs>
                    <w:jc w:val="both"/>
                    <w:rPr>
                      <w:rFonts w:ascii="Sylfaen" w:hAnsi="Sylfaen" w:cs="Calibri"/>
                      <w:sz w:val="24"/>
                      <w:szCs w:val="24"/>
                    </w:rPr>
                  </w:pPr>
                  <w:r w:rsidRPr="00231E57">
                    <w:rPr>
                      <w:rFonts w:ascii="Andalus" w:hAnsi="Andalus" w:cs="Andalus"/>
                      <w:sz w:val="26"/>
                      <w:szCs w:val="26"/>
                    </w:rPr>
                    <w:t>Disclaimer: The entire contents of this document have been prepared on the basis of relevant provisions and as per the information existing at the time of the preparation. The observations of the author</w:t>
                  </w:r>
                  <w:r w:rsidRPr="00AB1B08">
                    <w:rPr>
                      <w:rFonts w:ascii="Sylfaen" w:hAnsi="Sylfaen" w:cs="Calibri"/>
                      <w:sz w:val="24"/>
                      <w:szCs w:val="24"/>
                    </w:rPr>
                    <w:t xml:space="preserve"> are personal view and the authors do not take responsibility of the same and this cannot be quoted before any authority without the written</w:t>
                  </w:r>
                  <w:r>
                    <w:rPr>
                      <w:rFonts w:ascii="Sylfaen" w:hAnsi="Sylfaen" w:cs="Calibri"/>
                      <w:sz w:val="24"/>
                      <w:szCs w:val="24"/>
                    </w:rPr>
                    <w:t>.</w:t>
                  </w:r>
                </w:p>
                <w:p w:rsidR="00C72C4D" w:rsidRDefault="00C72C4D" w:rsidP="00C72C4D">
                  <w:pPr>
                    <w:tabs>
                      <w:tab w:val="left" w:pos="540"/>
                    </w:tabs>
                  </w:pPr>
                </w:p>
              </w:txbxContent>
            </v:textbox>
          </v:rect>
        </w:pict>
      </w:r>
    </w:p>
    <w:p w:rsidR="00654899" w:rsidRPr="00654899" w:rsidRDefault="00654899" w:rsidP="00654899">
      <w:pPr>
        <w:pStyle w:val="ListParagraph"/>
        <w:ind w:left="-180"/>
        <w:rPr>
          <w:rFonts w:ascii="Bauhaus 93" w:hAnsi="Bauhaus 93"/>
          <w:color w:val="002060"/>
          <w:u w:val="single"/>
        </w:rPr>
      </w:pPr>
    </w:p>
    <w:p w:rsidR="00E66EEB" w:rsidRPr="00E66EEB" w:rsidRDefault="00E66EEB" w:rsidP="00E66EEB">
      <w:pPr>
        <w:pStyle w:val="ListParagraph"/>
        <w:ind w:left="-180"/>
        <w:rPr>
          <w:rFonts w:ascii="Copperplate Gothic Bold" w:hAnsi="Copperplate Gothic Bold"/>
          <w:color w:val="002060"/>
          <w:u w:val="single"/>
        </w:rPr>
      </w:pPr>
    </w:p>
    <w:sectPr w:rsidR="00E66EEB" w:rsidRPr="00E66EEB" w:rsidSect="00E66EEB">
      <w:headerReference w:type="default" r:id="rId7"/>
      <w:footerReference w:type="default" r:id="rId8"/>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610D" w:rsidRDefault="0073610D" w:rsidP="0073610D">
      <w:pPr>
        <w:spacing w:after="0" w:line="240" w:lineRule="auto"/>
      </w:pPr>
      <w:r>
        <w:separator/>
      </w:r>
    </w:p>
  </w:endnote>
  <w:endnote w:type="continuationSeparator" w:id="1">
    <w:p w:rsidR="0073610D" w:rsidRDefault="0073610D" w:rsidP="007361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Hobo Std">
    <w:altName w:val="Times New Roman"/>
    <w:panose1 w:val="00000000000000000000"/>
    <w:charset w:val="00"/>
    <w:family w:val="roman"/>
    <w:notTrueType/>
    <w:pitch w:val="default"/>
    <w:sig w:usb0="00000000" w:usb1="00000000" w:usb2="00000000" w:usb3="00000000" w:csb0="00000000" w:csb1="00000000"/>
  </w:font>
  <w:font w:name="High Tower Text">
    <w:panose1 w:val="02040502050506030303"/>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Narkisim">
    <w:panose1 w:val="020E0502050101010101"/>
    <w:charset w:val="B1"/>
    <w:family w:val="swiss"/>
    <w:pitch w:val="variable"/>
    <w:sig w:usb0="00000801" w:usb1="00000000" w:usb2="00000000" w:usb3="00000000" w:csb0="00000020" w:csb1="00000000"/>
  </w:font>
  <w:font w:name="Bodoni MT Black">
    <w:panose1 w:val="02070A03080606020203"/>
    <w:charset w:val="00"/>
    <w:family w:val="roman"/>
    <w:pitch w:val="variable"/>
    <w:sig w:usb0="00000003" w:usb1="00000000" w:usb2="00000000" w:usb3="00000000" w:csb0="00000001" w:csb1="00000000"/>
  </w:font>
  <w:font w:name="Bauhaus 93">
    <w:panose1 w:val="04030905020B02020C02"/>
    <w:charset w:val="00"/>
    <w:family w:val="decorativ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333114"/>
      <w:docPartObj>
        <w:docPartGallery w:val="Page Numbers (Bottom of Page)"/>
        <w:docPartUnique/>
      </w:docPartObj>
    </w:sdtPr>
    <w:sdtContent>
      <w:p w:rsidR="00C72C4D" w:rsidRDefault="00C72C4D" w:rsidP="00C72C4D">
        <w:pPr>
          <w:pStyle w:val="Footer"/>
          <w:pBdr>
            <w:top w:val="single" w:sz="4" w:space="1" w:color="auto"/>
          </w:pBdr>
          <w:tabs>
            <w:tab w:val="clear" w:pos="4680"/>
          </w:tabs>
          <w:ind w:right="-864"/>
          <w:rPr>
            <w:sz w:val="16"/>
            <w:szCs w:val="16"/>
          </w:rPr>
        </w:pPr>
        <w:r w:rsidRPr="00D27BEA">
          <w:rPr>
            <w:noProof/>
            <w:lang w:eastAsia="zh-TW"/>
          </w:rPr>
          <w:pict>
            <v:group id="_x0000_s2049" style="position:absolute;margin-left:-509.05pt;margin-top:5.3pt;width:28.2pt;height:27pt;z-index:251660288;mso-position-horizontal-relative:right-margin-area;mso-position-vertical-relative:bottom-margin-area" coordorigin="10104,14464" coordsize="720,548">
              <v:rect id="_x0000_s2050" style="position:absolute;left:10190;top:14378;width:548;height:720;rotation:-6319877fd" fillcolor="white [3212]" strokecolor="#737373 [1789]"/>
              <v:rect id="_x0000_s2051" style="position:absolute;left:10190;top:14378;width:548;height:720;rotation:-5392141fd" fillcolor="white [3212]" strokecolor="#737373 [1789]"/>
              <v:rect id="_x0000_s2052" style="position:absolute;left:10190;top:14378;width:548;height:720;rotation:270" fillcolor="white [3212]" strokecolor="#737373 [1789]">
                <v:textbox style="mso-next-textbox:#_x0000_s2052">
                  <w:txbxContent>
                    <w:p w:rsidR="00C72C4D" w:rsidRDefault="00C72C4D" w:rsidP="00C72C4D">
                      <w:pPr>
                        <w:pStyle w:val="Footer"/>
                        <w:jc w:val="center"/>
                      </w:pPr>
                      <w:fldSimple w:instr=" PAGE    \* MERGEFORMAT ">
                        <w:r>
                          <w:rPr>
                            <w:noProof/>
                          </w:rPr>
                          <w:t>4</w:t>
                        </w:r>
                      </w:fldSimple>
                    </w:p>
                  </w:txbxContent>
                </v:textbox>
              </v:rect>
              <w10:wrap anchorx="page" anchory="page"/>
            </v:group>
          </w:pict>
        </w:r>
        <w:r w:rsidRPr="00931153">
          <w:rPr>
            <w:sz w:val="16"/>
            <w:szCs w:val="16"/>
          </w:rPr>
          <w:t>Twitter: @DiveshGoyal04</w:t>
        </w:r>
        <w:r>
          <w:rPr>
            <w:sz w:val="16"/>
            <w:szCs w:val="16"/>
          </w:rPr>
          <w:tab/>
        </w:r>
        <w:proofErr w:type="spellStart"/>
        <w:r w:rsidRPr="00931153">
          <w:rPr>
            <w:sz w:val="16"/>
            <w:szCs w:val="16"/>
          </w:rPr>
          <w:t>Whatsapp</w:t>
        </w:r>
        <w:proofErr w:type="spellEnd"/>
        <w:r w:rsidRPr="00931153">
          <w:rPr>
            <w:sz w:val="16"/>
            <w:szCs w:val="16"/>
          </w:rPr>
          <w:t>: 8130757966</w:t>
        </w:r>
      </w:p>
      <w:p w:rsidR="00C72C4D" w:rsidRDefault="00C72C4D" w:rsidP="00C72C4D">
        <w:pPr>
          <w:pStyle w:val="Footer"/>
          <w:rPr>
            <w:rStyle w:val="Hyperlink"/>
            <w:sz w:val="16"/>
            <w:szCs w:val="16"/>
          </w:rPr>
        </w:pPr>
        <w:r w:rsidRPr="00931153">
          <w:rPr>
            <w:sz w:val="16"/>
            <w:szCs w:val="16"/>
          </w:rPr>
          <w:t xml:space="preserve">FB: </w:t>
        </w:r>
        <w:hyperlink r:id="rId1" w:history="1">
          <w:r w:rsidRPr="00931153">
            <w:rPr>
              <w:rStyle w:val="Hyperlink"/>
              <w:sz w:val="16"/>
              <w:szCs w:val="16"/>
            </w:rPr>
            <w:t>csdiveshgoyal@gmail.com</w:t>
          </w:r>
        </w:hyperlink>
        <w:r w:rsidRPr="00931153">
          <w:rPr>
            <w:sz w:val="16"/>
            <w:szCs w:val="16"/>
          </w:rPr>
          <w:tab/>
        </w:r>
        <w:r w:rsidRPr="003122B2">
          <w:rPr>
            <w:sz w:val="24"/>
            <w:szCs w:val="24"/>
          </w:rPr>
          <w:t xml:space="preserve">Blog: </w:t>
        </w:r>
        <w:hyperlink r:id="rId2" w:history="1">
          <w:r w:rsidRPr="003122B2">
            <w:rPr>
              <w:rStyle w:val="Hyperlink"/>
              <w:sz w:val="24"/>
              <w:szCs w:val="24"/>
            </w:rPr>
            <w:t>www.csdiveshgoyal.info</w:t>
          </w:r>
        </w:hyperlink>
        <w:r>
          <w:rPr>
            <w:sz w:val="16"/>
            <w:szCs w:val="16"/>
          </w:rPr>
          <w:tab/>
        </w:r>
        <w:r w:rsidRPr="00931153">
          <w:rPr>
            <w:sz w:val="16"/>
            <w:szCs w:val="16"/>
          </w:rPr>
          <w:t xml:space="preserve">Gmail Id: </w:t>
        </w:r>
        <w:hyperlink r:id="rId3" w:history="1">
          <w:r w:rsidRPr="00931153">
            <w:rPr>
              <w:rStyle w:val="Hyperlink"/>
              <w:sz w:val="16"/>
              <w:szCs w:val="16"/>
            </w:rPr>
            <w:t>csdiveshgoyal@gmail.com</w:t>
          </w:r>
        </w:hyperlink>
      </w:p>
      <w:p w:rsidR="00C72C4D" w:rsidRPr="003122B2" w:rsidRDefault="00C72C4D" w:rsidP="00C72C4D">
        <w:pPr>
          <w:pStyle w:val="Footer"/>
          <w:ind w:right="-864"/>
        </w:pPr>
        <w:r w:rsidRPr="00926B98">
          <w:rPr>
            <w:b/>
            <w:i/>
            <w:iCs/>
            <w:color w:val="403152" w:themeColor="accent4" w:themeShade="80"/>
          </w:rPr>
          <w:t>This blog post is not a professional advice but just a knowledge sharing initiative for mutual discussion</w:t>
        </w:r>
        <w:r>
          <w:rPr>
            <w:b/>
            <w:i/>
            <w:iCs/>
            <w:color w:val="403152" w:themeColor="accent4" w:themeShade="80"/>
          </w:rPr>
          <w:t>.</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610D" w:rsidRDefault="0073610D" w:rsidP="0073610D">
      <w:pPr>
        <w:spacing w:after="0" w:line="240" w:lineRule="auto"/>
      </w:pPr>
      <w:r>
        <w:separator/>
      </w:r>
    </w:p>
  </w:footnote>
  <w:footnote w:type="continuationSeparator" w:id="1">
    <w:p w:rsidR="0073610D" w:rsidRDefault="0073610D" w:rsidP="0073610D">
      <w:pPr>
        <w:spacing w:after="0" w:line="240" w:lineRule="auto"/>
      </w:pPr>
      <w:r>
        <w:continuationSeparator/>
      </w:r>
    </w:p>
  </w:footnote>
  <w:footnote w:id="2">
    <w:p w:rsidR="0073610D" w:rsidRPr="0073610D" w:rsidRDefault="0073610D" w:rsidP="0073610D">
      <w:pPr>
        <w:pStyle w:val="FootnoteText"/>
        <w:jc w:val="both"/>
        <w:rPr>
          <w:rFonts w:ascii="Sylfaen" w:hAnsi="Sylfaen"/>
        </w:rPr>
      </w:pPr>
      <w:r>
        <w:rPr>
          <w:rStyle w:val="FootnoteReference"/>
        </w:rPr>
        <w:footnoteRef/>
      </w:r>
      <w:r>
        <w:t xml:space="preserve"> </w:t>
      </w:r>
      <w:proofErr w:type="gramStart"/>
      <w:r w:rsidRPr="0073610D">
        <w:rPr>
          <w:rFonts w:ascii="Sylfaen" w:hAnsi="Sylfaen"/>
        </w:rPr>
        <w:t>Reporting of Partly Paid up Shares- Explanation: An Indian company issuing partly paid equity shares, shall furnish a report not later than 30 days from the date of receipt of each call payment.</w:t>
      </w:r>
      <w:proofErr w:type="gramEnd"/>
    </w:p>
  </w:footnote>
  <w:footnote w:id="3">
    <w:p w:rsidR="005469FF" w:rsidRDefault="005469FF" w:rsidP="005469FF">
      <w:pPr>
        <w:pStyle w:val="FootnoteText"/>
        <w:jc w:val="both"/>
      </w:pPr>
      <w:r>
        <w:rPr>
          <w:rStyle w:val="FootnoteReference"/>
        </w:rPr>
        <w:footnoteRef/>
      </w:r>
      <w:r>
        <w:t xml:space="preserve"> </w:t>
      </w:r>
      <w:r>
        <w:rPr>
          <w:sz w:val="22"/>
          <w:szCs w:val="22"/>
        </w:rPr>
        <w:t xml:space="preserve">For companies with paid up capital with less than Rs.5 </w:t>
      </w:r>
      <w:proofErr w:type="spellStart"/>
      <w:r>
        <w:rPr>
          <w:sz w:val="22"/>
          <w:szCs w:val="22"/>
        </w:rPr>
        <w:t>crore</w:t>
      </w:r>
      <w:proofErr w:type="spellEnd"/>
      <w:r>
        <w:rPr>
          <w:sz w:val="22"/>
          <w:szCs w:val="22"/>
        </w:rPr>
        <w:t>, the above mentioned certificate can be given by a practicing company secretary</w:t>
      </w:r>
    </w:p>
  </w:footnote>
  <w:footnote w:id="4">
    <w:p w:rsidR="00A93E97" w:rsidRPr="00A93E97" w:rsidRDefault="00A93E97">
      <w:pPr>
        <w:pStyle w:val="FootnoteText"/>
        <w:rPr>
          <w:sz w:val="22"/>
          <w:szCs w:val="22"/>
        </w:rPr>
      </w:pPr>
      <w:r>
        <w:rPr>
          <w:rStyle w:val="FootnoteReference"/>
        </w:rPr>
        <w:footnoteRef/>
      </w:r>
      <w:r>
        <w:t xml:space="preserve"> </w:t>
      </w:r>
      <w:r>
        <w:rPr>
          <w:sz w:val="22"/>
          <w:szCs w:val="22"/>
        </w:rPr>
        <w:t>An Indian company issuing partly paid equity shares shall file a report in form FC-GPR to the extent they become paid up</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4D" w:rsidRPr="003604FA" w:rsidRDefault="00C72C4D" w:rsidP="00C72C4D">
    <w:pPr>
      <w:pStyle w:val="Header"/>
      <w:tabs>
        <w:tab w:val="clear" w:pos="4680"/>
        <w:tab w:val="clear" w:pos="9360"/>
      </w:tabs>
      <w:ind w:left="-270"/>
      <w:rPr>
        <w:rFonts w:ascii="Berlin Sans FB" w:hAnsi="Berlin Sans FB" w:cs="Andalus"/>
      </w:rPr>
    </w:pPr>
    <w:r>
      <w:rPr>
        <w:rFonts w:ascii="Andalus" w:hAnsi="Andalus" w:cs="Andalus"/>
        <w:noProof/>
      </w:rPr>
      <w:drawing>
        <wp:inline distT="0" distB="0" distL="0" distR="0">
          <wp:extent cx="276225" cy="276225"/>
          <wp:effectExtent l="19050" t="0" r="9525" b="0"/>
          <wp:docPr id="4" name="Picture 0"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images.jpg"/>
                  <pic:cNvPicPr>
                    <a:picLocks noChangeAspect="1" noChangeArrowheads="1"/>
                  </pic:cNvPicPr>
                </pic:nvPicPr>
                <pic:blipFill>
                  <a:blip r:embed="rId1"/>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224DF7">
      <w:rPr>
        <w:rFonts w:ascii="Berlin Sans FB" w:hAnsi="Berlin Sans FB" w:cs="Andalus"/>
        <w:sz w:val="26"/>
        <w:szCs w:val="26"/>
      </w:rPr>
      <w:t>DIVESH GOYAL</w:t>
    </w:r>
    <w:r w:rsidRPr="00A11140">
      <w:rPr>
        <w:rFonts w:ascii="Andalus" w:hAnsi="Andalus" w:cs="Andalus"/>
      </w:rPr>
      <w:tab/>
    </w:r>
    <w:r w:rsidRPr="00A11140">
      <w:rPr>
        <w:rFonts w:ascii="Andalus" w:hAnsi="Andalus" w:cs="Andalus"/>
      </w:rPr>
      <w:tab/>
    </w:r>
    <w:r w:rsidRPr="00A11140">
      <w:rPr>
        <w:rFonts w:ascii="Andalus" w:hAnsi="Andalus" w:cs="Andalus"/>
      </w:rPr>
      <w:tab/>
    </w:r>
    <w:r w:rsidRPr="00A11140">
      <w:rPr>
        <w:rFonts w:ascii="Andalus" w:hAnsi="Andalus" w:cs="Andalus"/>
      </w:rPr>
      <w:tab/>
    </w:r>
    <w:r w:rsidRPr="00A11140">
      <w:rPr>
        <w:rFonts w:ascii="Andalus" w:hAnsi="Andalus" w:cs="Andalus"/>
      </w:rPr>
      <w:tab/>
    </w:r>
    <w:r w:rsidRPr="00A11140">
      <w:rPr>
        <w:rFonts w:ascii="Andalus" w:hAnsi="Andalus" w:cs="Andalus"/>
      </w:rPr>
      <w:tab/>
    </w:r>
    <w:r>
      <w:rPr>
        <w:rFonts w:ascii="Andalus" w:hAnsi="Andalus" w:cs="Andalus"/>
      </w:rPr>
      <w:tab/>
    </w:r>
    <w:r w:rsidRPr="003604FA">
      <w:rPr>
        <w:rFonts w:ascii="Berlin Sans FB" w:hAnsi="Berlin Sans FB" w:cs="Andalus"/>
      </w:rPr>
      <w:t>Mob: +918130757966</w:t>
    </w:r>
  </w:p>
  <w:p w:rsidR="00C72C4D" w:rsidRPr="003604FA" w:rsidRDefault="00C72C4D" w:rsidP="00C72C4D">
    <w:pPr>
      <w:pStyle w:val="Header"/>
      <w:tabs>
        <w:tab w:val="clear" w:pos="4680"/>
        <w:tab w:val="clear" w:pos="9360"/>
      </w:tabs>
      <w:rPr>
        <w:rFonts w:ascii="Berlin Sans FB" w:hAnsi="Berlin Sans FB" w:cs="Andalus"/>
      </w:rPr>
    </w:pPr>
    <w:r w:rsidRPr="003604FA">
      <w:rPr>
        <w:rFonts w:ascii="Berlin Sans FB" w:hAnsi="Berlin Sans FB" w:cs="Andalus"/>
      </w:rPr>
      <w:t>Practicing Company Secretary</w:t>
    </w:r>
    <w:r w:rsidRPr="003604FA">
      <w:rPr>
        <w:rFonts w:ascii="Berlin Sans FB" w:hAnsi="Berlin Sans FB" w:cs="Andalus"/>
      </w:rPr>
      <w:tab/>
    </w:r>
    <w:r w:rsidRPr="003604FA">
      <w:rPr>
        <w:rFonts w:ascii="Berlin Sans FB" w:hAnsi="Berlin Sans FB" w:cs="Andalus"/>
      </w:rPr>
      <w:tab/>
    </w:r>
    <w:r>
      <w:rPr>
        <w:rFonts w:ascii="Berlin Sans FB" w:hAnsi="Berlin Sans FB" w:cs="Andalus"/>
      </w:rPr>
      <w:tab/>
    </w:r>
    <w:r>
      <w:rPr>
        <w:rFonts w:ascii="Berlin Sans FB" w:hAnsi="Berlin Sans FB" w:cs="Andalus"/>
      </w:rPr>
      <w:tab/>
    </w:r>
    <w:r>
      <w:rPr>
        <w:rFonts w:ascii="Berlin Sans FB" w:hAnsi="Berlin Sans FB" w:cs="Andalus"/>
      </w:rPr>
      <w:tab/>
    </w:r>
    <w:r>
      <w:rPr>
        <w:rFonts w:ascii="Berlin Sans FB" w:hAnsi="Berlin Sans FB" w:cs="Andalus"/>
      </w:rPr>
      <w:tab/>
    </w:r>
    <w:hyperlink r:id="rId2" w:history="1">
      <w:r w:rsidRPr="003604FA">
        <w:rPr>
          <w:rStyle w:val="Hyperlink"/>
          <w:rFonts w:ascii="Berlin Sans FB" w:hAnsi="Berlin Sans FB" w:cs="Andalus"/>
        </w:rPr>
        <w:t>csdiveshgoyal@gmail.com</w:t>
      </w:r>
    </w:hyperlink>
  </w:p>
  <w:p w:rsidR="00C72C4D" w:rsidRPr="00677073" w:rsidRDefault="00C72C4D" w:rsidP="00C72C4D">
    <w:pPr>
      <w:pStyle w:val="Header"/>
      <w:pBdr>
        <w:bottom w:val="thinThickLargeGap" w:sz="24" w:space="1" w:color="auto"/>
      </w:pBdr>
      <w:tabs>
        <w:tab w:val="clear" w:pos="4680"/>
        <w:tab w:val="clear" w:pos="9360"/>
      </w:tabs>
      <w:rPr>
        <w:rFonts w:ascii="Berlin Sans FB" w:hAnsi="Berlin Sans FB" w:cs="Andalus"/>
      </w:rPr>
    </w:pPr>
    <w:r w:rsidRPr="003604FA">
      <w:rPr>
        <w:rFonts w:ascii="Berlin Sans FB" w:hAnsi="Berlin Sans FB" w:cs="Andalus"/>
      </w:rPr>
      <w:t>GOYAL DIVESH&amp; ASSOCIATES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816E4"/>
    <w:multiLevelType w:val="hybridMultilevel"/>
    <w:tmpl w:val="F1E2FA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D43A16"/>
    <w:multiLevelType w:val="hybridMultilevel"/>
    <w:tmpl w:val="82405D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B522A9"/>
    <w:multiLevelType w:val="hybridMultilevel"/>
    <w:tmpl w:val="99E21090"/>
    <w:lvl w:ilvl="0" w:tplc="D85A83B4">
      <w:numFmt w:val="bullet"/>
      <w:lvlText w:val="-"/>
      <w:lvlJc w:val="left"/>
      <w:pPr>
        <w:ind w:left="540" w:hanging="360"/>
      </w:pPr>
      <w:rPr>
        <w:rFonts w:ascii="Berlin Sans FB Demi" w:eastAsiaTheme="minorEastAsia" w:hAnsi="Berlin Sans FB Demi" w:cstheme="minorBidi" w:hint="default"/>
        <w:b/>
        <w:sz w:val="2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nsid w:val="3D912703"/>
    <w:multiLevelType w:val="hybridMultilevel"/>
    <w:tmpl w:val="09F6A69C"/>
    <w:lvl w:ilvl="0" w:tplc="D85A83B4">
      <w:numFmt w:val="bullet"/>
      <w:lvlText w:val="-"/>
      <w:lvlJc w:val="left"/>
      <w:pPr>
        <w:ind w:left="540" w:hanging="360"/>
      </w:pPr>
      <w:rPr>
        <w:rFonts w:ascii="Berlin Sans FB Demi" w:eastAsiaTheme="minorEastAsia" w:hAnsi="Berlin Sans FB Demi" w:cstheme="minorBidi" w:hint="default"/>
        <w:b/>
        <w:sz w:val="2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nsid w:val="481769FE"/>
    <w:multiLevelType w:val="hybridMultilevel"/>
    <w:tmpl w:val="EB6411BA"/>
    <w:lvl w:ilvl="0" w:tplc="D85A83B4">
      <w:numFmt w:val="bullet"/>
      <w:lvlText w:val="-"/>
      <w:lvlJc w:val="left"/>
      <w:pPr>
        <w:ind w:left="540" w:hanging="360"/>
      </w:pPr>
      <w:rPr>
        <w:rFonts w:ascii="Berlin Sans FB Demi" w:eastAsiaTheme="minorEastAsia" w:hAnsi="Berlin Sans FB Demi" w:cstheme="minorBidi" w:hint="default"/>
        <w:b/>
        <w:sz w:val="2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nsid w:val="54E23101"/>
    <w:multiLevelType w:val="hybridMultilevel"/>
    <w:tmpl w:val="9DB2391C"/>
    <w:lvl w:ilvl="0" w:tplc="6CF423DA">
      <w:start w:val="1"/>
      <w:numFmt w:val="upperLetter"/>
      <w:lvlText w:val="%1."/>
      <w:lvlJc w:val="left"/>
      <w:pPr>
        <w:ind w:left="720" w:hanging="360"/>
      </w:pPr>
      <w:rPr>
        <w:rFonts w:hint="default"/>
        <w:color w:val="403152" w:themeColor="accent4" w:themeShade="8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4F31C1"/>
    <w:multiLevelType w:val="hybridMultilevel"/>
    <w:tmpl w:val="042C7FAE"/>
    <w:lvl w:ilvl="0" w:tplc="D85A83B4">
      <w:numFmt w:val="bullet"/>
      <w:lvlText w:val="-"/>
      <w:lvlJc w:val="left"/>
      <w:pPr>
        <w:ind w:left="540" w:hanging="360"/>
      </w:pPr>
      <w:rPr>
        <w:rFonts w:ascii="Berlin Sans FB Demi" w:eastAsiaTheme="minorEastAsia" w:hAnsi="Berlin Sans FB Demi" w:cstheme="minorBidi" w:hint="default"/>
        <w:b/>
        <w:sz w:val="2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nsid w:val="660E7673"/>
    <w:multiLevelType w:val="hybridMultilevel"/>
    <w:tmpl w:val="E12866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624388A"/>
    <w:multiLevelType w:val="hybridMultilevel"/>
    <w:tmpl w:val="8C702C86"/>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nsid w:val="67F918B2"/>
    <w:multiLevelType w:val="hybridMultilevel"/>
    <w:tmpl w:val="41024F9E"/>
    <w:lvl w:ilvl="0" w:tplc="04090005">
      <w:start w:val="1"/>
      <w:numFmt w:val="bullet"/>
      <w:lvlText w:val=""/>
      <w:lvlJc w:val="left"/>
      <w:pPr>
        <w:ind w:left="540" w:hanging="360"/>
      </w:pPr>
      <w:rPr>
        <w:rFonts w:ascii="Wingdings" w:hAnsi="Wingdings" w:hint="default"/>
        <w:b/>
        <w:sz w:val="2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0">
    <w:nsid w:val="6F5B4F5F"/>
    <w:multiLevelType w:val="hybridMultilevel"/>
    <w:tmpl w:val="69D2122E"/>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1"/>
  </w:num>
  <w:num w:numId="2">
    <w:abstractNumId w:val="0"/>
  </w:num>
  <w:num w:numId="3">
    <w:abstractNumId w:val="7"/>
  </w:num>
  <w:num w:numId="4">
    <w:abstractNumId w:val="3"/>
  </w:num>
  <w:num w:numId="5">
    <w:abstractNumId w:val="2"/>
  </w:num>
  <w:num w:numId="6">
    <w:abstractNumId w:val="8"/>
  </w:num>
  <w:num w:numId="7">
    <w:abstractNumId w:val="4"/>
  </w:num>
  <w:num w:numId="8">
    <w:abstractNumId w:val="10"/>
  </w:num>
  <w:num w:numId="9">
    <w:abstractNumId w:val="6"/>
  </w:num>
  <w:num w:numId="10">
    <w:abstractNumId w:val="9"/>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0"/>
    <w:footnote w:id="1"/>
  </w:footnotePr>
  <w:endnotePr>
    <w:endnote w:id="0"/>
    <w:endnote w:id="1"/>
  </w:endnotePr>
  <w:compat>
    <w:useFELayout/>
  </w:compat>
  <w:rsids>
    <w:rsidRoot w:val="00B57D29"/>
    <w:rsid w:val="00467CE1"/>
    <w:rsid w:val="005469FF"/>
    <w:rsid w:val="00567647"/>
    <w:rsid w:val="00654899"/>
    <w:rsid w:val="0073610D"/>
    <w:rsid w:val="008D6ED7"/>
    <w:rsid w:val="00A25F55"/>
    <w:rsid w:val="00A93E97"/>
    <w:rsid w:val="00A9528E"/>
    <w:rsid w:val="00B1249A"/>
    <w:rsid w:val="00B57D29"/>
    <w:rsid w:val="00B97B74"/>
    <w:rsid w:val="00C043CB"/>
    <w:rsid w:val="00C13968"/>
    <w:rsid w:val="00C72C4D"/>
    <w:rsid w:val="00D572BA"/>
    <w:rsid w:val="00D7338B"/>
    <w:rsid w:val="00E66EEB"/>
    <w:rsid w:val="00EF17FA"/>
    <w:rsid w:val="00FF18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rules v:ext="edit">
        <o:r id="V:Rule1" type="callout" idref="#AutoShape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9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7D29"/>
    <w:pPr>
      <w:ind w:left="720"/>
      <w:contextualSpacing/>
    </w:pPr>
  </w:style>
  <w:style w:type="paragraph" w:styleId="FootnoteText">
    <w:name w:val="footnote text"/>
    <w:basedOn w:val="Normal"/>
    <w:link w:val="FootnoteTextChar"/>
    <w:uiPriority w:val="99"/>
    <w:semiHidden/>
    <w:unhideWhenUsed/>
    <w:rsid w:val="007361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610D"/>
    <w:rPr>
      <w:sz w:val="20"/>
      <w:szCs w:val="20"/>
    </w:rPr>
  </w:style>
  <w:style w:type="character" w:styleId="FootnoteReference">
    <w:name w:val="footnote reference"/>
    <w:basedOn w:val="DefaultParagraphFont"/>
    <w:uiPriority w:val="99"/>
    <w:semiHidden/>
    <w:unhideWhenUsed/>
    <w:rsid w:val="0073610D"/>
    <w:rPr>
      <w:vertAlign w:val="superscript"/>
    </w:rPr>
  </w:style>
  <w:style w:type="character" w:styleId="SubtleEmphasis">
    <w:name w:val="Subtle Emphasis"/>
    <w:basedOn w:val="DefaultParagraphFont"/>
    <w:uiPriority w:val="19"/>
    <w:qFormat/>
    <w:rsid w:val="00C72C4D"/>
    <w:rPr>
      <w:i/>
      <w:iCs/>
      <w:color w:val="808080" w:themeColor="text1" w:themeTint="7F"/>
    </w:rPr>
  </w:style>
  <w:style w:type="paragraph" w:styleId="Title">
    <w:name w:val="Title"/>
    <w:basedOn w:val="Normal"/>
    <w:next w:val="Normal"/>
    <w:link w:val="TitleChar"/>
    <w:uiPriority w:val="10"/>
    <w:qFormat/>
    <w:rsid w:val="00C72C4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72C4D"/>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C72C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C4D"/>
  </w:style>
  <w:style w:type="paragraph" w:styleId="Footer">
    <w:name w:val="footer"/>
    <w:basedOn w:val="Normal"/>
    <w:link w:val="FooterChar"/>
    <w:uiPriority w:val="99"/>
    <w:unhideWhenUsed/>
    <w:rsid w:val="00C72C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C4D"/>
  </w:style>
  <w:style w:type="character" w:styleId="Hyperlink">
    <w:name w:val="Hyperlink"/>
    <w:basedOn w:val="DefaultParagraphFont"/>
    <w:uiPriority w:val="99"/>
    <w:unhideWhenUsed/>
    <w:rsid w:val="00C72C4D"/>
    <w:rPr>
      <w:color w:val="0000FF" w:themeColor="hyperlink"/>
      <w:u w:val="single"/>
    </w:rPr>
  </w:style>
  <w:style w:type="paragraph" w:styleId="BalloonText">
    <w:name w:val="Balloon Text"/>
    <w:basedOn w:val="Normal"/>
    <w:link w:val="BalloonTextChar"/>
    <w:uiPriority w:val="99"/>
    <w:semiHidden/>
    <w:unhideWhenUsed/>
    <w:rsid w:val="00C72C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C4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csdiveshgoyal@gmail.com" TargetMode="External"/><Relationship Id="rId2" Type="http://schemas.openxmlformats.org/officeDocument/2006/relationships/hyperlink" Target="http://www.csdiveshgoyal.info" TargetMode="External"/><Relationship Id="rId1" Type="http://schemas.openxmlformats.org/officeDocument/2006/relationships/hyperlink" Target="mailto:csdiveshgoyal@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csdiveshgoyal@gmail.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SYSTEM123</dc:creator>
  <cp:keywords/>
  <dc:description/>
  <cp:lastModifiedBy>SYSTEM123</cp:lastModifiedBy>
  <cp:revision>16</cp:revision>
  <dcterms:created xsi:type="dcterms:W3CDTF">2016-06-11T13:12:00Z</dcterms:created>
  <dcterms:modified xsi:type="dcterms:W3CDTF">2016-06-11T14:34:00Z</dcterms:modified>
</cp:coreProperties>
</file>