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934" w:rsidRDefault="00A60934" w:rsidP="00A60934">
      <w:pPr>
        <w:pStyle w:val="Heading1"/>
        <w:shd w:val="clear" w:color="auto" w:fill="FFFFFF"/>
        <w:spacing w:before="60" w:beforeAutospacing="0" w:after="75" w:afterAutospacing="0" w:line="293"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Pr>
          <w:noProof/>
        </w:rPr>
        <w:t xml:space="preserve">                         </w:t>
      </w:r>
      <w:r>
        <w:rPr>
          <w:noProof/>
        </w:rPr>
        <w:drawing>
          <wp:inline distT="0" distB="0" distL="0" distR="0">
            <wp:extent cx="600075" cy="571500"/>
            <wp:effectExtent l="19050" t="0" r="9525" b="0"/>
            <wp:docPr id="2" name="Picture 2" descr="http://media.groupspaces.com/thumb/s/469937/h/ed6cba5af3991f50eaf7809964565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a.groupspaces.com/thumb/s/469937/h/ed6cba5af3991f50eaf7809964565563.jpg"/>
                    <pic:cNvPicPr>
                      <a:picLocks noChangeAspect="1" noChangeArrowheads="1"/>
                    </pic:cNvPicPr>
                  </pic:nvPicPr>
                  <pic:blipFill>
                    <a:blip r:embed="rId4" cstate="print"/>
                    <a:srcRect/>
                    <a:stretch>
                      <a:fillRect/>
                    </a:stretch>
                  </pic:blipFill>
                  <pic:spPr bwMode="auto">
                    <a:xfrm>
                      <a:off x="0" y="0"/>
                      <a:ext cx="600075" cy="571500"/>
                    </a:xfrm>
                    <a:prstGeom prst="rect">
                      <a:avLst/>
                    </a:prstGeom>
                    <a:noFill/>
                    <a:ln w="9525">
                      <a:noFill/>
                      <a:miter lim="800000"/>
                      <a:headEnd/>
                      <a:tailEnd/>
                    </a:ln>
                  </pic:spPr>
                </pic:pic>
              </a:graphicData>
            </a:graphic>
          </wp:inline>
        </w:drawing>
      </w:r>
    </w:p>
    <w:p w:rsidR="00A60934" w:rsidRPr="00A60934" w:rsidRDefault="00A60934" w:rsidP="00A60934">
      <w:pPr>
        <w:pStyle w:val="Heading1"/>
        <w:shd w:val="clear" w:color="auto" w:fill="FFFFFF"/>
        <w:spacing w:before="60" w:beforeAutospacing="0" w:after="75" w:afterAutospacing="0" w:line="293" w:lineRule="atLeast"/>
        <w:rPr>
          <w:b w:val="0"/>
          <w:bCs w:val="0"/>
          <w:color w:val="4E463F"/>
          <w:sz w:val="32"/>
          <w:szCs w:val="32"/>
        </w:rPr>
      </w:pPr>
      <w:hyperlink r:id="rId5" w:tooltip="Go to group home" w:history="1">
        <w:r w:rsidRPr="00A60934">
          <w:rPr>
            <w:b w:val="0"/>
            <w:bCs w:val="0"/>
            <w:color w:val="333333"/>
            <w:sz w:val="32"/>
            <w:szCs w:val="32"/>
          </w:rPr>
          <w:t>Cambridge University United Nations Association [CUUNA]</w:t>
        </w:r>
      </w:hyperlink>
    </w:p>
    <w:p w:rsidR="007528E3" w:rsidRPr="004347A8" w:rsidRDefault="00A60934">
      <w:pPr>
        <w:rPr>
          <w:rStyle w:val="Strong"/>
          <w:rFonts w:ascii="Times New Roman" w:hAnsi="Times New Roman" w:cs="Times New Roman"/>
          <w:color w:val="000000"/>
          <w:sz w:val="28"/>
          <w:szCs w:val="28"/>
          <w:shd w:val="clear" w:color="auto" w:fill="FFFFFF"/>
        </w:rPr>
      </w:pPr>
      <w:r w:rsidRPr="004347A8">
        <w:rPr>
          <w:rStyle w:val="Strong"/>
          <w:rFonts w:ascii="Times New Roman" w:hAnsi="Times New Roman" w:cs="Times New Roman"/>
          <w:color w:val="000000"/>
          <w:sz w:val="28"/>
          <w:szCs w:val="28"/>
          <w:shd w:val="clear" w:color="auto" w:fill="FFFFFF"/>
        </w:rPr>
        <w:t>The United Nations and Judicial Independence in the Developing World: Challenges and Opportunities</w:t>
      </w:r>
    </w:p>
    <w:p w:rsidR="00A60934" w:rsidRPr="00A60934" w:rsidRDefault="00A60934" w:rsidP="00A60934">
      <w:pPr>
        <w:pStyle w:val="NormalWeb"/>
        <w:shd w:val="clear" w:color="auto" w:fill="FFFFFF"/>
        <w:spacing w:before="168" w:beforeAutospacing="0" w:after="168" w:afterAutospacing="0" w:line="336" w:lineRule="atLeast"/>
        <w:ind w:right="-22"/>
        <w:jc w:val="both"/>
        <w:rPr>
          <w:color w:val="000000"/>
          <w:sz w:val="28"/>
          <w:szCs w:val="28"/>
        </w:rPr>
      </w:pPr>
      <w:r w:rsidRPr="004347A8">
        <w:rPr>
          <w:rStyle w:val="Strong"/>
          <w:color w:val="000000"/>
          <w:sz w:val="28"/>
          <w:szCs w:val="28"/>
        </w:rPr>
        <w:t xml:space="preserve">The UN Human Rights </w:t>
      </w:r>
      <w:proofErr w:type="spellStart"/>
      <w:r w:rsidRPr="004347A8">
        <w:rPr>
          <w:rStyle w:val="Strong"/>
          <w:color w:val="000000"/>
          <w:sz w:val="28"/>
          <w:szCs w:val="28"/>
        </w:rPr>
        <w:t>Coucil</w:t>
      </w:r>
      <w:proofErr w:type="spellEnd"/>
      <w:r w:rsidRPr="004347A8">
        <w:rPr>
          <w:rStyle w:val="Strong"/>
          <w:color w:val="000000"/>
          <w:sz w:val="28"/>
          <w:szCs w:val="28"/>
        </w:rPr>
        <w:t xml:space="preserve"> (Credit: U.S. Mission Geneva/Eric </w:t>
      </w:r>
      <w:proofErr w:type="spellStart"/>
      <w:r w:rsidRPr="004347A8">
        <w:rPr>
          <w:rStyle w:val="Strong"/>
          <w:color w:val="000000"/>
          <w:sz w:val="28"/>
          <w:szCs w:val="28"/>
        </w:rPr>
        <w:t>Bridiers</w:t>
      </w:r>
      <w:proofErr w:type="spellEnd"/>
      <w:r w:rsidRPr="004347A8">
        <w:rPr>
          <w:rStyle w:val="Strong"/>
          <w:color w:val="000000"/>
          <w:sz w:val="28"/>
          <w:szCs w:val="28"/>
        </w:rPr>
        <w:t>)</w:t>
      </w:r>
      <w:r>
        <w:rPr>
          <w:rFonts w:ascii="Georgia" w:hAnsi="Georgia"/>
          <w:color w:val="000000"/>
          <w:sz w:val="18"/>
          <w:szCs w:val="18"/>
        </w:rPr>
        <w:br/>
      </w:r>
      <w:r>
        <w:rPr>
          <w:rFonts w:ascii="Georgia" w:hAnsi="Georgia"/>
          <w:color w:val="000000"/>
          <w:sz w:val="18"/>
          <w:szCs w:val="18"/>
        </w:rPr>
        <w:br/>
      </w:r>
      <w:r w:rsidRPr="00A60934">
        <w:rPr>
          <w:color w:val="000000"/>
          <w:sz w:val="28"/>
          <w:szCs w:val="28"/>
        </w:rPr>
        <w:t>As an intra-governmental body comprised of more than 190 member states, the United Nations (the “UN”) is the most prominent and broadly representative advocate of human rights in the world today.  The UN was designed following the Second World War as an institution to “reaffirm faith in fundamental human rights” with a purpose established by its Charter to include “promoting and encouraging respect for human rights and for fundamental freedoms”.   As part of its mandate to advance the cause of human rights, the UN encourages reforms to the laws and legal institutions of its member states and lends technical assistance in implementing these reforms.  Much of this work focuses on courts.  The importance of courts to the UN can be explained by understanding the role of courts in enforcing laws.  By hearing claims brought by individuals against the state, courts possess the unique institutional capacity to review executive and legislative action in order to ensure compliance with legal rights and provide a remedy for a violation.  This rights review function of the courts is seen as an integral feature of the rule of law because it ensures the compliance of state officials with their legal obligations: nobody is above the law, not even the state itself.  From the UN’s perspective, rights review by judges is critical to the enforcement of human rights because it gives effect to these legal guarantees that otherwise simply exist on paper.  In the absence of judicial oversight, state officials might be tempted to subject citizens to unlawful treatment for their own ends.  The potential for human rights violations is perceived as especially significant in the context of developing countries where political instability and power imbalances provide opportunities for abuse.</w:t>
      </w:r>
      <w:r w:rsidRPr="00A60934">
        <w:rPr>
          <w:color w:val="000000"/>
          <w:sz w:val="28"/>
          <w:szCs w:val="28"/>
        </w:rPr>
        <w:br/>
      </w:r>
      <w:r w:rsidRPr="00A60934">
        <w:rPr>
          <w:color w:val="000000"/>
          <w:sz w:val="28"/>
          <w:szCs w:val="28"/>
        </w:rPr>
        <w:br/>
        <w:t>The difficulty with this view of courts as enforcers of human rights is that courts and judges are inherently tied to the state.  Judges are civil servants, normally appointed by and paid for by the state.  As such, courts are unlikely to enforce human rights against the state if they fear backlash from powerful interests for their decisions.  In seeking to strengthen the individual and collective independence of the judiciary, the UN recognises the vulnerable position of judges reviewing state action in cases that place the enforcement of human rights squarely against the interests of the governing regime.  For example, the UN advocates that countries guarantee the right to a fair trial by an independent tribunal in criminal cases: Article 10 of the</w:t>
      </w:r>
      <w:r w:rsidRPr="00A60934">
        <w:rPr>
          <w:rStyle w:val="apple-converted-space"/>
          <w:color w:val="000000"/>
          <w:sz w:val="28"/>
          <w:szCs w:val="28"/>
        </w:rPr>
        <w:t> </w:t>
      </w:r>
      <w:r w:rsidRPr="00A60934">
        <w:rPr>
          <w:rStyle w:val="Emphasis"/>
          <w:color w:val="000000"/>
          <w:sz w:val="28"/>
          <w:szCs w:val="28"/>
        </w:rPr>
        <w:t>Universal Declaration of Human Rights</w:t>
      </w:r>
      <w:r w:rsidRPr="00A60934">
        <w:rPr>
          <w:color w:val="000000"/>
          <w:sz w:val="28"/>
          <w:szCs w:val="28"/>
        </w:rPr>
        <w:t xml:space="preserve">, adopted by the General Assembly in 1948, establishes that any criminally accused shall be provided with a “fair and public hearing by an independent and impartial tribunal”.  Criminal trials are of special concern to the UN </w:t>
      </w:r>
      <w:r w:rsidRPr="00A60934">
        <w:rPr>
          <w:color w:val="000000"/>
          <w:sz w:val="28"/>
          <w:szCs w:val="28"/>
        </w:rPr>
        <w:lastRenderedPageBreak/>
        <w:t>given that they involve the bulk of the interaction between individuals and the state and allegations of human rights violations are often raised in the context of a criminal proceeding.  Furthermore, the criminally accused is seen as especially vulnerable in the absence of an independent judiciary because the state may have a vested interest in obtaining a conviction but the accused has little choice but to rely upon state institutions to assess his or her criminal liability.</w:t>
      </w:r>
    </w:p>
    <w:p w:rsidR="00A60934" w:rsidRPr="00A60934" w:rsidRDefault="00A60934" w:rsidP="00A60934">
      <w:pPr>
        <w:pStyle w:val="NormalWeb"/>
        <w:shd w:val="clear" w:color="auto" w:fill="FFFFFF"/>
        <w:spacing w:before="168" w:beforeAutospacing="0" w:after="168" w:afterAutospacing="0" w:line="336" w:lineRule="atLeast"/>
        <w:ind w:right="-22"/>
        <w:jc w:val="both"/>
        <w:rPr>
          <w:color w:val="000000"/>
          <w:sz w:val="28"/>
          <w:szCs w:val="28"/>
        </w:rPr>
      </w:pPr>
      <w:r w:rsidRPr="00A60934">
        <w:rPr>
          <w:color w:val="000000"/>
          <w:sz w:val="28"/>
          <w:szCs w:val="28"/>
        </w:rPr>
        <w:t>In 1985, the General Assembly confirmed the importance of the principle of judicial independence to the protection of human rights when it endorsed the</w:t>
      </w:r>
      <w:r w:rsidRPr="00A60934">
        <w:rPr>
          <w:rStyle w:val="apple-converted-space"/>
          <w:color w:val="000000"/>
          <w:sz w:val="28"/>
          <w:szCs w:val="28"/>
        </w:rPr>
        <w:t> </w:t>
      </w:r>
      <w:r w:rsidRPr="00A60934">
        <w:rPr>
          <w:rStyle w:val="Emphasis"/>
          <w:color w:val="000000"/>
          <w:sz w:val="28"/>
          <w:szCs w:val="28"/>
        </w:rPr>
        <w:t>Basic Principles on the Independence of the Judiciary</w:t>
      </w:r>
      <w:r w:rsidRPr="00A60934">
        <w:rPr>
          <w:rStyle w:val="apple-converted-space"/>
          <w:color w:val="000000"/>
          <w:sz w:val="28"/>
          <w:szCs w:val="28"/>
        </w:rPr>
        <w:t> </w:t>
      </w:r>
      <w:r w:rsidRPr="00A60934">
        <w:rPr>
          <w:color w:val="000000"/>
          <w:sz w:val="28"/>
          <w:szCs w:val="28"/>
        </w:rPr>
        <w:t>(the “Basic Principles”).   In twenty sections, the Basic Principles sets out a series of institutional arrangements that seek to protect judges from sources of improper interference in their role as protectors of fundamental human rights and freedoms.  The preamble states that the Basic Principles were “formulated to assist Member States in their task of securing and promoting the independence of the judiciary [and] should be taken into account and respected by Governments”.  While the preamble notes that the principles are to be implemented within “national legislation and practice”, a number of the principles consist of specific obligations that are seen as necessary to protect judges from improper interference.  For example, Section 1 obligates countries to guarantee the independence of the judiciary in their constitutions or domestic law.  Other sections prescribe requirements relating to the preservation of the jurisdiction of ordinary courts, the conditions of judicial service and tenure, judicial secrecy in deliberations, judicial immunity, and limitations on the discipline, suspension, or removal of judges from office.  Notably, the Basic Principles does not limit itself to these measures of independence.  Instead, it takes an unqualified view of judicial independence by stating that judges must be free from “any restrictions, improper influences, inducements, pressures, threats or interferences, direct or indirect, from any quarter or for any reason.”</w:t>
      </w:r>
      <w:r w:rsidRPr="00A60934">
        <w:rPr>
          <w:color w:val="000000"/>
          <w:sz w:val="28"/>
          <w:szCs w:val="28"/>
        </w:rPr>
        <w:br/>
      </w:r>
      <w:r w:rsidRPr="00A60934">
        <w:rPr>
          <w:color w:val="000000"/>
          <w:sz w:val="28"/>
          <w:szCs w:val="28"/>
        </w:rPr>
        <w:br/>
        <w:t xml:space="preserve">Since the endorsement of the Basic Principles, a number of countries have implemented legal guarantees to protect the independence of the judiciary.  However, a serious problem has since emerged: many judges continue to experience attacks on their independence in violation of these guarantees.  In 1994, the UN appointed a Special </w:t>
      </w:r>
      <w:proofErr w:type="spellStart"/>
      <w:r w:rsidRPr="00A60934">
        <w:rPr>
          <w:color w:val="000000"/>
          <w:sz w:val="28"/>
          <w:szCs w:val="28"/>
        </w:rPr>
        <w:t>Rapporteur</w:t>
      </w:r>
      <w:proofErr w:type="spellEnd"/>
      <w:r w:rsidRPr="00A60934">
        <w:rPr>
          <w:color w:val="000000"/>
          <w:sz w:val="28"/>
          <w:szCs w:val="28"/>
        </w:rPr>
        <w:t xml:space="preserve"> on the Independence of Judges and Lawyers through its Commission on Human Rights to investigate.  This appointment was extended in 2008 by the Human Rights Council for a period of three years when it noted “with concern the increasingly frequent attacks on the independence of judges”.  The Special </w:t>
      </w:r>
      <w:proofErr w:type="spellStart"/>
      <w:r w:rsidRPr="00A60934">
        <w:rPr>
          <w:color w:val="000000"/>
          <w:sz w:val="28"/>
          <w:szCs w:val="28"/>
        </w:rPr>
        <w:t>Rapporteur</w:t>
      </w:r>
      <w:proofErr w:type="spellEnd"/>
      <w:r w:rsidRPr="00A60934">
        <w:rPr>
          <w:color w:val="000000"/>
          <w:sz w:val="28"/>
          <w:szCs w:val="28"/>
        </w:rPr>
        <w:t xml:space="preserve">, presently Brazilian judge Gabriela Carina </w:t>
      </w:r>
      <w:proofErr w:type="spellStart"/>
      <w:r w:rsidRPr="00A60934">
        <w:rPr>
          <w:color w:val="000000"/>
          <w:sz w:val="28"/>
          <w:szCs w:val="28"/>
        </w:rPr>
        <w:t>Knaul</w:t>
      </w:r>
      <w:proofErr w:type="spellEnd"/>
      <w:r w:rsidRPr="00A60934">
        <w:rPr>
          <w:color w:val="000000"/>
          <w:sz w:val="28"/>
          <w:szCs w:val="28"/>
        </w:rPr>
        <w:t xml:space="preserve"> de Albuquerque e Silva, is empowered by the Human Rights Council to inquire into alleged violations of judicial independence in member states, publish reports, and to make recommendations to improve the independence of courts.  Notably, the reports of the Special </w:t>
      </w:r>
      <w:proofErr w:type="spellStart"/>
      <w:r w:rsidRPr="00A60934">
        <w:rPr>
          <w:color w:val="000000"/>
          <w:sz w:val="28"/>
          <w:szCs w:val="28"/>
        </w:rPr>
        <w:t>Rapporteur</w:t>
      </w:r>
      <w:proofErr w:type="spellEnd"/>
      <w:r w:rsidRPr="00A60934">
        <w:rPr>
          <w:color w:val="000000"/>
          <w:sz w:val="28"/>
          <w:szCs w:val="28"/>
        </w:rPr>
        <w:t xml:space="preserve"> provide a rich source of country-specific information on alleged violations of judicial independence.  These reports have revealed a significant gap between guarantees of judicial independence in law and the situation on the ground, especially in developing states.  For example, in the addendum to the 2009 Report, </w:t>
      </w:r>
      <w:r w:rsidRPr="00A60934">
        <w:rPr>
          <w:color w:val="000000"/>
          <w:sz w:val="28"/>
          <w:szCs w:val="28"/>
        </w:rPr>
        <w:lastRenderedPageBreak/>
        <w:t xml:space="preserve">Special </w:t>
      </w:r>
      <w:proofErr w:type="spellStart"/>
      <w:r w:rsidRPr="00A60934">
        <w:rPr>
          <w:color w:val="000000"/>
          <w:sz w:val="28"/>
          <w:szCs w:val="28"/>
        </w:rPr>
        <w:t>Rapporteur</w:t>
      </w:r>
      <w:proofErr w:type="spellEnd"/>
      <w:r w:rsidRPr="00A60934">
        <w:rPr>
          <w:color w:val="000000"/>
          <w:sz w:val="28"/>
          <w:szCs w:val="28"/>
        </w:rPr>
        <w:t xml:space="preserve"> Leandro </w:t>
      </w:r>
      <w:proofErr w:type="spellStart"/>
      <w:r w:rsidRPr="00A60934">
        <w:rPr>
          <w:color w:val="000000"/>
          <w:sz w:val="28"/>
          <w:szCs w:val="28"/>
        </w:rPr>
        <w:t>Despouy</w:t>
      </w:r>
      <w:proofErr w:type="spellEnd"/>
      <w:r w:rsidRPr="00A60934">
        <w:rPr>
          <w:color w:val="000000"/>
          <w:sz w:val="28"/>
          <w:szCs w:val="28"/>
        </w:rPr>
        <w:t xml:space="preserve"> summarised alleged violations in forty-five economically developing countries, representing more than 85 percent of the total number of countries investigated.   Of those, 77 percent were middle income countries as classified by the World Bank.  In the attached summary of his Report, the Special </w:t>
      </w:r>
      <w:proofErr w:type="spellStart"/>
      <w:r w:rsidRPr="00A60934">
        <w:rPr>
          <w:color w:val="000000"/>
          <w:sz w:val="28"/>
          <w:szCs w:val="28"/>
        </w:rPr>
        <w:t>Rapporteur</w:t>
      </w:r>
      <w:proofErr w:type="spellEnd"/>
      <w:r w:rsidRPr="00A60934">
        <w:rPr>
          <w:color w:val="000000"/>
          <w:sz w:val="28"/>
          <w:szCs w:val="28"/>
        </w:rPr>
        <w:t xml:space="preserve"> notes that he “witnessed that the independence of the judiciary, which is crucial to democratic governance, is at risk in all parts of the world and that key actors in this field are the targets of innumerable sorts of attacks affecting their professional and personal integrity.”</w:t>
      </w:r>
      <w:r w:rsidRPr="00A60934">
        <w:rPr>
          <w:color w:val="000000"/>
          <w:sz w:val="28"/>
          <w:szCs w:val="28"/>
        </w:rPr>
        <w:br/>
      </w:r>
      <w:r w:rsidRPr="00A60934">
        <w:rPr>
          <w:color w:val="000000"/>
          <w:sz w:val="28"/>
          <w:szCs w:val="28"/>
        </w:rPr>
        <w:br/>
        <w:t xml:space="preserve">While important progress has undoubtedly been made as a result of the Basic Principles, the wide gap between legal protections of judicial independence and the actual situation on the ground as evidenced by the Reports of the Special </w:t>
      </w:r>
      <w:proofErr w:type="spellStart"/>
      <w:r w:rsidRPr="00A60934">
        <w:rPr>
          <w:color w:val="000000"/>
          <w:sz w:val="28"/>
          <w:szCs w:val="28"/>
        </w:rPr>
        <w:t>Rapporteur</w:t>
      </w:r>
      <w:proofErr w:type="spellEnd"/>
      <w:r w:rsidRPr="00A60934">
        <w:rPr>
          <w:color w:val="000000"/>
          <w:sz w:val="28"/>
          <w:szCs w:val="28"/>
        </w:rPr>
        <w:t xml:space="preserve"> suggests that a new approach to judicial independence in developing countries is needed.  It is now clear that in many cases the reason for the lack of independent courts is not due to the absence of formal legal guarantees that protect judges.  Yet, the promotion of further legal reforms to protect judges from improper influence seems to be the preferred approach of the UN going forward as noted in the 2009 Report of the Special </w:t>
      </w:r>
      <w:proofErr w:type="spellStart"/>
      <w:r w:rsidRPr="00A60934">
        <w:rPr>
          <w:color w:val="000000"/>
          <w:sz w:val="28"/>
          <w:szCs w:val="28"/>
        </w:rPr>
        <w:t>Rapporteur</w:t>
      </w:r>
      <w:proofErr w:type="spellEnd"/>
      <w:r w:rsidRPr="00A60934">
        <w:rPr>
          <w:color w:val="000000"/>
          <w:sz w:val="28"/>
          <w:szCs w:val="28"/>
        </w:rPr>
        <w:t xml:space="preserve">.  With the appointment of the Special </w:t>
      </w:r>
      <w:proofErr w:type="spellStart"/>
      <w:r w:rsidRPr="00A60934">
        <w:rPr>
          <w:color w:val="000000"/>
          <w:sz w:val="28"/>
          <w:szCs w:val="28"/>
        </w:rPr>
        <w:t>Rapporteur</w:t>
      </w:r>
      <w:proofErr w:type="spellEnd"/>
      <w:r w:rsidRPr="00A60934">
        <w:rPr>
          <w:color w:val="000000"/>
          <w:sz w:val="28"/>
          <w:szCs w:val="28"/>
        </w:rPr>
        <w:t xml:space="preserve"> coming to its conclusion this year, the UN will be presented with a timely opportunity to recognise the shortcomings of its existing approach to promoting independent courts.  It is hoped the Human Rights Council seizes this opportunity to further extend the appointment of the Special </w:t>
      </w:r>
      <w:proofErr w:type="spellStart"/>
      <w:r w:rsidRPr="00A60934">
        <w:rPr>
          <w:color w:val="000000"/>
          <w:sz w:val="28"/>
          <w:szCs w:val="28"/>
        </w:rPr>
        <w:t>Rapporteur</w:t>
      </w:r>
      <w:proofErr w:type="spellEnd"/>
      <w:r w:rsidRPr="00A60934">
        <w:rPr>
          <w:color w:val="000000"/>
          <w:sz w:val="28"/>
          <w:szCs w:val="28"/>
        </w:rPr>
        <w:t xml:space="preserve"> and mandates the investigation of a new approach to judicial independence in the developing world: one that takes a more nuanced view of the function of judges and courts in economic and social progress and considers the unique context of each country on its path to development.</w:t>
      </w:r>
      <w:r w:rsidRPr="00A60934">
        <w:rPr>
          <w:rStyle w:val="apple-converted-space"/>
          <w:color w:val="000000"/>
          <w:sz w:val="28"/>
          <w:szCs w:val="28"/>
        </w:rPr>
        <w:t> </w:t>
      </w:r>
    </w:p>
    <w:p w:rsidR="00A60934" w:rsidRPr="00A60934" w:rsidRDefault="00A60934" w:rsidP="00A60934">
      <w:pPr>
        <w:pStyle w:val="NormalWeb"/>
        <w:shd w:val="clear" w:color="auto" w:fill="FFFFFF"/>
        <w:spacing w:before="168" w:beforeAutospacing="0" w:after="168" w:afterAutospacing="0" w:line="336" w:lineRule="atLeast"/>
        <w:ind w:right="-22"/>
        <w:jc w:val="both"/>
        <w:rPr>
          <w:color w:val="000000"/>
          <w:sz w:val="28"/>
          <w:szCs w:val="28"/>
        </w:rPr>
      </w:pPr>
      <w:r w:rsidRPr="00A60934">
        <w:rPr>
          <w:rStyle w:val="Emphasis"/>
          <w:color w:val="000000"/>
          <w:sz w:val="28"/>
          <w:szCs w:val="28"/>
        </w:rPr>
        <w:t xml:space="preserve">Lorne </w:t>
      </w:r>
      <w:proofErr w:type="spellStart"/>
      <w:r w:rsidRPr="00A60934">
        <w:rPr>
          <w:rStyle w:val="Emphasis"/>
          <w:color w:val="000000"/>
          <w:sz w:val="28"/>
          <w:szCs w:val="28"/>
        </w:rPr>
        <w:t>Neudorf</w:t>
      </w:r>
      <w:proofErr w:type="spellEnd"/>
      <w:r w:rsidRPr="00A60934">
        <w:rPr>
          <w:rStyle w:val="Emphasis"/>
          <w:color w:val="000000"/>
          <w:sz w:val="28"/>
          <w:szCs w:val="28"/>
        </w:rPr>
        <w:t xml:space="preserve"> is a Canadian lawyer accredited as a non-governmental organisation representative with the Economic and Social Council of the United Nations.  Lorne is also a doctoral research student in law at the University of Cambridge.  His doctoral research considers the principle of judicial independence in the developing world, and he has published in a number of law journals and texts.</w:t>
      </w:r>
    </w:p>
    <w:p w:rsidR="00A60934" w:rsidRPr="00A60934" w:rsidRDefault="00A60934" w:rsidP="00A60934">
      <w:pPr>
        <w:ind w:right="-22"/>
        <w:jc w:val="both"/>
        <w:rPr>
          <w:rFonts w:ascii="Times New Roman" w:hAnsi="Times New Roman" w:cs="Times New Roman"/>
          <w:sz w:val="28"/>
          <w:szCs w:val="28"/>
        </w:rPr>
      </w:pPr>
    </w:p>
    <w:sectPr w:rsidR="00A60934" w:rsidRPr="00A60934" w:rsidSect="00A60934">
      <w:pgSz w:w="11906" w:h="16838"/>
      <w:pgMar w:top="284" w:right="849"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0934"/>
    <w:rsid w:val="004347A8"/>
    <w:rsid w:val="007528E3"/>
    <w:rsid w:val="00A6093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8E3"/>
  </w:style>
  <w:style w:type="paragraph" w:styleId="Heading1">
    <w:name w:val="heading 1"/>
    <w:basedOn w:val="Normal"/>
    <w:link w:val="Heading1Char"/>
    <w:uiPriority w:val="9"/>
    <w:qFormat/>
    <w:rsid w:val="00A609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0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934"/>
    <w:rPr>
      <w:rFonts w:ascii="Tahoma" w:hAnsi="Tahoma" w:cs="Tahoma"/>
      <w:sz w:val="16"/>
      <w:szCs w:val="16"/>
    </w:rPr>
  </w:style>
  <w:style w:type="character" w:customStyle="1" w:styleId="Heading1Char">
    <w:name w:val="Heading 1 Char"/>
    <w:basedOn w:val="DefaultParagraphFont"/>
    <w:link w:val="Heading1"/>
    <w:uiPriority w:val="9"/>
    <w:rsid w:val="00A60934"/>
    <w:rPr>
      <w:rFonts w:ascii="Times New Roman" w:eastAsia="Times New Roman" w:hAnsi="Times New Roman" w:cs="Times New Roman"/>
      <w:b/>
      <w:bCs/>
      <w:kern w:val="36"/>
      <w:sz w:val="48"/>
      <w:szCs w:val="48"/>
      <w:lang w:eastAsia="en-IN"/>
    </w:rPr>
  </w:style>
  <w:style w:type="character" w:styleId="Hyperlink">
    <w:name w:val="Hyperlink"/>
    <w:basedOn w:val="DefaultParagraphFont"/>
    <w:uiPriority w:val="99"/>
    <w:semiHidden/>
    <w:unhideWhenUsed/>
    <w:rsid w:val="00A60934"/>
    <w:rPr>
      <w:color w:val="0000FF"/>
      <w:u w:val="single"/>
    </w:rPr>
  </w:style>
  <w:style w:type="character" w:styleId="Strong">
    <w:name w:val="Strong"/>
    <w:basedOn w:val="DefaultParagraphFont"/>
    <w:uiPriority w:val="22"/>
    <w:qFormat/>
    <w:rsid w:val="00A60934"/>
    <w:rPr>
      <w:b/>
      <w:bCs/>
    </w:rPr>
  </w:style>
  <w:style w:type="paragraph" w:styleId="NormalWeb">
    <w:name w:val="Normal (Web)"/>
    <w:basedOn w:val="Normal"/>
    <w:uiPriority w:val="99"/>
    <w:semiHidden/>
    <w:unhideWhenUsed/>
    <w:rsid w:val="00A6093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A60934"/>
  </w:style>
  <w:style w:type="character" w:styleId="Emphasis">
    <w:name w:val="Emphasis"/>
    <w:basedOn w:val="DefaultParagraphFont"/>
    <w:uiPriority w:val="20"/>
    <w:qFormat/>
    <w:rsid w:val="00A60934"/>
    <w:rPr>
      <w:i/>
      <w:iCs/>
    </w:rPr>
  </w:style>
</w:styles>
</file>

<file path=word/webSettings.xml><?xml version="1.0" encoding="utf-8"?>
<w:webSettings xmlns:r="http://schemas.openxmlformats.org/officeDocument/2006/relationships" xmlns:w="http://schemas.openxmlformats.org/wordprocessingml/2006/main">
  <w:divs>
    <w:div w:id="32461031">
      <w:bodyDiv w:val="1"/>
      <w:marLeft w:val="0"/>
      <w:marRight w:val="0"/>
      <w:marTop w:val="0"/>
      <w:marBottom w:val="0"/>
      <w:divBdr>
        <w:top w:val="none" w:sz="0" w:space="0" w:color="auto"/>
        <w:left w:val="none" w:sz="0" w:space="0" w:color="auto"/>
        <w:bottom w:val="none" w:sz="0" w:space="0" w:color="auto"/>
        <w:right w:val="none" w:sz="0" w:space="0" w:color="auto"/>
      </w:divBdr>
    </w:div>
    <w:div w:id="161620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groupspaces.com/cuuna/"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1353</Words>
  <Characters>7715</Characters>
  <Application>Microsoft Office Word</Application>
  <DocSecurity>0</DocSecurity>
  <Lines>64</Lines>
  <Paragraphs>18</Paragraphs>
  <ScaleCrop>false</ScaleCrop>
  <Company/>
  <LinksUpToDate>false</LinksUpToDate>
  <CharactersWithSpaces>9050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2015-08-17T07:19:00Z</dcterms:created>
  <dcterms:modified xsi:type="dcterms:W3CDTF">2015-08-17T07:19:00Z</dcterms:modified>
</cp:coreProperties>
</file>