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BA0" w:rsidRPr="00DB4BA0" w:rsidRDefault="00DB4BA0" w:rsidP="00DB4BA0">
      <w:pPr>
        <w:spacing w:after="240" w:line="240" w:lineRule="auto"/>
        <w:jc w:val="center"/>
        <w:rPr>
          <w:rFonts w:ascii="Times New Roman" w:eastAsia="Times New Roman" w:hAnsi="Times New Roman" w:cs="Times New Roman"/>
          <w:b/>
          <w:bCs/>
          <w:color w:val="000000"/>
          <w:sz w:val="24"/>
          <w:szCs w:val="24"/>
        </w:rPr>
      </w:pPr>
      <w:r w:rsidRPr="00DB4BA0">
        <w:rPr>
          <w:rFonts w:ascii="Times New Roman" w:eastAsia="Times New Roman" w:hAnsi="Times New Roman" w:cs="Times New Roman"/>
          <w:b/>
          <w:bCs/>
          <w:color w:val="000000"/>
          <w:sz w:val="24"/>
          <w:szCs w:val="24"/>
        </w:rPr>
        <w:t>Corruption cases referred to CBI </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There are 517 cases referred to the Central Bureau of Investigation (CBI) by the State Government and Constitutional Courts for investigation during the last two years i.e. 2013, 2014 and current year i.e. 2015 (upto 30.06.2015). The year-wise break-up of 517 cases are as follows:</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tbl>
      <w:tblPr>
        <w:tblW w:w="4650" w:type="pct"/>
        <w:tblInd w:w="517" w:type="dxa"/>
        <w:tblCellMar>
          <w:left w:w="0" w:type="dxa"/>
          <w:right w:w="0" w:type="dxa"/>
        </w:tblCellMar>
        <w:tblLook w:val="04A0"/>
      </w:tblPr>
      <w:tblGrid>
        <w:gridCol w:w="1978"/>
        <w:gridCol w:w="2789"/>
        <w:gridCol w:w="2789"/>
        <w:gridCol w:w="1350"/>
      </w:tblGrid>
      <w:tr w:rsidR="00DB4BA0" w:rsidRPr="00DB4BA0" w:rsidTr="00DB4BA0">
        <w:tc>
          <w:tcPr>
            <w:tcW w:w="11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Year</w:t>
            </w:r>
          </w:p>
        </w:tc>
        <w:tc>
          <w:tcPr>
            <w:tcW w:w="31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No. of Cases referred by</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Total</w:t>
            </w:r>
          </w:p>
        </w:tc>
      </w:tr>
      <w:tr w:rsidR="00DB4BA0" w:rsidRPr="00DB4BA0" w:rsidTr="00DB4BA0">
        <w:tc>
          <w:tcPr>
            <w:tcW w:w="0" w:type="auto"/>
            <w:vMerge/>
            <w:tcBorders>
              <w:top w:val="single" w:sz="8" w:space="0" w:color="auto"/>
              <w:left w:val="single" w:sz="8" w:space="0" w:color="auto"/>
              <w:bottom w:val="single" w:sz="8" w:space="0" w:color="auto"/>
              <w:right w:val="single" w:sz="8" w:space="0" w:color="auto"/>
            </w:tcBorders>
            <w:vAlign w:val="center"/>
            <w:hideMark/>
          </w:tcPr>
          <w:p w:rsidR="00DB4BA0" w:rsidRPr="00DB4BA0" w:rsidRDefault="00DB4BA0" w:rsidP="00DB4BA0">
            <w:pPr>
              <w:spacing w:after="0" w:line="240" w:lineRule="auto"/>
              <w:rPr>
                <w:rFonts w:ascii="Calibri" w:eastAsia="Times New Roman" w:hAnsi="Calibri" w:cs="Times New Roman"/>
              </w:rPr>
            </w:pP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State Government</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Constitutional Courts</w:t>
            </w:r>
          </w:p>
        </w:tc>
        <w:tc>
          <w:tcPr>
            <w:tcW w:w="0" w:type="auto"/>
            <w:vMerge/>
            <w:tcBorders>
              <w:top w:val="single" w:sz="8" w:space="0" w:color="auto"/>
              <w:left w:val="nil"/>
              <w:bottom w:val="single" w:sz="8" w:space="0" w:color="auto"/>
              <w:right w:val="single" w:sz="8" w:space="0" w:color="auto"/>
            </w:tcBorders>
            <w:vAlign w:val="center"/>
            <w:hideMark/>
          </w:tcPr>
          <w:p w:rsidR="00DB4BA0" w:rsidRPr="00DB4BA0" w:rsidRDefault="00DB4BA0" w:rsidP="00DB4BA0">
            <w:pPr>
              <w:spacing w:after="0" w:line="240" w:lineRule="auto"/>
              <w:rPr>
                <w:rFonts w:ascii="Calibri" w:eastAsia="Times New Roman" w:hAnsi="Calibri" w:cs="Times New Roman"/>
              </w:rPr>
            </w:pPr>
          </w:p>
        </w:tc>
      </w:tr>
      <w:tr w:rsidR="00DB4BA0" w:rsidRPr="00DB4BA0" w:rsidTr="00DB4BA0">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2013</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50</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190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240</w:t>
            </w:r>
          </w:p>
        </w:tc>
      </w:tr>
      <w:tr w:rsidR="00DB4BA0" w:rsidRPr="00DB4BA0" w:rsidTr="00DB4BA0">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2014</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32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175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207</w:t>
            </w:r>
          </w:p>
        </w:tc>
      </w:tr>
      <w:tr w:rsidR="00DB4BA0" w:rsidRPr="00DB4BA0" w:rsidTr="00DB4BA0">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2015 (up to 30.06.2015)</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10</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060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070</w:t>
            </w:r>
          </w:p>
        </w:tc>
      </w:tr>
      <w:tr w:rsidR="00DB4BA0" w:rsidRPr="00DB4BA0" w:rsidTr="00DB4BA0">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Total</w:t>
            </w:r>
          </w:p>
        </w:tc>
        <w:tc>
          <w:tcPr>
            <w:tcW w:w="15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92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425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517</w:t>
            </w:r>
          </w:p>
        </w:tc>
      </w:tr>
    </w:tbl>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Out of these 517 Cases, charge sheets have been filed in 122 cases and 02 cases have ended in conviction.</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As per provisions of Delhi Special Police Establishment Act, 1946, cases pertaining to Union Territories can be taken up directly by CBI for investigation.</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There are 137 cases in which CBI has filed closure  reports during the last three years i.e. 2012, 2013, 2014 and current year i.e. 2015 (upto 30.06.2015). The year-wise break-up of 137 cases are as follows:</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tbl>
      <w:tblPr>
        <w:tblW w:w="9464" w:type="dxa"/>
        <w:tblCellMar>
          <w:left w:w="0" w:type="dxa"/>
          <w:right w:w="0" w:type="dxa"/>
        </w:tblCellMar>
        <w:tblLook w:val="04A0"/>
      </w:tblPr>
      <w:tblGrid>
        <w:gridCol w:w="2125"/>
        <w:gridCol w:w="1416"/>
        <w:gridCol w:w="1837"/>
        <w:gridCol w:w="2110"/>
        <w:gridCol w:w="1976"/>
      </w:tblGrid>
      <w:tr w:rsidR="00DB4BA0" w:rsidRPr="00DB4BA0" w:rsidTr="00DB4BA0">
        <w:tc>
          <w:tcPr>
            <w:tcW w:w="21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Year</w:t>
            </w:r>
          </w:p>
        </w:tc>
        <w:tc>
          <w:tcPr>
            <w:tcW w:w="32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No. of cases referred by</w:t>
            </w:r>
          </w:p>
        </w:tc>
        <w:tc>
          <w:tcPr>
            <w:tcW w:w="41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Out of column 2, No. of cases ended in closure</w:t>
            </w:r>
          </w:p>
        </w:tc>
      </w:tr>
      <w:tr w:rsidR="00DB4BA0" w:rsidRPr="00DB4BA0" w:rsidTr="00DB4BA0">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 </w:t>
            </w:r>
          </w:p>
        </w:tc>
        <w:tc>
          <w:tcPr>
            <w:tcW w:w="1367"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State Government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Constitutional Courts</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State Government</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Constitutional court</w:t>
            </w:r>
          </w:p>
        </w:tc>
      </w:tr>
      <w:tr w:rsidR="00DB4BA0" w:rsidRPr="00DB4BA0" w:rsidTr="00DB4BA0">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2012</w:t>
            </w:r>
          </w:p>
        </w:tc>
        <w:tc>
          <w:tcPr>
            <w:tcW w:w="1367"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52</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132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26</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34</w:t>
            </w:r>
          </w:p>
        </w:tc>
      </w:tr>
      <w:tr w:rsidR="00DB4BA0" w:rsidRPr="00DB4BA0" w:rsidTr="00DB4BA0">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2013</w:t>
            </w:r>
          </w:p>
        </w:tc>
        <w:tc>
          <w:tcPr>
            <w:tcW w:w="1367"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50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190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11</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45</w:t>
            </w:r>
          </w:p>
        </w:tc>
      </w:tr>
      <w:tr w:rsidR="00DB4BA0" w:rsidRPr="00DB4BA0" w:rsidTr="00DB4BA0">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2014</w:t>
            </w:r>
          </w:p>
        </w:tc>
        <w:tc>
          <w:tcPr>
            <w:tcW w:w="1367"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32</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175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06</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13</w:t>
            </w:r>
          </w:p>
        </w:tc>
      </w:tr>
      <w:tr w:rsidR="00DB4BA0" w:rsidRPr="00DB4BA0" w:rsidTr="00DB4BA0">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2015 (up to 30.06.2015)</w:t>
            </w:r>
          </w:p>
        </w:tc>
        <w:tc>
          <w:tcPr>
            <w:tcW w:w="1367"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060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00</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02</w:t>
            </w:r>
          </w:p>
        </w:tc>
      </w:tr>
      <w:tr w:rsidR="00DB4BA0" w:rsidRPr="00DB4BA0" w:rsidTr="00DB4BA0">
        <w:tc>
          <w:tcPr>
            <w:tcW w:w="21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Total</w:t>
            </w:r>
          </w:p>
        </w:tc>
        <w:tc>
          <w:tcPr>
            <w:tcW w:w="1367"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144</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557</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43</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B4BA0" w:rsidRPr="00DB4BA0" w:rsidRDefault="00DB4BA0" w:rsidP="00DB4BA0">
            <w:pPr>
              <w:spacing w:after="0" w:line="240" w:lineRule="auto"/>
              <w:rPr>
                <w:rFonts w:ascii="Calibri" w:eastAsia="Times New Roman" w:hAnsi="Calibri" w:cs="Times New Roman"/>
              </w:rPr>
            </w:pPr>
            <w:r w:rsidRPr="00DB4BA0">
              <w:rPr>
                <w:rFonts w:ascii="Times New Roman" w:eastAsia="Times New Roman" w:hAnsi="Times New Roman" w:cs="Times New Roman"/>
                <w:sz w:val="24"/>
                <w:szCs w:val="24"/>
              </w:rPr>
              <w:t>94</w:t>
            </w:r>
          </w:p>
        </w:tc>
      </w:tr>
    </w:tbl>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Out of these 701 (144+557) cases referred to CBI by the State Government and Constitutional Courts, 284 cases are under various stages of investigation.</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lastRenderedPageBreak/>
        <w:t>In order to ensure timely investigation and better conviction rate, Government has taken various measures for improving the functioning of the CBI which, inter alia, includes modernization of CBI, enhanced quality of training, upgradation of infrastructure etc.</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Besides, 86 new Additional Special Courts have been set up in various states of the country to dispose off PC Act cases expeditiously. Further, Government has also appointed competent and experienced Special Public Prosecutors and other counsels to expedite disposal of cases in courts.</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 </w:t>
      </w:r>
    </w:p>
    <w:p w:rsidR="00DB4BA0" w:rsidRPr="00DB4BA0" w:rsidRDefault="00DB4BA0" w:rsidP="00DB4BA0">
      <w:pPr>
        <w:spacing w:line="253" w:lineRule="atLeast"/>
        <w:jc w:val="both"/>
        <w:textAlignment w:val="top"/>
        <w:rPr>
          <w:rFonts w:ascii="Calibri" w:eastAsia="Times New Roman" w:hAnsi="Calibri" w:cs="Times New Roman"/>
          <w:color w:val="000000"/>
        </w:rPr>
      </w:pPr>
      <w:r w:rsidRPr="00DB4BA0">
        <w:rPr>
          <w:rFonts w:ascii="Times New Roman" w:eastAsia="Times New Roman" w:hAnsi="Times New Roman" w:cs="Times New Roman"/>
          <w:color w:val="000000"/>
          <w:sz w:val="24"/>
          <w:szCs w:val="24"/>
        </w:rPr>
        <w:t>This was stated by the Minister of State for Personnel, Public Grievances and Pensions and Minister of State in the Prime Minister’s Office Dr. Jitendra Singh in a written reply to a question by Shri Nishikant Dubey, Shri Ramdas C. Tadas, Shri Rahul Kaswan and Smt. Rama Devi in the Lok Sabha today.</w:t>
      </w:r>
    </w:p>
    <w:p w:rsidR="00E76CF7" w:rsidRDefault="00E76CF7"/>
    <w:sectPr w:rsidR="00E76CF7" w:rsidSect="00E76C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B4BA0"/>
    <w:rsid w:val="00DB4BA0"/>
    <w:rsid w:val="00E76C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C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A0"/>
  </w:style>
</w:styles>
</file>

<file path=word/webSettings.xml><?xml version="1.0" encoding="utf-8"?>
<w:webSettings xmlns:r="http://schemas.openxmlformats.org/officeDocument/2006/relationships" xmlns:w="http://schemas.openxmlformats.org/wordprocessingml/2006/main">
  <w:divs>
    <w:div w:id="138163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2015-08-06T05:16:00Z</dcterms:created>
  <dcterms:modified xsi:type="dcterms:W3CDTF">2015-08-06T05:17:00Z</dcterms:modified>
</cp:coreProperties>
</file>