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Budget identifies five objectives relating to  growth recovery, private investment, supply bottlenecks, malnutrition and governance matters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GDP growth to be 7.6 per cent (</w:t>
      </w:r>
      <w:r>
        <w:rPr>
          <w:rFonts w:ascii="Arial" w:hAnsi="Arial" w:cs="Arial"/>
          <w:color w:val="222222"/>
          <w:sz w:val="18"/>
          <w:szCs w:val="18"/>
          <w:u w:val="single"/>
        </w:rPr>
        <w:t>+</w:t>
      </w:r>
      <w:r>
        <w:rPr>
          <w:rFonts w:ascii="Arial" w:hAnsi="Arial" w:cs="Arial"/>
          <w:color w:val="222222"/>
          <w:sz w:val="18"/>
          <w:szCs w:val="18"/>
        </w:rPr>
        <w:t> 0.25 percent) during 2012-13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Amendment to the FRBM Act proposed  as part of Finance Bill.  New concepts of “Effective Revenue Deficit” and “Medium Term Expenditure Framework” introduced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Central subsidies to be kept under 2 per cent of GDP; to be further brought down to 1.75 per cent of GDP over the next 3 years.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Proposed: Mobile based fertilizer management system; LPG transparency portal; scaling up and rolling out of Aadhar enabled payment for government schemes in at least 50 districts.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Rs. 30,000 crore to be raised through disinvestment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Efforts to reach broadbased consensus on FDI in multi-brand retail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Rajiv Gandhi Equity Saving Scheme: to allow income tax deduction to retail investors on  investing in equities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Rs. 15,888 crore to be provided for capitalization of public sector banks and financial  institutions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A central  “Know Your Customer” depository to be developed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Swabhimaan: remaining habitations to be covered; to be extended to more habitations; ultra small branches to be set up in Swabhimaan habitations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Investment in 12</w:t>
      </w:r>
      <w:r>
        <w:rPr>
          <w:rFonts w:ascii="Arial" w:hAnsi="Arial" w:cs="Arial"/>
          <w:color w:val="222222"/>
          <w:sz w:val="18"/>
          <w:szCs w:val="18"/>
          <w:vertAlign w:val="superscript"/>
        </w:rPr>
        <w:t>th</w:t>
      </w:r>
      <w:r>
        <w:rPr>
          <w:rFonts w:ascii="Arial" w:hAnsi="Arial" w:cs="Arial"/>
          <w:color w:val="222222"/>
          <w:sz w:val="18"/>
          <w:szCs w:val="18"/>
        </w:rPr>
        <w:t> Plan in infrastructure to go uptoRs. 50,00,000 crore; half of this is expected from private sector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Tax Free Bonds of Rs. 60,000 crore to be allowed for financial infrastructure projects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lastRenderedPageBreak/>
        <w:t>·         Allocation of Road Transport and Highways Ministry enhanced by 14 per cent to Rs. 25,360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Financial package of Rs. 3,884 crore for waiver of loans to handloom weavers and their cooperative societies; mega handloom clusters in Andhra, Jharkhand; weaver service centres in Mizoram, Nagaland and Jharkhand ; powerloom mega cluster in Maharashtra; Rs. 500 crore pilot schemes for geo-textiles in North-Eastern region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Rs. 5,000 crore India Opportunities Venture Fund to help small enterprises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Allocation to agriculture enhanced; RKVY gets Rs. 9,217 crore; BGREI gets Rs. 1,000 crore; Rs.2242 crore project to improve dairy productivity; Rs. 500 crore for coastal aquaculture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Various other agricultural activities merged into 5 missions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Target for agricultural credit raised to Rs. 5,75,000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Interest subvention for short-term crop loans to farmers at 7 per cent interest continues; additional 3 per cent for prompt paying farmers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Rs. 200 crore for awards to incentivise agricultural research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Provisions under rural housing fund increased to Rs. 4,000 crore from Rs. 3,000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Interest subvention of 1 percent on housing loans uptoRs. 15 lakh extended for one more year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AIBP allocation raised by 13 per cent to Rs. 14,242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National Mission on Food Processing to be started in cooperation with State Governments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Scheduled Caste Sub Plan allocation increases by 18 per cent to Rs. 37,113 crore; Tribal Sub Plan by 17.6 per cent to Rs. 21,710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lastRenderedPageBreak/>
        <w:t>·         Multi-sectoralprogramme to address maternal and child malnutrition in 200 high burden districts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58 per cent rise in allocation to ICDS, at Rs. 15,850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Rural drinking water and sanitation gets 27 per cent rise in allocation to Rs. 14,000 crore; PMGSY gets 20 per cent rise to Rs. 24,000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Projects covering length of 8800 km to be awarded under NHDP against 7,300 km during 2011-12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RTE-SSA gets Rs. 25,555 crore allocation, showing an increase of 21 per cent; 6000 schools to be set up at block level as model schools in the 12</w:t>
      </w:r>
      <w:r>
        <w:rPr>
          <w:rFonts w:ascii="Arial" w:hAnsi="Arial" w:cs="Arial"/>
          <w:color w:val="222222"/>
          <w:sz w:val="18"/>
          <w:szCs w:val="18"/>
          <w:vertAlign w:val="superscript"/>
        </w:rPr>
        <w:t>th</w:t>
      </w:r>
      <w:r>
        <w:rPr>
          <w:rFonts w:ascii="Arial" w:hAnsi="Arial" w:cs="Arial"/>
          <w:color w:val="222222"/>
          <w:sz w:val="18"/>
          <w:szCs w:val="18"/>
        </w:rPr>
        <w:t> Plan; Credit Guarantee Fund to be set up for better flow of credit to students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National Urban Health Mission is being launched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34 per cent increase in allocation to National Rural Livelihood Mission, to Rs. 3915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Rs. 1000 crore allocated for National Skill Development Fund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Bharat Livelihood Foundation to be established to support livelihood interventions particularly in  tribal areas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Widow pension and disability pension raised from Rs. 200 to Rs. 300 per month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Grant on death of primary breadwinner of a BPL family in the age group 18-64 years doubled to Rs. 20,000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Defence services get Rs. 193407 crore; any further requirement to be met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4000 residential quarters to be constructed for Central Armed Police Forces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UID-Aadhar to get adequate funds for enrolment of 40 crore persons, in addition to the 20 crore persons already enrolled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White Paper on Black Money to be laid in the current session of Parliament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Tax proposals mark progress in the direction of movement towards DTC and GST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Income tax exemption limit raised from Rs.1,80,000 to Rs.2,00,000; upper limit of 20 per cent tax slab raised from Rs.8 lakh to Rs.10 lakh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Interest from savings bank accounts deductible upto Rs.10,000; deduction of upto Rs.5,000 for preventive health check-up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Senior citizens without business income exempt from advance tax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Investment linked deduction of capital expenditure enhanced for certain businesses; new sectors eligible for investment linked deduction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Turnover limit for compulsory tax audit for SMEs raised from Rs.60 lakh to Rs.1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STT on cash delivery reduced by 25 per cent to 0.1%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General Anti Avoidance Rule being introduced to counter aggressive tax avoidance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A number of measures proposed to deter generation and use of unaccounted money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All services to attract service tax except those in the negative list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Central Excise and Service Tax being harmonized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Standard rate of excise duty raised from 10 per cent to 12 per cent; service tax rates raised from 10 per cent to 12 per cent; no change in peak customs duty of 10 per cent on non-agricultural goods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lastRenderedPageBreak/>
        <w:t>·         Relief in indirect taxes to sectors under stress; agriculture, infrastructure, mining, railways, roads, civil aviation, manufacturing, health and nutrition, and environment get duty relief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Certain cigarettes and bidis attract higher excise duty; large cars attract higher customs duty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Excise imposed on unbranded jewellery also; measures to minimize impact on small artisans  and goldsmiths; branded silver jewellery exempted from excise duty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Net gain of Rs.41,440 crore due to taxation proposals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Total expenditure budgeted at Rs. 14,90,925 crore; plan expenditure at Rs. 5,21,025 crore – 18 per cent higher than 2011-12 budget; non plan expenditure at Rs. 9,69,900 crore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Fiscal deficit targeted at 5.1 per cent of GDP, as against 5.9 per cent in revised estimates for 2011-12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Central Government debt at 45.5 per cent of GDP as compared to Thirteenth Finance Commission target of 50.5 per cent</w:t>
      </w: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p w:rsidR="00501F82" w:rsidRDefault="00501F82" w:rsidP="00501F8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  Medium-term Expenditure Framework Statement to be  introduced; will set forth 3-year rolling target for expenditure indicators</w:t>
      </w:r>
    </w:p>
    <w:p w:rsidR="00FB09C6" w:rsidRDefault="00FB09C6"/>
    <w:sectPr w:rsidR="00FB09C6" w:rsidSect="00FB0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01F82"/>
    <w:rsid w:val="00501F82"/>
    <w:rsid w:val="00FB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IMPL_1</dc:creator>
  <cp:lastModifiedBy>IMPL_1</cp:lastModifiedBy>
  <cp:revision>1</cp:revision>
  <dcterms:created xsi:type="dcterms:W3CDTF">2012-03-16T08:27:00Z</dcterms:created>
  <dcterms:modified xsi:type="dcterms:W3CDTF">2012-03-16T08:28:00Z</dcterms:modified>
</cp:coreProperties>
</file>