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63BC7" w:rsidP="0082717E">
      <w:pPr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ab/>
        <w:t>2011  KCCR  2011 -  2898</w:t>
      </w:r>
    </w:p>
    <w:p w:rsidR="00E63BC7" w:rsidRDefault="00E63BC7" w:rsidP="0082717E">
      <w:pPr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TP ACT : sec. 106 &amp; 108 – Sub Tenent claiming under the tenance – Whether such sub tenant is entittled to Notice u/s 106 of the Act – Held, No. </w:t>
      </w:r>
    </w:p>
    <w:p w:rsidR="00E63BC7" w:rsidRDefault="00E63BC7" w:rsidP="0082717E">
      <w:pPr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TERMINATION OF TENANCY :</w:t>
      </w:r>
    </w:p>
    <w:p w:rsidR="00E63BC7" w:rsidRPr="00E63BC7" w:rsidRDefault="00E63BC7" w:rsidP="0082717E">
      <w:pPr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No written agreement for lease-Whether such lease could be terminated by issue of notice u/s 106 of the Act. Held, yes. Such a tenancy is deemed as a tenancy from month to month and coube terminated.</w:t>
      </w:r>
    </w:p>
    <w:sectPr w:rsidR="00E63BC7" w:rsidRPr="00E63B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bel">
    <w:panose1 w:val="020B0503020204020204"/>
    <w:charset w:val="00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efaultTabStop w:val="720"/>
  <w:characterSpacingControl w:val="doNotCompress"/>
  <w:compat>
    <w:useFELayout/>
  </w:compat>
  <w:rsids>
    <w:rsidRoot w:val="00E63BC7"/>
    <w:rsid w:val="0082717E"/>
    <w:rsid w:val="00E63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login</dc:creator>
  <cp:keywords/>
  <dc:description/>
  <cp:lastModifiedBy>login</cp:lastModifiedBy>
  <cp:revision>4</cp:revision>
  <dcterms:created xsi:type="dcterms:W3CDTF">2011-12-22T06:44:00Z</dcterms:created>
  <dcterms:modified xsi:type="dcterms:W3CDTF">2011-12-22T06:46:00Z</dcterms:modified>
</cp:coreProperties>
</file>