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6446D">
      <w:pPr>
        <w:rPr>
          <w:rFonts w:ascii="Candara" w:hAnsi="Candara"/>
        </w:rPr>
      </w:pPr>
      <w:r>
        <w:rPr>
          <w:rFonts w:ascii="Candara" w:hAnsi="Candara"/>
        </w:rPr>
        <w:t>2011(4) KCCR Short Notes 444</w:t>
      </w:r>
    </w:p>
    <w:p w:rsidR="00C6446D" w:rsidRDefault="00C6446D">
      <w:pPr>
        <w:rPr>
          <w:rFonts w:ascii="Candara" w:hAnsi="Candara"/>
        </w:rPr>
      </w:pPr>
      <w:r>
        <w:rPr>
          <w:rFonts w:ascii="Candara" w:hAnsi="Candara"/>
        </w:rPr>
        <w:t>Karnataka High Court</w:t>
      </w:r>
    </w:p>
    <w:p w:rsidR="00C6446D" w:rsidRDefault="00C6446D">
      <w:pPr>
        <w:rPr>
          <w:rFonts w:ascii="Candara" w:hAnsi="Candara"/>
        </w:rPr>
      </w:pPr>
      <w:r>
        <w:rPr>
          <w:rFonts w:ascii="Candara" w:hAnsi="Candara"/>
        </w:rPr>
        <w:t>Circuit Bench At Dharwad.</w:t>
      </w:r>
    </w:p>
    <w:p w:rsidR="00C6446D" w:rsidRDefault="00C6446D" w:rsidP="00C6446D">
      <w:pPr>
        <w:pStyle w:val="ListParagraph"/>
        <w:numPr>
          <w:ilvl w:val="0"/>
          <w:numId w:val="1"/>
        </w:numPr>
        <w:rPr>
          <w:rFonts w:ascii="Candara" w:hAnsi="Candara"/>
        </w:rPr>
      </w:pPr>
      <w:r>
        <w:rPr>
          <w:rFonts w:ascii="Candara" w:hAnsi="Candara"/>
        </w:rPr>
        <w:t xml:space="preserve">NEGOTIABLE INSTRUMENTS ACT, 1881 – Sec. 138 </w:t>
      </w:r>
    </w:p>
    <w:p w:rsidR="00C6446D" w:rsidRPr="006F73E7" w:rsidRDefault="00C6446D" w:rsidP="00C6446D">
      <w:pPr>
        <w:pStyle w:val="ListParagraph"/>
        <w:rPr>
          <w:rFonts w:ascii="Candara" w:hAnsi="Candara"/>
          <w:b/>
        </w:rPr>
      </w:pPr>
      <w:r w:rsidRPr="006F73E7">
        <w:rPr>
          <w:rFonts w:ascii="Candara" w:hAnsi="Candara"/>
          <w:b/>
        </w:rPr>
        <w:t>Sec: 138 Prosecution by Power-of-Attorney holder- Permissibility-Attorney filing complaint on behalf of payee-Court proceeding to record his sworn statement and issuing process- Impermissible in absence of permission of Court</w:t>
      </w:r>
      <w:r w:rsidR="006F73E7" w:rsidRPr="006F73E7">
        <w:rPr>
          <w:rFonts w:ascii="Candara" w:hAnsi="Candara"/>
          <w:b/>
        </w:rPr>
        <w:t>.</w:t>
      </w:r>
    </w:p>
    <w:p w:rsidR="006F73E7" w:rsidRDefault="006F73E7" w:rsidP="00C6446D">
      <w:pPr>
        <w:pStyle w:val="ListParagraph"/>
        <w:rPr>
          <w:rFonts w:ascii="Candara" w:hAnsi="Candara"/>
        </w:rPr>
      </w:pPr>
      <w:r>
        <w:rPr>
          <w:rFonts w:ascii="Candara" w:hAnsi="Candara"/>
        </w:rPr>
        <w:t xml:space="preserve">        The Power of attorney holder himself has presented the case, he has stepped into the witness-box, given sworn statement and on the basis of the same, process has been issued as against the petitioner herein.  The presentation of the complaint is by PA.  It is only on presentation of the complaint, permission will have to be sought under sec., 302 of the Code to prosecute the cse as the presentation of the complaint cannot be held to be bad in law.  The complainant can make an application seeking permission to authorise his representative or power of attorney holder to prosecute the complaint after presentation of the complaint presented either by himself personally or through his agent and if such permission is refused he can opt to prosecute the csse personally in his individual capactiy as such presentation of complaint by agent or power of attorney does not vitiate the proceedings.  But in the present case granting liberty to the complainant to seek permission to prosecue the case through PA or to opt to prosecute the case personally would not serve any purpose.  Since offence under sec., 138 of NI Act is punishable with two years imprisonment and as such cognizance will have to be taken within three years which period cannot be extended condoning the delay in taking cognizance.</w:t>
      </w:r>
    </w:p>
    <w:p w:rsidR="00C6446D" w:rsidRPr="00340F29" w:rsidRDefault="00340F29" w:rsidP="00C6446D">
      <w:pPr>
        <w:pStyle w:val="ListParagraph"/>
        <w:numPr>
          <w:ilvl w:val="0"/>
          <w:numId w:val="1"/>
        </w:numPr>
        <w:rPr>
          <w:rFonts w:ascii="Candara" w:hAnsi="Candara"/>
          <w:b/>
        </w:rPr>
      </w:pPr>
      <w:r w:rsidRPr="00340F29">
        <w:rPr>
          <w:rFonts w:ascii="Candara" w:hAnsi="Candara"/>
          <w:b/>
        </w:rPr>
        <w:t>Cr</w:t>
      </w:r>
      <w:r w:rsidR="006F73E7" w:rsidRPr="00340F29">
        <w:rPr>
          <w:rFonts w:ascii="Candara" w:hAnsi="Candara"/>
          <w:b/>
        </w:rPr>
        <w:t>.P.C. SEC: 302  Prosecution by PA holder-Dishonour of Cheque complaint by attorney-Court proceeding to record sworn statement of attorney and issuing process-Impropoer in absence of permission under.</w:t>
      </w:r>
    </w:p>
    <w:sectPr w:rsidR="00C6446D" w:rsidRPr="00340F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D46A8"/>
    <w:multiLevelType w:val="hybridMultilevel"/>
    <w:tmpl w:val="63AAD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6446D"/>
    <w:rsid w:val="00340F29"/>
    <w:rsid w:val="006F73E7"/>
    <w:rsid w:val="00C64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4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4</cp:revision>
  <dcterms:created xsi:type="dcterms:W3CDTF">2011-12-12T16:51:00Z</dcterms:created>
  <dcterms:modified xsi:type="dcterms:W3CDTF">2011-12-12T17:01:00Z</dcterms:modified>
</cp:coreProperties>
</file>