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94E" w:rsidRDefault="00E9594E" w:rsidP="00E96E26">
      <w:pPr>
        <w:pStyle w:val="NormalWeb"/>
        <w:spacing w:before="0" w:beforeAutospacing="0" w:after="80" w:afterAutospacing="0"/>
        <w:jc w:val="center"/>
        <w:rPr>
          <w:color w:val="000000"/>
          <w:sz w:val="20"/>
          <w:szCs w:val="20"/>
          <w:shd w:val="clear" w:color="auto" w:fill="FFFFFF"/>
        </w:rPr>
      </w:pPr>
      <w:r>
        <w:rPr>
          <w:color w:val="000000"/>
          <w:sz w:val="20"/>
          <w:szCs w:val="20"/>
          <w:shd w:val="clear" w:color="auto" w:fill="FFFFFF"/>
        </w:rPr>
        <w:t>International court of justice:</w:t>
      </w:r>
    </w:p>
    <w:p w:rsidR="00405015"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The Court is the principal judicial organ of the United Nations.  It was established by the United Nations Charter, signed in 1945 at San Francisco (United States), and began work in 1946 in the Peace Palace, The Hague (Netherlands).</w:t>
      </w:r>
    </w:p>
    <w:p w:rsidR="00E9594E" w:rsidRPr="00E9594E" w:rsidRDefault="00E9594E" w:rsidP="00E9594E">
      <w:pPr>
        <w:pStyle w:val="NormalWeb"/>
        <w:spacing w:before="0" w:beforeAutospacing="0" w:after="80" w:afterAutospacing="0"/>
        <w:jc w:val="both"/>
        <w:rPr>
          <w:color w:val="000000"/>
          <w:sz w:val="20"/>
          <w:szCs w:val="20"/>
          <w:shd w:val="clear" w:color="auto" w:fill="FFFFFF"/>
        </w:rPr>
      </w:pP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The Court, which is composed of 15 judges, has a dual role:  in accordance with international law, settling legal disputes between States submitted to it by them and giving advisory opinions on legal matters referred to it by duly authorized United Nations organs and specialized agencies.</w:t>
      </w:r>
    </w:p>
    <w:p w:rsidR="00E9594E" w:rsidRDefault="00E9594E" w:rsidP="00E9594E">
      <w:pPr>
        <w:pStyle w:val="NormalWeb"/>
        <w:spacing w:before="0" w:beforeAutospacing="0" w:after="80" w:afterAutospacing="0"/>
        <w:jc w:val="both"/>
        <w:rPr>
          <w:color w:val="000000"/>
          <w:sz w:val="20"/>
          <w:szCs w:val="20"/>
          <w:shd w:val="clear" w:color="auto" w:fill="FFFFFF"/>
        </w:rPr>
      </w:pP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The official languages of the Court are English and French.</w:t>
      </w:r>
    </w:p>
    <w:p w:rsidR="00E9594E" w:rsidRDefault="00E9594E" w:rsidP="00E9594E">
      <w:pPr>
        <w:pStyle w:val="NormalWeb"/>
        <w:spacing w:before="0" w:beforeAutospacing="0" w:after="80" w:afterAutospacing="0"/>
        <w:jc w:val="both"/>
        <w:rPr>
          <w:color w:val="000000"/>
          <w:sz w:val="20"/>
          <w:szCs w:val="20"/>
          <w:shd w:val="clear" w:color="auto" w:fill="FFFFFF"/>
        </w:rPr>
      </w:pP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Only States are eligible to appear before the Court in contentious cases.  At present, this basically means the 192 United Nations Member States. </w:t>
      </w:r>
    </w:p>
    <w:p w:rsidR="00E9594E" w:rsidRDefault="00E9594E" w:rsidP="00E9594E">
      <w:pPr>
        <w:pStyle w:val="NormalWeb"/>
        <w:spacing w:before="0" w:beforeAutospacing="0" w:after="80" w:afterAutospacing="0"/>
        <w:jc w:val="both"/>
        <w:rPr>
          <w:color w:val="000000"/>
          <w:sz w:val="20"/>
          <w:szCs w:val="20"/>
          <w:shd w:val="clear" w:color="auto" w:fill="FFFFFF"/>
        </w:rPr>
      </w:pP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 xml:space="preserve">The Court has no jurisdiction to deal with applications from individuals, non-governmental organizations, corporations or any other private entity.  It cannot provide them with legal </w:t>
      </w:r>
      <w:proofErr w:type="spellStart"/>
      <w:r w:rsidRPr="00E9594E">
        <w:rPr>
          <w:color w:val="000000"/>
          <w:sz w:val="20"/>
          <w:szCs w:val="20"/>
          <w:shd w:val="clear" w:color="auto" w:fill="FFFFFF"/>
        </w:rPr>
        <w:t>counselling</w:t>
      </w:r>
      <w:proofErr w:type="spellEnd"/>
      <w:r w:rsidRPr="00E9594E">
        <w:rPr>
          <w:color w:val="000000"/>
          <w:sz w:val="20"/>
          <w:szCs w:val="20"/>
          <w:shd w:val="clear" w:color="auto" w:fill="FFFFFF"/>
        </w:rPr>
        <w:t xml:space="preserve"> or help them in their dealings with the authorities of any State whatever.</w:t>
      </w: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However, a State may take up the case of one of its nationals and invoke against another State the wrongs which its national claims to have suffered at the hands of the latter;</w:t>
      </w:r>
      <w:proofErr w:type="gramStart"/>
      <w:r w:rsidRPr="00E9594E">
        <w:rPr>
          <w:color w:val="000000"/>
          <w:sz w:val="20"/>
          <w:szCs w:val="20"/>
          <w:shd w:val="clear" w:color="auto" w:fill="FFFFFF"/>
        </w:rPr>
        <w:t>  the</w:t>
      </w:r>
      <w:proofErr w:type="gramEnd"/>
      <w:r w:rsidRPr="00E9594E">
        <w:rPr>
          <w:color w:val="000000"/>
          <w:sz w:val="20"/>
          <w:szCs w:val="20"/>
          <w:shd w:val="clear" w:color="auto" w:fill="FFFFFF"/>
        </w:rPr>
        <w:t xml:space="preserve"> dispute then becomes one between States.</w:t>
      </w:r>
    </w:p>
    <w:p w:rsidR="00E9594E" w:rsidRDefault="00E9594E" w:rsidP="00E9594E">
      <w:pPr>
        <w:pStyle w:val="NormalWeb"/>
        <w:spacing w:before="0" w:beforeAutospacing="0" w:after="80" w:afterAutospacing="0"/>
        <w:jc w:val="both"/>
        <w:rPr>
          <w:color w:val="000000"/>
          <w:sz w:val="20"/>
          <w:szCs w:val="20"/>
          <w:shd w:val="clear" w:color="auto" w:fill="FFFFFF"/>
        </w:rPr>
      </w:pP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The International Court of Justice has no jurisdiction to try individuals accused of war crimes or crimes against humanity.  As it is not a criminal court, it does not have a prosecutor able to initiate proceedings.</w:t>
      </w:r>
    </w:p>
    <w:p w:rsidR="00405015" w:rsidRPr="00E9594E" w:rsidRDefault="00405015" w:rsidP="00E9594E">
      <w:pPr>
        <w:pStyle w:val="NormalWeb"/>
        <w:spacing w:before="0" w:beforeAutospacing="0" w:after="0" w:afterAutospacing="0"/>
        <w:jc w:val="both"/>
        <w:rPr>
          <w:color w:val="000000" w:themeColor="text1"/>
          <w:sz w:val="20"/>
          <w:szCs w:val="20"/>
          <w:shd w:val="clear" w:color="auto" w:fill="FFFFFF"/>
        </w:rPr>
      </w:pPr>
      <w:r w:rsidRPr="00E9594E">
        <w:rPr>
          <w:color w:val="000000" w:themeColor="text1"/>
          <w:sz w:val="20"/>
          <w:szCs w:val="20"/>
          <w:shd w:val="clear" w:color="auto" w:fill="FFFFFF"/>
        </w:rPr>
        <w:t>This task is the preserve of national courts, the</w:t>
      </w:r>
      <w:r w:rsidRPr="00E9594E">
        <w:rPr>
          <w:rStyle w:val="apple-converted-space"/>
          <w:color w:val="000000" w:themeColor="text1"/>
          <w:sz w:val="20"/>
          <w:szCs w:val="20"/>
          <w:shd w:val="clear" w:color="auto" w:fill="FFFFFF"/>
        </w:rPr>
        <w:t> </w:t>
      </w:r>
      <w:r w:rsidRPr="00E9594E">
        <w:rPr>
          <w:i/>
          <w:iCs/>
          <w:color w:val="000000" w:themeColor="text1"/>
          <w:sz w:val="20"/>
          <w:szCs w:val="20"/>
          <w:shd w:val="clear" w:color="auto" w:fill="FFFFFF"/>
        </w:rPr>
        <w:t>ad hoc</w:t>
      </w:r>
      <w:r w:rsidRPr="00E9594E">
        <w:rPr>
          <w:rStyle w:val="apple-converted-space"/>
          <w:color w:val="000000" w:themeColor="text1"/>
          <w:sz w:val="20"/>
          <w:szCs w:val="20"/>
          <w:shd w:val="clear" w:color="auto" w:fill="FFFFFF"/>
        </w:rPr>
        <w:t> </w:t>
      </w:r>
      <w:r w:rsidRPr="00E9594E">
        <w:rPr>
          <w:color w:val="000000" w:themeColor="text1"/>
          <w:sz w:val="20"/>
          <w:szCs w:val="20"/>
          <w:shd w:val="clear" w:color="auto" w:fill="FFFFFF"/>
        </w:rPr>
        <w:t>criminal tribunals established by the United Nations (such as the</w:t>
      </w:r>
      <w:r w:rsidRPr="00E9594E">
        <w:rPr>
          <w:rStyle w:val="apple-converted-space"/>
          <w:color w:val="000000" w:themeColor="text1"/>
          <w:sz w:val="20"/>
          <w:szCs w:val="20"/>
          <w:shd w:val="clear" w:color="auto" w:fill="FFFFFF"/>
        </w:rPr>
        <w:t> </w:t>
      </w:r>
      <w:hyperlink r:id="rId4" w:tgtFrame="_blank" w:history="1">
        <w:r w:rsidRPr="00E9594E">
          <w:rPr>
            <w:rStyle w:val="Hyperlink"/>
            <w:color w:val="000000" w:themeColor="text1"/>
            <w:sz w:val="20"/>
            <w:szCs w:val="20"/>
            <w:u w:val="none"/>
            <w:bdr w:val="none" w:sz="0" w:space="0" w:color="auto" w:frame="1"/>
            <w:shd w:val="clear" w:color="auto" w:fill="FFFFFF"/>
          </w:rPr>
          <w:t>International Criminal Tribunal for the former Yugoslavia</w:t>
        </w:r>
      </w:hyperlink>
      <w:r w:rsidRPr="00E9594E">
        <w:rPr>
          <w:rStyle w:val="apple-converted-space"/>
          <w:color w:val="000000" w:themeColor="text1"/>
          <w:sz w:val="20"/>
          <w:szCs w:val="20"/>
          <w:shd w:val="clear" w:color="auto" w:fill="FFFFFF"/>
        </w:rPr>
        <w:t> </w:t>
      </w:r>
      <w:r w:rsidRPr="00E9594E">
        <w:rPr>
          <w:color w:val="000000" w:themeColor="text1"/>
          <w:sz w:val="20"/>
          <w:szCs w:val="20"/>
          <w:shd w:val="clear" w:color="auto" w:fill="FFFFFF"/>
        </w:rPr>
        <w:t>(ICTY) and the</w:t>
      </w:r>
      <w:r w:rsidRPr="00E9594E">
        <w:rPr>
          <w:rStyle w:val="apple-converted-space"/>
          <w:color w:val="000000" w:themeColor="text1"/>
          <w:sz w:val="20"/>
          <w:szCs w:val="20"/>
          <w:shd w:val="clear" w:color="auto" w:fill="FFFFFF"/>
        </w:rPr>
        <w:t> </w:t>
      </w:r>
      <w:hyperlink r:id="rId5" w:tgtFrame="_blank" w:history="1">
        <w:r w:rsidRPr="00E9594E">
          <w:rPr>
            <w:rStyle w:val="Hyperlink"/>
            <w:color w:val="000000" w:themeColor="text1"/>
            <w:sz w:val="20"/>
            <w:szCs w:val="20"/>
            <w:u w:val="none"/>
            <w:bdr w:val="none" w:sz="0" w:space="0" w:color="auto" w:frame="1"/>
            <w:shd w:val="clear" w:color="auto" w:fill="FFFFFF"/>
          </w:rPr>
          <w:t>International Criminal Tribunal for Rwanda</w:t>
        </w:r>
      </w:hyperlink>
      <w:r w:rsidRPr="00E9594E">
        <w:rPr>
          <w:rStyle w:val="apple-converted-space"/>
          <w:color w:val="000000" w:themeColor="text1"/>
          <w:sz w:val="20"/>
          <w:szCs w:val="20"/>
          <w:shd w:val="clear" w:color="auto" w:fill="FFFFFF"/>
        </w:rPr>
        <w:t> </w:t>
      </w:r>
      <w:r w:rsidRPr="00E9594E">
        <w:rPr>
          <w:color w:val="000000" w:themeColor="text1"/>
          <w:sz w:val="20"/>
          <w:szCs w:val="20"/>
          <w:shd w:val="clear" w:color="auto" w:fill="FFFFFF"/>
        </w:rPr>
        <w:t xml:space="preserve">(ICTR)) or in co-operation with it (such as </w:t>
      </w:r>
      <w:proofErr w:type="spellStart"/>
      <w:r w:rsidRPr="00E9594E">
        <w:rPr>
          <w:color w:val="000000" w:themeColor="text1"/>
          <w:sz w:val="20"/>
          <w:szCs w:val="20"/>
          <w:shd w:val="clear" w:color="auto" w:fill="FFFFFF"/>
        </w:rPr>
        <w:t>the</w:t>
      </w:r>
      <w:hyperlink r:id="rId6" w:tgtFrame="_blank" w:history="1">
        <w:r w:rsidRPr="00E9594E">
          <w:rPr>
            <w:rStyle w:val="Hyperlink"/>
            <w:color w:val="000000" w:themeColor="text1"/>
            <w:sz w:val="20"/>
            <w:szCs w:val="20"/>
            <w:u w:val="none"/>
            <w:bdr w:val="none" w:sz="0" w:space="0" w:color="auto" w:frame="1"/>
            <w:shd w:val="clear" w:color="auto" w:fill="FFFFFF"/>
          </w:rPr>
          <w:t>Special</w:t>
        </w:r>
        <w:proofErr w:type="spellEnd"/>
        <w:r w:rsidRPr="00E9594E">
          <w:rPr>
            <w:rStyle w:val="Hyperlink"/>
            <w:color w:val="000000" w:themeColor="text1"/>
            <w:sz w:val="20"/>
            <w:szCs w:val="20"/>
            <w:u w:val="none"/>
            <w:bdr w:val="none" w:sz="0" w:space="0" w:color="auto" w:frame="1"/>
            <w:shd w:val="clear" w:color="auto" w:fill="FFFFFF"/>
          </w:rPr>
          <w:t xml:space="preserve"> Court for Sierra Leone</w:t>
        </w:r>
      </w:hyperlink>
      <w:r w:rsidRPr="00E9594E">
        <w:rPr>
          <w:color w:val="000000" w:themeColor="text1"/>
          <w:sz w:val="20"/>
          <w:szCs w:val="20"/>
          <w:shd w:val="clear" w:color="auto" w:fill="FFFFFF"/>
        </w:rPr>
        <w:t>)), and also of the</w:t>
      </w:r>
      <w:r w:rsidRPr="00E9594E">
        <w:rPr>
          <w:rStyle w:val="apple-converted-space"/>
          <w:color w:val="000000" w:themeColor="text1"/>
          <w:sz w:val="20"/>
          <w:szCs w:val="20"/>
          <w:shd w:val="clear" w:color="auto" w:fill="FFFFFF"/>
        </w:rPr>
        <w:t> </w:t>
      </w:r>
      <w:hyperlink r:id="rId7" w:tgtFrame="_blank" w:history="1">
        <w:r w:rsidRPr="00E9594E">
          <w:rPr>
            <w:rStyle w:val="Hyperlink"/>
            <w:color w:val="000000" w:themeColor="text1"/>
            <w:sz w:val="20"/>
            <w:szCs w:val="20"/>
            <w:u w:val="none"/>
            <w:bdr w:val="none" w:sz="0" w:space="0" w:color="auto" w:frame="1"/>
            <w:shd w:val="clear" w:color="auto" w:fill="FFFFFF"/>
          </w:rPr>
          <w:t>International Criminal Court</w:t>
        </w:r>
      </w:hyperlink>
      <w:r w:rsidRPr="00E9594E">
        <w:rPr>
          <w:color w:val="000000" w:themeColor="text1"/>
          <w:sz w:val="20"/>
          <w:szCs w:val="20"/>
          <w:shd w:val="clear" w:color="auto" w:fill="FFFFFF"/>
        </w:rPr>
        <w:t>, set up under the Rome Statute.</w:t>
      </w:r>
    </w:p>
    <w:p w:rsidR="00915E4E" w:rsidRDefault="00915E4E" w:rsidP="00E9594E">
      <w:pPr>
        <w:pStyle w:val="NormalWeb"/>
        <w:spacing w:before="0" w:beforeAutospacing="0" w:after="0" w:afterAutospacing="0"/>
        <w:jc w:val="both"/>
        <w:rPr>
          <w:color w:val="000000" w:themeColor="text1"/>
          <w:sz w:val="20"/>
          <w:szCs w:val="20"/>
          <w:shd w:val="clear" w:color="auto" w:fill="FFFFFF"/>
        </w:rPr>
      </w:pPr>
    </w:p>
    <w:p w:rsidR="00405015" w:rsidRPr="00E9594E" w:rsidRDefault="00405015" w:rsidP="00E9594E">
      <w:pPr>
        <w:pStyle w:val="NormalWeb"/>
        <w:spacing w:before="0" w:beforeAutospacing="0" w:after="0" w:afterAutospacing="0"/>
        <w:jc w:val="both"/>
        <w:rPr>
          <w:color w:val="000000" w:themeColor="text1"/>
          <w:sz w:val="20"/>
          <w:szCs w:val="20"/>
          <w:shd w:val="clear" w:color="auto" w:fill="FFFFFF"/>
        </w:rPr>
      </w:pPr>
      <w:r w:rsidRPr="00E9594E">
        <w:rPr>
          <w:color w:val="000000" w:themeColor="text1"/>
          <w:sz w:val="20"/>
          <w:szCs w:val="20"/>
          <w:shd w:val="clear" w:color="auto" w:fill="FFFFFF"/>
        </w:rPr>
        <w:t>The International Court of Justice differs from the</w:t>
      </w:r>
      <w:r w:rsidRPr="00E9594E">
        <w:rPr>
          <w:rStyle w:val="apple-converted-space"/>
          <w:color w:val="000000" w:themeColor="text1"/>
          <w:sz w:val="20"/>
          <w:szCs w:val="20"/>
          <w:shd w:val="clear" w:color="auto" w:fill="FFFFFF"/>
        </w:rPr>
        <w:t> </w:t>
      </w:r>
      <w:hyperlink r:id="rId8" w:tgtFrame="_blank" w:history="1">
        <w:r w:rsidRPr="00E9594E">
          <w:rPr>
            <w:rStyle w:val="Hyperlink"/>
            <w:color w:val="000000" w:themeColor="text1"/>
            <w:sz w:val="20"/>
            <w:szCs w:val="20"/>
            <w:u w:val="none"/>
            <w:bdr w:val="none" w:sz="0" w:space="0" w:color="auto" w:frame="1"/>
            <w:shd w:val="clear" w:color="auto" w:fill="FFFFFF"/>
          </w:rPr>
          <w:t>European Court of Justice</w:t>
        </w:r>
      </w:hyperlink>
      <w:r w:rsidRPr="00E9594E">
        <w:rPr>
          <w:rStyle w:val="apple-converted-space"/>
          <w:color w:val="000000" w:themeColor="text1"/>
          <w:sz w:val="20"/>
          <w:szCs w:val="20"/>
          <w:shd w:val="clear" w:color="auto" w:fill="FFFFFF"/>
        </w:rPr>
        <w:t> </w:t>
      </w:r>
      <w:r w:rsidRPr="00E9594E">
        <w:rPr>
          <w:color w:val="000000" w:themeColor="text1"/>
          <w:sz w:val="20"/>
          <w:szCs w:val="20"/>
          <w:shd w:val="clear" w:color="auto" w:fill="FFFFFF"/>
        </w:rPr>
        <w:t>(the seat of which is in Luxembourg), whose role is to interpret European Community legislation uniformly and rule on its validity, as well as from the</w:t>
      </w:r>
      <w:r w:rsidRPr="00E9594E">
        <w:rPr>
          <w:rStyle w:val="apple-converted-space"/>
          <w:color w:val="000000" w:themeColor="text1"/>
          <w:sz w:val="20"/>
          <w:szCs w:val="20"/>
          <w:shd w:val="clear" w:color="auto" w:fill="FFFFFF"/>
        </w:rPr>
        <w:t> </w:t>
      </w:r>
      <w:hyperlink r:id="rId9" w:tgtFrame="_blank" w:history="1">
        <w:r w:rsidRPr="00E9594E">
          <w:rPr>
            <w:rStyle w:val="Hyperlink"/>
            <w:color w:val="000000" w:themeColor="text1"/>
            <w:sz w:val="20"/>
            <w:szCs w:val="20"/>
            <w:u w:val="none"/>
            <w:bdr w:val="none" w:sz="0" w:space="0" w:color="auto" w:frame="1"/>
            <w:shd w:val="clear" w:color="auto" w:fill="FFFFFF"/>
          </w:rPr>
          <w:t>European Court of Human Rights</w:t>
        </w:r>
      </w:hyperlink>
      <w:r w:rsidRPr="00E9594E">
        <w:rPr>
          <w:rStyle w:val="apple-converted-space"/>
          <w:color w:val="000000" w:themeColor="text1"/>
          <w:sz w:val="20"/>
          <w:szCs w:val="20"/>
          <w:shd w:val="clear" w:color="auto" w:fill="FFFFFF"/>
        </w:rPr>
        <w:t> </w:t>
      </w:r>
      <w:r w:rsidRPr="00E9594E">
        <w:rPr>
          <w:color w:val="000000" w:themeColor="text1"/>
          <w:sz w:val="20"/>
          <w:szCs w:val="20"/>
          <w:shd w:val="clear" w:color="auto" w:fill="FFFFFF"/>
        </w:rPr>
        <w:t>(in Strasbourg, France) and the</w:t>
      </w:r>
      <w:r w:rsidRPr="00E9594E">
        <w:rPr>
          <w:rStyle w:val="apple-converted-space"/>
          <w:color w:val="000000" w:themeColor="text1"/>
          <w:sz w:val="20"/>
          <w:szCs w:val="20"/>
          <w:shd w:val="clear" w:color="auto" w:fill="FFFFFF"/>
        </w:rPr>
        <w:t> </w:t>
      </w:r>
      <w:hyperlink r:id="rId10" w:tgtFrame="_blank" w:history="1">
        <w:r w:rsidRPr="00E9594E">
          <w:rPr>
            <w:rStyle w:val="Hyperlink"/>
            <w:color w:val="000000" w:themeColor="text1"/>
            <w:sz w:val="20"/>
            <w:szCs w:val="20"/>
            <w:u w:val="none"/>
            <w:bdr w:val="none" w:sz="0" w:space="0" w:color="auto" w:frame="1"/>
            <w:shd w:val="clear" w:color="auto" w:fill="FFFFFF"/>
          </w:rPr>
          <w:t>Inter-American Court of Human Rights</w:t>
        </w:r>
      </w:hyperlink>
      <w:r w:rsidRPr="00E9594E">
        <w:rPr>
          <w:rStyle w:val="apple-converted-space"/>
          <w:color w:val="000000" w:themeColor="text1"/>
          <w:sz w:val="20"/>
          <w:szCs w:val="20"/>
          <w:shd w:val="clear" w:color="auto" w:fill="FFFFFF"/>
        </w:rPr>
        <w:t> </w:t>
      </w:r>
      <w:r w:rsidRPr="00E9594E">
        <w:rPr>
          <w:color w:val="000000" w:themeColor="text1"/>
          <w:sz w:val="20"/>
          <w:szCs w:val="20"/>
          <w:shd w:val="clear" w:color="auto" w:fill="FFFFFF"/>
        </w:rPr>
        <w:t>(in San José, Costa Rica), which deal with allegations of violations of the human rights conventions under which they were set up.  As well as applications from States, those three courts can entertain applications from individuals, which is not possible for the International Court of Justice.</w:t>
      </w:r>
    </w:p>
    <w:p w:rsidR="00915E4E" w:rsidRDefault="00915E4E" w:rsidP="00E9594E">
      <w:pPr>
        <w:pStyle w:val="NormalWeb"/>
        <w:spacing w:before="0" w:beforeAutospacing="0" w:after="0" w:afterAutospacing="0"/>
        <w:jc w:val="both"/>
        <w:rPr>
          <w:color w:val="000000" w:themeColor="text1"/>
          <w:sz w:val="20"/>
          <w:szCs w:val="20"/>
          <w:shd w:val="clear" w:color="auto" w:fill="FFFFFF"/>
        </w:rPr>
      </w:pPr>
    </w:p>
    <w:p w:rsidR="00405015" w:rsidRPr="00E9594E" w:rsidRDefault="00405015" w:rsidP="00E9594E">
      <w:pPr>
        <w:pStyle w:val="NormalWeb"/>
        <w:spacing w:before="0" w:beforeAutospacing="0" w:after="0" w:afterAutospacing="0"/>
        <w:jc w:val="both"/>
        <w:rPr>
          <w:color w:val="000000" w:themeColor="text1"/>
          <w:sz w:val="20"/>
          <w:szCs w:val="20"/>
          <w:shd w:val="clear" w:color="auto" w:fill="FFFFFF"/>
        </w:rPr>
      </w:pPr>
      <w:r w:rsidRPr="00E9594E">
        <w:rPr>
          <w:color w:val="000000" w:themeColor="text1"/>
          <w:sz w:val="20"/>
          <w:szCs w:val="20"/>
          <w:shd w:val="clear" w:color="auto" w:fill="FFFFFF"/>
        </w:rPr>
        <w:t>The jurisdiction of the International Court of Justice is general and thereby differs from that of specialist international tribunals, such as the</w:t>
      </w:r>
      <w:r w:rsidR="00915E4E">
        <w:rPr>
          <w:color w:val="000000" w:themeColor="text1"/>
          <w:sz w:val="20"/>
          <w:szCs w:val="20"/>
          <w:shd w:val="clear" w:color="auto" w:fill="FFFFFF"/>
        </w:rPr>
        <w:t xml:space="preserve"> </w:t>
      </w:r>
      <w:hyperlink r:id="rId11" w:tgtFrame="_blank" w:history="1">
        <w:r w:rsidRPr="00E9594E">
          <w:rPr>
            <w:rStyle w:val="Hyperlink"/>
            <w:color w:val="000000" w:themeColor="text1"/>
            <w:sz w:val="20"/>
            <w:szCs w:val="20"/>
            <w:u w:val="none"/>
            <w:bdr w:val="none" w:sz="0" w:space="0" w:color="auto" w:frame="1"/>
            <w:shd w:val="clear" w:color="auto" w:fill="FFFFFF"/>
          </w:rPr>
          <w:t>International Tribunal for the Law of the Sea</w:t>
        </w:r>
      </w:hyperlink>
      <w:r w:rsidRPr="00E9594E">
        <w:rPr>
          <w:color w:val="000000" w:themeColor="text1"/>
          <w:sz w:val="20"/>
          <w:szCs w:val="20"/>
          <w:shd w:val="clear" w:color="auto" w:fill="FFFFFF"/>
        </w:rPr>
        <w:t> (ITLOS).</w:t>
      </w:r>
    </w:p>
    <w:p w:rsidR="00405015" w:rsidRPr="00E9594E" w:rsidRDefault="00405015" w:rsidP="00E9594E">
      <w:pPr>
        <w:pStyle w:val="NormalWeb"/>
        <w:spacing w:before="0" w:beforeAutospacing="0" w:after="80" w:afterAutospacing="0"/>
        <w:jc w:val="both"/>
        <w:rPr>
          <w:color w:val="000000" w:themeColor="text1"/>
          <w:sz w:val="20"/>
          <w:szCs w:val="20"/>
          <w:shd w:val="clear" w:color="auto" w:fill="FFFFFF"/>
        </w:rPr>
      </w:pPr>
      <w:r w:rsidRPr="00E9594E">
        <w:rPr>
          <w:color w:val="000000" w:themeColor="text1"/>
          <w:sz w:val="20"/>
          <w:szCs w:val="20"/>
          <w:shd w:val="clear" w:color="auto" w:fill="FFFFFF"/>
        </w:rPr>
        <w:t>Lastly, the Court is not a supreme court to which national courts can turn;</w:t>
      </w:r>
      <w:proofErr w:type="gramStart"/>
      <w:r w:rsidRPr="00E9594E">
        <w:rPr>
          <w:color w:val="000000" w:themeColor="text1"/>
          <w:sz w:val="20"/>
          <w:szCs w:val="20"/>
          <w:shd w:val="clear" w:color="auto" w:fill="FFFFFF"/>
        </w:rPr>
        <w:t>  it</w:t>
      </w:r>
      <w:proofErr w:type="gramEnd"/>
      <w:r w:rsidRPr="00E9594E">
        <w:rPr>
          <w:color w:val="000000" w:themeColor="text1"/>
          <w:sz w:val="20"/>
          <w:szCs w:val="20"/>
          <w:shd w:val="clear" w:color="auto" w:fill="FFFFFF"/>
        </w:rPr>
        <w:t xml:space="preserve"> does not act as a court of last resort for individuals.  Nor is it an appeal court for any international tribunal.  It can, however, rule on the validity of arbitral awards.</w:t>
      </w:r>
    </w:p>
    <w:p w:rsidR="00915E4E" w:rsidRDefault="00915E4E" w:rsidP="00E9594E">
      <w:pPr>
        <w:pStyle w:val="NormalWeb"/>
        <w:spacing w:before="0" w:beforeAutospacing="0" w:after="80" w:afterAutospacing="0"/>
        <w:jc w:val="both"/>
        <w:rPr>
          <w:color w:val="000000"/>
          <w:sz w:val="20"/>
          <w:szCs w:val="20"/>
          <w:shd w:val="clear" w:color="auto" w:fill="FFFFFF"/>
        </w:rPr>
      </w:pP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The Court can only hear a dispute when requested to do so by one or more States.  It cannot deal with a dispute of its own motion.  It is not permitted, under its Statute, to investigate and rule on acts of sovereign States as it chooses.</w:t>
      </w:r>
    </w:p>
    <w:p w:rsidR="00915E4E" w:rsidRDefault="00915E4E" w:rsidP="00E9594E">
      <w:pPr>
        <w:pStyle w:val="NormalWeb"/>
        <w:spacing w:before="0" w:beforeAutospacing="0" w:after="80" w:afterAutospacing="0"/>
        <w:jc w:val="both"/>
        <w:rPr>
          <w:color w:val="000000"/>
          <w:sz w:val="20"/>
          <w:szCs w:val="20"/>
          <w:shd w:val="clear" w:color="auto" w:fill="FFFFFF"/>
        </w:rPr>
      </w:pP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The States concerned must also have access to the Court and have accepted its jurisdiction, in other words they must consent to the Court's considering the dispute in question.  This is a fundamental principle governing the settlement of international disputes, States being sovereign and free to choose the methods of resolving their disputes.</w:t>
      </w: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A State may manifest its consent in three ways:</w:t>
      </w: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    </w:t>
      </w:r>
      <w:r w:rsidRPr="00E9594E">
        <w:rPr>
          <w:rStyle w:val="apple-converted-space"/>
          <w:color w:val="000000"/>
          <w:sz w:val="20"/>
          <w:szCs w:val="20"/>
          <w:shd w:val="clear" w:color="auto" w:fill="FFFFFF"/>
        </w:rPr>
        <w:t> </w:t>
      </w:r>
      <w:r w:rsidRPr="00E9594E">
        <w:rPr>
          <w:i/>
          <w:iCs/>
          <w:color w:val="000000"/>
          <w:sz w:val="20"/>
          <w:szCs w:val="20"/>
          <w:shd w:val="clear" w:color="auto" w:fill="FFFFFF"/>
        </w:rPr>
        <w:t>A special agreement</w:t>
      </w:r>
      <w:r w:rsidRPr="00E9594E">
        <w:rPr>
          <w:color w:val="000000"/>
          <w:sz w:val="20"/>
          <w:szCs w:val="20"/>
          <w:shd w:val="clear" w:color="auto" w:fill="FFFFFF"/>
        </w:rPr>
        <w:t>:  two or more States in a dispute on a specific issue may agree to submit it jointly to the Court and conclude an agreement for this purpose;</w:t>
      </w: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lastRenderedPageBreak/>
        <w:t>-    </w:t>
      </w:r>
      <w:r w:rsidRPr="00E9594E">
        <w:rPr>
          <w:rStyle w:val="apple-converted-space"/>
          <w:color w:val="000000"/>
          <w:sz w:val="20"/>
          <w:szCs w:val="20"/>
          <w:shd w:val="clear" w:color="auto" w:fill="FFFFFF"/>
        </w:rPr>
        <w:t> </w:t>
      </w:r>
      <w:r w:rsidRPr="00E9594E">
        <w:rPr>
          <w:i/>
          <w:iCs/>
          <w:color w:val="000000"/>
          <w:sz w:val="20"/>
          <w:szCs w:val="20"/>
          <w:shd w:val="clear" w:color="auto" w:fill="FFFFFF"/>
        </w:rPr>
        <w:t>A clause in a treaty</w:t>
      </w:r>
      <w:r w:rsidRPr="00E9594E">
        <w:rPr>
          <w:color w:val="000000"/>
          <w:sz w:val="20"/>
          <w:szCs w:val="20"/>
          <w:shd w:val="clear" w:color="auto" w:fill="FFFFFF"/>
        </w:rPr>
        <w:t xml:space="preserve">:  over 300 treaties contain clauses (known as </w:t>
      </w:r>
      <w:proofErr w:type="spellStart"/>
      <w:r w:rsidRPr="00E9594E">
        <w:rPr>
          <w:color w:val="000000"/>
          <w:sz w:val="20"/>
          <w:szCs w:val="20"/>
          <w:shd w:val="clear" w:color="auto" w:fill="FFFFFF"/>
        </w:rPr>
        <w:t>compromissory</w:t>
      </w:r>
      <w:proofErr w:type="spellEnd"/>
      <w:r w:rsidRPr="00E9594E">
        <w:rPr>
          <w:color w:val="000000"/>
          <w:sz w:val="20"/>
          <w:szCs w:val="20"/>
          <w:shd w:val="clear" w:color="auto" w:fill="FFFFFF"/>
        </w:rPr>
        <w:t xml:space="preserve"> clauses) by which a State party undertakes in advance to accept the jurisdiction of the Court should a dispute arise on the interpretation or application of the treaty with another State party;</w:t>
      </w: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    </w:t>
      </w:r>
      <w:r w:rsidRPr="00E9594E">
        <w:rPr>
          <w:rStyle w:val="apple-converted-space"/>
          <w:color w:val="000000"/>
          <w:sz w:val="20"/>
          <w:szCs w:val="20"/>
          <w:shd w:val="clear" w:color="auto" w:fill="FFFFFF"/>
        </w:rPr>
        <w:t> </w:t>
      </w:r>
      <w:r w:rsidRPr="00E9594E">
        <w:rPr>
          <w:i/>
          <w:iCs/>
          <w:color w:val="000000"/>
          <w:sz w:val="20"/>
          <w:szCs w:val="20"/>
          <w:shd w:val="clear" w:color="auto" w:fill="FFFFFF"/>
        </w:rPr>
        <w:t>A unilateral declaration</w:t>
      </w:r>
      <w:r w:rsidRPr="00E9594E">
        <w:rPr>
          <w:color w:val="000000"/>
          <w:sz w:val="20"/>
          <w:szCs w:val="20"/>
          <w:shd w:val="clear" w:color="auto" w:fill="FFFFFF"/>
        </w:rPr>
        <w:t>:  the States parties to the Statute of the Court may opt to make a unilateral declaration recognizing the jurisdiction of the Court as binding with respect to any other State also accepting it as binding.  This optional clause system, as it is called, has led to the creation of a group of States each having given the Court jurisdiction to settle any dispute that might arise between them in future.  In principle, any State in this group is entitled to bring one or more other States in the group before the Court.  Declarations may contain reservations limiting their duration or excluding certain categories of dispute.  They are deposited by States with the Secretary-General of the United Nations.</w:t>
      </w:r>
    </w:p>
    <w:p w:rsidR="00405015" w:rsidRPr="00E9594E" w:rsidRDefault="00405015" w:rsidP="00E9594E">
      <w:pPr>
        <w:pStyle w:val="NormalWeb"/>
        <w:spacing w:before="0" w:beforeAutospacing="0" w:after="0" w:afterAutospacing="0"/>
        <w:jc w:val="both"/>
        <w:rPr>
          <w:color w:val="000000" w:themeColor="text1"/>
          <w:sz w:val="20"/>
          <w:szCs w:val="20"/>
          <w:shd w:val="clear" w:color="auto" w:fill="FFFFFF"/>
        </w:rPr>
      </w:pP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Judgments delivered by the Court (or by one of its Chambers) in disputes between States are binding upon the parties concerned.  Article 94 of the United Nations Charter lays down that “each Member of the United Nations undertakes to comply with the decision of [the Court] in any case to which it is a party”.</w:t>
      </w: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Judgments are final and without appeal.  If either of the parties challenges their scope or meaning, it has the option to request an interpretation.  In the event of the discovery of a fact hitherto unknown to the Court which might be a decisive factor, either party may apply for revision of the judgment.</w:t>
      </w:r>
    </w:p>
    <w:p w:rsidR="00405015" w:rsidRPr="00E9594E" w:rsidRDefault="00405015" w:rsidP="00E9594E">
      <w:pPr>
        <w:pStyle w:val="NormalWeb"/>
        <w:spacing w:before="0" w:beforeAutospacing="0" w:after="80" w:afterAutospacing="0"/>
        <w:jc w:val="both"/>
        <w:rPr>
          <w:color w:val="000000"/>
          <w:sz w:val="20"/>
          <w:szCs w:val="20"/>
          <w:shd w:val="clear" w:color="auto" w:fill="FFFFFF"/>
        </w:rPr>
      </w:pPr>
      <w:r w:rsidRPr="00E9594E">
        <w:rPr>
          <w:color w:val="000000"/>
          <w:sz w:val="20"/>
          <w:szCs w:val="20"/>
          <w:shd w:val="clear" w:color="auto" w:fill="FFFFFF"/>
        </w:rPr>
        <w:t>As regards advisory opinions, it is usually for the United Nations organs and specialized agencies requesting them to give effect to them or not by whatever means are appropriate for them.</w:t>
      </w:r>
    </w:p>
    <w:p w:rsidR="00405015" w:rsidRPr="00E9594E" w:rsidRDefault="00405015" w:rsidP="00E9594E">
      <w:pPr>
        <w:pStyle w:val="NormalWeb"/>
        <w:spacing w:before="0" w:beforeAutospacing="0" w:after="0" w:afterAutospacing="0"/>
        <w:jc w:val="both"/>
        <w:rPr>
          <w:color w:val="000000" w:themeColor="text1"/>
          <w:sz w:val="20"/>
          <w:szCs w:val="20"/>
          <w:shd w:val="clear" w:color="auto" w:fill="FFFFFF"/>
        </w:rPr>
      </w:pPr>
    </w:p>
    <w:p w:rsidR="00405015" w:rsidRPr="00E9594E" w:rsidRDefault="00405015" w:rsidP="00E9594E">
      <w:pPr>
        <w:pStyle w:val="NormalWeb"/>
        <w:spacing w:before="0" w:beforeAutospacing="0" w:after="0" w:afterAutospacing="0"/>
        <w:jc w:val="both"/>
        <w:rPr>
          <w:color w:val="000000" w:themeColor="text1"/>
          <w:sz w:val="20"/>
          <w:szCs w:val="20"/>
          <w:shd w:val="clear" w:color="auto" w:fill="FFFFFF"/>
        </w:rPr>
      </w:pPr>
    </w:p>
    <w:p w:rsidR="00F5044D" w:rsidRPr="00E9594E" w:rsidRDefault="00F5044D" w:rsidP="00E9594E">
      <w:pPr>
        <w:jc w:val="both"/>
        <w:rPr>
          <w:rFonts w:ascii="Times New Roman" w:hAnsi="Times New Roman" w:cs="Times New Roman"/>
          <w:sz w:val="20"/>
          <w:szCs w:val="20"/>
        </w:rPr>
      </w:pPr>
    </w:p>
    <w:sectPr w:rsidR="00F5044D" w:rsidRPr="00E9594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405015"/>
    <w:rsid w:val="00405015"/>
    <w:rsid w:val="00915E4E"/>
    <w:rsid w:val="00E9594E"/>
    <w:rsid w:val="00E96E26"/>
    <w:rsid w:val="00F504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50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05015"/>
  </w:style>
  <w:style w:type="character" w:styleId="Hyperlink">
    <w:name w:val="Hyperlink"/>
    <w:basedOn w:val="DefaultParagraphFont"/>
    <w:uiPriority w:val="99"/>
    <w:semiHidden/>
    <w:unhideWhenUsed/>
    <w:rsid w:val="00405015"/>
    <w:rPr>
      <w:color w:val="0000FF"/>
      <w:u w:val="single"/>
    </w:rPr>
  </w:style>
</w:styles>
</file>

<file path=word/webSettings.xml><?xml version="1.0" encoding="utf-8"?>
<w:webSettings xmlns:r="http://schemas.openxmlformats.org/officeDocument/2006/relationships" xmlns:w="http://schemas.openxmlformats.org/wordprocessingml/2006/main">
  <w:divs>
    <w:div w:id="436948351">
      <w:bodyDiv w:val="1"/>
      <w:marLeft w:val="0"/>
      <w:marRight w:val="0"/>
      <w:marTop w:val="0"/>
      <w:marBottom w:val="0"/>
      <w:divBdr>
        <w:top w:val="none" w:sz="0" w:space="0" w:color="auto"/>
        <w:left w:val="none" w:sz="0" w:space="0" w:color="auto"/>
        <w:bottom w:val="none" w:sz="0" w:space="0" w:color="auto"/>
        <w:right w:val="none" w:sz="0" w:space="0" w:color="auto"/>
      </w:divBdr>
    </w:div>
    <w:div w:id="1015350164">
      <w:bodyDiv w:val="1"/>
      <w:marLeft w:val="0"/>
      <w:marRight w:val="0"/>
      <w:marTop w:val="0"/>
      <w:marBottom w:val="0"/>
      <w:divBdr>
        <w:top w:val="none" w:sz="0" w:space="0" w:color="auto"/>
        <w:left w:val="none" w:sz="0" w:space="0" w:color="auto"/>
        <w:bottom w:val="none" w:sz="0" w:space="0" w:color="auto"/>
        <w:right w:val="none" w:sz="0" w:space="0" w:color="auto"/>
      </w:divBdr>
    </w:div>
    <w:div w:id="1277180058">
      <w:bodyDiv w:val="1"/>
      <w:marLeft w:val="0"/>
      <w:marRight w:val="0"/>
      <w:marTop w:val="0"/>
      <w:marBottom w:val="0"/>
      <w:divBdr>
        <w:top w:val="none" w:sz="0" w:space="0" w:color="auto"/>
        <w:left w:val="none" w:sz="0" w:space="0" w:color="auto"/>
        <w:bottom w:val="none" w:sz="0" w:space="0" w:color="auto"/>
        <w:right w:val="none" w:sz="0" w:space="0" w:color="auto"/>
      </w:divBdr>
    </w:div>
    <w:div w:id="1550531917">
      <w:bodyDiv w:val="1"/>
      <w:marLeft w:val="0"/>
      <w:marRight w:val="0"/>
      <w:marTop w:val="0"/>
      <w:marBottom w:val="0"/>
      <w:divBdr>
        <w:top w:val="none" w:sz="0" w:space="0" w:color="auto"/>
        <w:left w:val="none" w:sz="0" w:space="0" w:color="auto"/>
        <w:bottom w:val="none" w:sz="0" w:space="0" w:color="auto"/>
        <w:right w:val="none" w:sz="0" w:space="0" w:color="auto"/>
      </w:divBdr>
    </w:div>
    <w:div w:id="1651595573">
      <w:bodyDiv w:val="1"/>
      <w:marLeft w:val="0"/>
      <w:marRight w:val="0"/>
      <w:marTop w:val="0"/>
      <w:marBottom w:val="0"/>
      <w:divBdr>
        <w:top w:val="none" w:sz="0" w:space="0" w:color="auto"/>
        <w:left w:val="none" w:sz="0" w:space="0" w:color="auto"/>
        <w:bottom w:val="none" w:sz="0" w:space="0" w:color="auto"/>
        <w:right w:val="none" w:sz="0" w:space="0" w:color="auto"/>
      </w:divBdr>
    </w:div>
    <w:div w:id="177447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uria.europa.eu/en/transitpage.h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icc-cpi.int/home.html&amp;l=e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sl.org/" TargetMode="External"/><Relationship Id="rId11" Type="http://schemas.openxmlformats.org/officeDocument/2006/relationships/hyperlink" Target="http://www.itlos.org/start2_en.html" TargetMode="External"/><Relationship Id="rId5" Type="http://schemas.openxmlformats.org/officeDocument/2006/relationships/hyperlink" Target="http://69.94.11.53/default.htm" TargetMode="External"/><Relationship Id="rId10" Type="http://schemas.openxmlformats.org/officeDocument/2006/relationships/hyperlink" Target="http://www.corteidh.or.cr/" TargetMode="External"/><Relationship Id="rId4" Type="http://schemas.openxmlformats.org/officeDocument/2006/relationships/hyperlink" Target="http://www.un.org/icty/" TargetMode="External"/><Relationship Id="rId9" Type="http://schemas.openxmlformats.org/officeDocument/2006/relationships/hyperlink" Target="http://www.echr.coe.int/ec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space</dc:creator>
  <cp:keywords/>
  <dc:description/>
  <cp:lastModifiedBy>space</cp:lastModifiedBy>
  <cp:revision>3</cp:revision>
  <dcterms:created xsi:type="dcterms:W3CDTF">2011-08-24T08:19:00Z</dcterms:created>
  <dcterms:modified xsi:type="dcterms:W3CDTF">2011-08-24T09:00:00Z</dcterms:modified>
</cp:coreProperties>
</file>