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B8F" w:rsidRPr="008D0DD7" w:rsidRDefault="006A0AB8" w:rsidP="00E41C30">
      <w:pPr>
        <w:jc w:val="center"/>
        <w:rPr>
          <w:rFonts w:ascii="Kunstler Script" w:hAnsi="Kunstler Script" w:cs="Times New Roman"/>
          <w:noProof/>
          <w:sz w:val="80"/>
          <w:szCs w:val="80"/>
        </w:rPr>
      </w:pPr>
      <w:r>
        <w:rPr>
          <w:rFonts w:ascii="Kunstler Script" w:hAnsi="Kunstler Script" w:cs="Times New Roman"/>
          <w:noProof/>
          <w:sz w:val="80"/>
          <w:szCs w:val="80"/>
        </w:rPr>
        <w:drawing>
          <wp:anchor distT="0" distB="0" distL="114300" distR="114300" simplePos="0" relativeHeight="251661312" behindDoc="1" locked="0" layoutInCell="1" allowOverlap="1">
            <wp:simplePos x="0" y="0"/>
            <wp:positionH relativeFrom="column">
              <wp:posOffset>457200</wp:posOffset>
            </wp:positionH>
            <wp:positionV relativeFrom="paragraph">
              <wp:posOffset>4991100</wp:posOffset>
            </wp:positionV>
            <wp:extent cx="5238750" cy="3649345"/>
            <wp:effectExtent l="247650" t="228600" r="228600" b="217805"/>
            <wp:wrapTight wrapText="bothSides">
              <wp:wrapPolygon edited="0">
                <wp:start x="-1021" y="-1353"/>
                <wp:lineTo x="-1021" y="22889"/>
                <wp:lineTo x="22543" y="22889"/>
                <wp:lineTo x="22543" y="-1353"/>
                <wp:lineTo x="-1021" y="-135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238750" cy="3649345"/>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sidR="00834182" w:rsidRPr="008D0DD7">
        <w:rPr>
          <w:rFonts w:ascii="Kunstler Script" w:hAnsi="Kunstler Script" w:cs="Times New Roman"/>
          <w:noProof/>
          <w:sz w:val="80"/>
          <w:szCs w:val="80"/>
        </w:rPr>
        <w:drawing>
          <wp:anchor distT="0" distB="0" distL="114300" distR="114300" simplePos="0" relativeHeight="251660288" behindDoc="1" locked="0" layoutInCell="1" allowOverlap="1">
            <wp:simplePos x="0" y="0"/>
            <wp:positionH relativeFrom="column">
              <wp:posOffset>285750</wp:posOffset>
            </wp:positionH>
            <wp:positionV relativeFrom="paragraph">
              <wp:posOffset>1119505</wp:posOffset>
            </wp:positionV>
            <wp:extent cx="5400675" cy="3237230"/>
            <wp:effectExtent l="247650" t="228600" r="238125" b="210820"/>
            <wp:wrapTight wrapText="bothSides">
              <wp:wrapPolygon edited="0">
                <wp:start x="-990" y="-1525"/>
                <wp:lineTo x="-990" y="23007"/>
                <wp:lineTo x="22552" y="23007"/>
                <wp:lineTo x="22552" y="-1525"/>
                <wp:lineTo x="-990" y="-152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00675" cy="3237230"/>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sidR="00BB3B8F" w:rsidRPr="008D0DD7">
        <w:rPr>
          <w:rFonts w:ascii="Kunstler Script" w:hAnsi="Kunstler Script" w:cs="Times New Roman"/>
          <w:noProof/>
          <w:sz w:val="80"/>
          <w:szCs w:val="80"/>
        </w:rPr>
        <w:t>Some Important Graphs</w:t>
      </w:r>
    </w:p>
    <w:p w:rsidR="00937244" w:rsidRPr="00BB3B8F" w:rsidRDefault="00BB3B8F" w:rsidP="00E41C30">
      <w:pPr>
        <w:jc w:val="both"/>
        <w:rPr>
          <w:rFonts w:ascii="Times New Roman" w:hAnsi="Times New Roman" w:cs="Times New Roman"/>
          <w:noProof/>
          <w:sz w:val="24"/>
          <w:szCs w:val="24"/>
        </w:rPr>
      </w:pPr>
      <w:r w:rsidRPr="00BB3B8F">
        <w:rPr>
          <w:rFonts w:ascii="Times New Roman" w:hAnsi="Times New Roman" w:cs="Times New Roman"/>
          <w:noProof/>
          <w:sz w:val="24"/>
          <w:szCs w:val="24"/>
        </w:rPr>
        <w:lastRenderedPageBreak/>
        <w:drawing>
          <wp:anchor distT="0" distB="0" distL="114300" distR="114300" simplePos="0" relativeHeight="251663360" behindDoc="1" locked="0" layoutInCell="1" allowOverlap="1">
            <wp:simplePos x="0" y="0"/>
            <wp:positionH relativeFrom="column">
              <wp:posOffset>48895</wp:posOffset>
            </wp:positionH>
            <wp:positionV relativeFrom="paragraph">
              <wp:posOffset>4441190</wp:posOffset>
            </wp:positionV>
            <wp:extent cx="5875020" cy="4201795"/>
            <wp:effectExtent l="171450" t="133350" r="220980" b="217805"/>
            <wp:wrapTight wrapText="bothSides">
              <wp:wrapPolygon edited="0">
                <wp:start x="-630" y="-686"/>
                <wp:lineTo x="-490" y="22720"/>
                <wp:lineTo x="22342" y="22720"/>
                <wp:lineTo x="22412" y="22720"/>
                <wp:lineTo x="22412" y="196"/>
                <wp:lineTo x="22342" y="-686"/>
                <wp:lineTo x="-630" y="-686"/>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875020" cy="420179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sidR="00937244" w:rsidRPr="00BB3B8F">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19050</wp:posOffset>
            </wp:positionH>
            <wp:positionV relativeFrom="paragraph">
              <wp:posOffset>-11824</wp:posOffset>
            </wp:positionV>
            <wp:extent cx="5845722" cy="4004441"/>
            <wp:effectExtent l="171450" t="133350" r="231228" b="205609"/>
            <wp:wrapTight wrapText="bothSides">
              <wp:wrapPolygon edited="0">
                <wp:start x="-634" y="-719"/>
                <wp:lineTo x="-493" y="22709"/>
                <wp:lineTo x="22384" y="22709"/>
                <wp:lineTo x="22454" y="22401"/>
                <wp:lineTo x="22454" y="206"/>
                <wp:lineTo x="22384" y="-719"/>
                <wp:lineTo x="-634" y="-71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845722" cy="400444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230D3A" w:rsidP="00E41C30">
      <w:pPr>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234315</wp:posOffset>
            </wp:positionH>
            <wp:positionV relativeFrom="paragraph">
              <wp:posOffset>21590</wp:posOffset>
            </wp:positionV>
            <wp:extent cx="5652770" cy="4215130"/>
            <wp:effectExtent l="171450" t="133350" r="233680" b="204470"/>
            <wp:wrapTight wrapText="bothSides">
              <wp:wrapPolygon edited="0">
                <wp:start x="-655" y="-683"/>
                <wp:lineTo x="-510" y="22648"/>
                <wp:lineTo x="22420" y="22648"/>
                <wp:lineTo x="22493" y="22648"/>
                <wp:lineTo x="22493" y="195"/>
                <wp:lineTo x="22420" y="-683"/>
                <wp:lineTo x="-655" y="-68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652770" cy="421513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937244" w:rsidRPr="00BB3B8F" w:rsidRDefault="00937244" w:rsidP="00E41C30">
      <w:pPr>
        <w:jc w:val="both"/>
        <w:rPr>
          <w:rFonts w:ascii="Times New Roman" w:hAnsi="Times New Roman" w:cs="Times New Roman"/>
          <w:noProof/>
          <w:sz w:val="24"/>
          <w:szCs w:val="24"/>
        </w:rPr>
      </w:pP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BB3B8F" w:rsidRPr="00BB3B8F" w:rsidRDefault="00230D3A" w:rsidP="00E41C30">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anchor distT="0" distB="0" distL="114300" distR="114300" simplePos="0" relativeHeight="251665408" behindDoc="1" locked="0" layoutInCell="1" allowOverlap="1">
            <wp:simplePos x="0" y="0"/>
            <wp:positionH relativeFrom="column">
              <wp:posOffset>234315</wp:posOffset>
            </wp:positionH>
            <wp:positionV relativeFrom="paragraph">
              <wp:posOffset>4700905</wp:posOffset>
            </wp:positionV>
            <wp:extent cx="5710555" cy="3696335"/>
            <wp:effectExtent l="171450" t="133350" r="233045" b="208915"/>
            <wp:wrapTight wrapText="bothSides">
              <wp:wrapPolygon edited="0">
                <wp:start x="-649" y="-779"/>
                <wp:lineTo x="-504" y="22821"/>
                <wp:lineTo x="22409" y="22821"/>
                <wp:lineTo x="22481" y="22487"/>
                <wp:lineTo x="22481" y="223"/>
                <wp:lineTo x="22409" y="-779"/>
                <wp:lineTo x="-649" y="-779"/>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710555" cy="369633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664341" w:rsidRPr="00BB3B8F" w:rsidRDefault="00230D3A" w:rsidP="00E41C30">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58240" behindDoc="1" locked="0" layoutInCell="1" allowOverlap="1">
            <wp:simplePos x="0" y="0"/>
            <wp:positionH relativeFrom="column">
              <wp:posOffset>185420</wp:posOffset>
            </wp:positionH>
            <wp:positionV relativeFrom="paragraph">
              <wp:posOffset>189230</wp:posOffset>
            </wp:positionV>
            <wp:extent cx="5741670" cy="3591560"/>
            <wp:effectExtent l="171450" t="133350" r="220980" b="218440"/>
            <wp:wrapTight wrapText="bothSides">
              <wp:wrapPolygon edited="0">
                <wp:start x="-645" y="-802"/>
                <wp:lineTo x="-502" y="22914"/>
                <wp:lineTo x="22360" y="22914"/>
                <wp:lineTo x="22431" y="22914"/>
                <wp:lineTo x="22431" y="229"/>
                <wp:lineTo x="22360" y="-802"/>
                <wp:lineTo x="-645" y="-80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741670" cy="359156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230D3A" w:rsidRDefault="00230D3A" w:rsidP="00E41C30">
      <w:pPr>
        <w:autoSpaceDE w:val="0"/>
        <w:autoSpaceDN w:val="0"/>
        <w:adjustRightInd w:val="0"/>
        <w:spacing w:after="0"/>
        <w:jc w:val="center"/>
        <w:rPr>
          <w:rFonts w:ascii="Kunstler Script" w:hAnsi="Kunstler Script" w:cs="Times New Roman"/>
          <w:b/>
          <w:bCs/>
          <w:sz w:val="96"/>
          <w:szCs w:val="96"/>
        </w:rPr>
      </w:pPr>
    </w:p>
    <w:p w:rsidR="00230D3A" w:rsidRDefault="00230D3A" w:rsidP="00E41C30">
      <w:pPr>
        <w:autoSpaceDE w:val="0"/>
        <w:autoSpaceDN w:val="0"/>
        <w:adjustRightInd w:val="0"/>
        <w:spacing w:after="0"/>
        <w:jc w:val="center"/>
        <w:rPr>
          <w:rFonts w:ascii="Kunstler Script" w:hAnsi="Kunstler Script" w:cs="Times New Roman"/>
          <w:b/>
          <w:bCs/>
          <w:sz w:val="96"/>
          <w:szCs w:val="96"/>
        </w:rPr>
      </w:pPr>
    </w:p>
    <w:p w:rsidR="00230D3A" w:rsidRDefault="00230D3A" w:rsidP="00E41C30">
      <w:pPr>
        <w:autoSpaceDE w:val="0"/>
        <w:autoSpaceDN w:val="0"/>
        <w:adjustRightInd w:val="0"/>
        <w:spacing w:after="0"/>
        <w:jc w:val="center"/>
        <w:rPr>
          <w:rFonts w:ascii="Kunstler Script" w:hAnsi="Kunstler Script" w:cs="Times New Roman"/>
          <w:b/>
          <w:bCs/>
          <w:sz w:val="96"/>
          <w:szCs w:val="96"/>
        </w:rPr>
      </w:pPr>
    </w:p>
    <w:p w:rsidR="00230D3A" w:rsidRDefault="00230D3A" w:rsidP="00E41C30">
      <w:pPr>
        <w:autoSpaceDE w:val="0"/>
        <w:autoSpaceDN w:val="0"/>
        <w:adjustRightInd w:val="0"/>
        <w:spacing w:after="0"/>
        <w:jc w:val="center"/>
        <w:rPr>
          <w:rFonts w:ascii="Kunstler Script" w:hAnsi="Kunstler Script" w:cs="Times New Roman"/>
          <w:b/>
          <w:bCs/>
          <w:sz w:val="96"/>
          <w:szCs w:val="96"/>
        </w:rPr>
      </w:pPr>
    </w:p>
    <w:p w:rsidR="00664341" w:rsidRPr="008D0DD7" w:rsidRDefault="00834182" w:rsidP="00E41C30">
      <w:pPr>
        <w:autoSpaceDE w:val="0"/>
        <w:autoSpaceDN w:val="0"/>
        <w:adjustRightInd w:val="0"/>
        <w:spacing w:after="0"/>
        <w:jc w:val="center"/>
        <w:rPr>
          <w:rFonts w:ascii="Kunstler Script" w:hAnsi="Kunstler Script" w:cs="Times New Roman"/>
          <w:bCs/>
          <w:sz w:val="110"/>
          <w:szCs w:val="110"/>
        </w:rPr>
      </w:pPr>
      <w:r w:rsidRPr="008D0DD7">
        <w:rPr>
          <w:rFonts w:ascii="Kunstler Script" w:hAnsi="Kunstler Script" w:cs="Times New Roman"/>
          <w:bCs/>
          <w:sz w:val="110"/>
          <w:szCs w:val="110"/>
        </w:rPr>
        <w:lastRenderedPageBreak/>
        <w:t>Introduction</w:t>
      </w: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BB3B8F" w:rsidRPr="00834182" w:rsidRDefault="00664341"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The last decade or so has witnessed a transformation in</w:t>
      </w:r>
      <w:r w:rsidR="00BB3B8F" w:rsidRPr="00834182">
        <w:rPr>
          <w:rFonts w:ascii="Bell MT" w:hAnsi="Bell MT" w:cs="Times New Roman"/>
          <w:sz w:val="28"/>
          <w:szCs w:val="28"/>
        </w:rPr>
        <w:t xml:space="preserve"> </w:t>
      </w:r>
      <w:r w:rsidRPr="00834182">
        <w:rPr>
          <w:rFonts w:ascii="Bell MT" w:hAnsi="Bell MT" w:cs="Times New Roman"/>
          <w:sz w:val="28"/>
          <w:szCs w:val="28"/>
        </w:rPr>
        <w:t>the architecture of development assistance, driven by</w:t>
      </w:r>
      <w:r w:rsidR="00BB3B8F" w:rsidRPr="00834182">
        <w:rPr>
          <w:rFonts w:ascii="Bell MT" w:hAnsi="Bell MT" w:cs="Times New Roman"/>
          <w:sz w:val="28"/>
          <w:szCs w:val="28"/>
        </w:rPr>
        <w:t xml:space="preserve"> </w:t>
      </w:r>
      <w:r w:rsidRPr="00834182">
        <w:rPr>
          <w:rFonts w:ascii="Bell MT" w:hAnsi="Bell MT" w:cs="Times New Roman"/>
          <w:sz w:val="28"/>
          <w:szCs w:val="28"/>
        </w:rPr>
        <w:t>commitments to the Millennium Development Goals</w:t>
      </w:r>
      <w:r w:rsidR="00BB3B8F" w:rsidRPr="00834182">
        <w:rPr>
          <w:rFonts w:ascii="Bell MT" w:hAnsi="Bell MT" w:cs="Times New Roman"/>
          <w:sz w:val="28"/>
          <w:szCs w:val="28"/>
        </w:rPr>
        <w:t xml:space="preserve"> </w:t>
      </w:r>
      <w:r w:rsidRPr="00834182">
        <w:rPr>
          <w:rFonts w:ascii="Bell MT" w:hAnsi="Bell MT" w:cs="Times New Roman"/>
          <w:sz w:val="28"/>
          <w:szCs w:val="28"/>
        </w:rPr>
        <w:t>(MDGs) and the emergence of Poverty Reduction</w:t>
      </w:r>
      <w:r w:rsidR="00BB3B8F" w:rsidRPr="00834182">
        <w:rPr>
          <w:rFonts w:ascii="Bell MT" w:hAnsi="Bell MT" w:cs="Times New Roman"/>
          <w:sz w:val="28"/>
          <w:szCs w:val="28"/>
        </w:rPr>
        <w:t xml:space="preserve"> </w:t>
      </w:r>
      <w:r w:rsidRPr="00834182">
        <w:rPr>
          <w:rFonts w:ascii="Bell MT" w:hAnsi="Bell MT" w:cs="Times New Roman"/>
          <w:sz w:val="28"/>
          <w:szCs w:val="28"/>
        </w:rPr>
        <w:t>Strategies (PRSs). During this period a package of</w:t>
      </w:r>
      <w:r w:rsidR="00BB3B8F" w:rsidRPr="00834182">
        <w:rPr>
          <w:rFonts w:ascii="Bell MT" w:hAnsi="Bell MT" w:cs="Times New Roman"/>
          <w:sz w:val="28"/>
          <w:szCs w:val="28"/>
        </w:rPr>
        <w:t xml:space="preserve"> </w:t>
      </w:r>
      <w:r w:rsidRPr="00834182">
        <w:rPr>
          <w:rFonts w:ascii="Bell MT" w:hAnsi="Bell MT" w:cs="Times New Roman"/>
          <w:sz w:val="28"/>
          <w:szCs w:val="28"/>
        </w:rPr>
        <w:t>approaches and instruments has emerged to bring about</w:t>
      </w:r>
      <w:r w:rsidR="00BB3B8F" w:rsidRPr="00834182">
        <w:rPr>
          <w:rFonts w:ascii="Bell MT" w:hAnsi="Bell MT" w:cs="Times New Roman"/>
          <w:sz w:val="28"/>
          <w:szCs w:val="28"/>
        </w:rPr>
        <w:t xml:space="preserve"> </w:t>
      </w:r>
      <w:r w:rsidRPr="00834182">
        <w:rPr>
          <w:rFonts w:ascii="Bell MT" w:hAnsi="Bell MT" w:cs="Times New Roman"/>
          <w:sz w:val="28"/>
          <w:szCs w:val="28"/>
        </w:rPr>
        <w:t>increased alignment and harmonization of development</w:t>
      </w:r>
      <w:r w:rsidR="00BB3B8F" w:rsidRPr="00834182">
        <w:rPr>
          <w:rFonts w:ascii="Bell MT" w:hAnsi="Bell MT" w:cs="Times New Roman"/>
          <w:sz w:val="28"/>
          <w:szCs w:val="28"/>
        </w:rPr>
        <w:t xml:space="preserve"> </w:t>
      </w:r>
      <w:r w:rsidRPr="00834182">
        <w:rPr>
          <w:rFonts w:ascii="Bell MT" w:hAnsi="Bell MT" w:cs="Times New Roman"/>
          <w:sz w:val="28"/>
          <w:szCs w:val="28"/>
        </w:rPr>
        <w:t>assistance. In agriculture and rural development (A&amp;RD)</w:t>
      </w:r>
      <w:r w:rsidR="00BB3B8F" w:rsidRPr="00834182">
        <w:rPr>
          <w:rFonts w:ascii="Bell MT" w:hAnsi="Bell MT" w:cs="Times New Roman"/>
          <w:sz w:val="28"/>
          <w:szCs w:val="28"/>
        </w:rPr>
        <w:t xml:space="preserve"> </w:t>
      </w:r>
      <w:r w:rsidRPr="00834182">
        <w:rPr>
          <w:rFonts w:ascii="Bell MT" w:hAnsi="Bell MT" w:cs="Times New Roman"/>
          <w:sz w:val="28"/>
          <w:szCs w:val="28"/>
        </w:rPr>
        <w:t>this has emerged, most recently, under the rubric of</w:t>
      </w:r>
      <w:r w:rsidR="00BB3B8F" w:rsidRPr="00834182">
        <w:rPr>
          <w:rFonts w:ascii="Bell MT" w:hAnsi="Bell MT" w:cs="Times New Roman"/>
          <w:sz w:val="28"/>
          <w:szCs w:val="28"/>
        </w:rPr>
        <w:t xml:space="preserve"> </w:t>
      </w:r>
      <w:r w:rsidRPr="00834182">
        <w:rPr>
          <w:rFonts w:ascii="Bell MT" w:hAnsi="Bell MT" w:cs="Times New Roman"/>
          <w:sz w:val="28"/>
          <w:szCs w:val="28"/>
        </w:rPr>
        <w:t>Sector Wide Approaches (SWAps).</w:t>
      </w:r>
      <w:r w:rsidR="00BB3B8F" w:rsidRPr="00834182">
        <w:rPr>
          <w:rFonts w:ascii="Bell MT" w:hAnsi="Bell MT" w:cs="Times New Roman"/>
          <w:sz w:val="28"/>
          <w:szCs w:val="28"/>
        </w:rPr>
        <w:t xml:space="preserve"> </w:t>
      </w:r>
    </w:p>
    <w:p w:rsidR="00BB3B8F" w:rsidRPr="00834182" w:rsidRDefault="00BB3B8F" w:rsidP="00E41C30">
      <w:pPr>
        <w:autoSpaceDE w:val="0"/>
        <w:autoSpaceDN w:val="0"/>
        <w:adjustRightInd w:val="0"/>
        <w:spacing w:after="0"/>
        <w:jc w:val="both"/>
        <w:rPr>
          <w:rFonts w:ascii="Bell MT" w:hAnsi="Bell MT" w:cs="Times New Roman"/>
          <w:sz w:val="28"/>
          <w:szCs w:val="28"/>
        </w:rPr>
      </w:pPr>
    </w:p>
    <w:p w:rsidR="00664341" w:rsidRPr="00834182" w:rsidRDefault="00664341"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sz w:val="28"/>
          <w:szCs w:val="28"/>
        </w:rPr>
        <w:t>SWAps were first developed in the social sectors,</w:t>
      </w:r>
      <w:r w:rsidR="00BB3B8F" w:rsidRPr="00834182">
        <w:rPr>
          <w:rFonts w:ascii="Bell MT" w:hAnsi="Bell MT" w:cs="Times New Roman"/>
          <w:sz w:val="28"/>
          <w:szCs w:val="28"/>
        </w:rPr>
        <w:t xml:space="preserve"> </w:t>
      </w:r>
      <w:r w:rsidRPr="00834182">
        <w:rPr>
          <w:rFonts w:ascii="Bell MT" w:hAnsi="Bell MT" w:cs="Times New Roman"/>
          <w:sz w:val="28"/>
          <w:szCs w:val="28"/>
        </w:rPr>
        <w:t>principally health and education, and more than half of</w:t>
      </w:r>
      <w:r w:rsidR="00BB3B8F" w:rsidRPr="00834182">
        <w:rPr>
          <w:rFonts w:ascii="Bell MT" w:hAnsi="Bell MT" w:cs="Times New Roman"/>
          <w:sz w:val="28"/>
          <w:szCs w:val="28"/>
        </w:rPr>
        <w:t xml:space="preserve"> </w:t>
      </w:r>
      <w:r w:rsidRPr="00834182">
        <w:rPr>
          <w:rFonts w:ascii="Bell MT" w:hAnsi="Bell MT" w:cs="Times New Roman"/>
          <w:sz w:val="28"/>
          <w:szCs w:val="28"/>
        </w:rPr>
        <w:t>SWAps to date are in these two sectors. In the most</w:t>
      </w:r>
      <w:r w:rsidR="00BB3B8F" w:rsidRPr="00834182">
        <w:rPr>
          <w:rFonts w:ascii="Bell MT" w:hAnsi="Bell MT" w:cs="Times New Roman"/>
          <w:sz w:val="28"/>
          <w:szCs w:val="28"/>
        </w:rPr>
        <w:t xml:space="preserve"> </w:t>
      </w:r>
      <w:r w:rsidRPr="00834182">
        <w:rPr>
          <w:rFonts w:ascii="Bell MT" w:hAnsi="Bell MT" w:cs="Times New Roman"/>
          <w:sz w:val="28"/>
          <w:szCs w:val="28"/>
        </w:rPr>
        <w:t>recent, and often quoted reviews of SWAps, Foster (2000)</w:t>
      </w:r>
      <w:r w:rsidR="00BB3B8F" w:rsidRPr="00834182">
        <w:rPr>
          <w:rFonts w:ascii="Bell MT" w:hAnsi="Bell MT" w:cs="Times New Roman"/>
          <w:sz w:val="28"/>
          <w:szCs w:val="28"/>
        </w:rPr>
        <w:t xml:space="preserve"> </w:t>
      </w:r>
      <w:r w:rsidRPr="00834182">
        <w:rPr>
          <w:rFonts w:ascii="Bell MT" w:hAnsi="Bell MT" w:cs="Times New Roman"/>
          <w:sz w:val="28"/>
          <w:szCs w:val="28"/>
        </w:rPr>
        <w:t>and Foster et al (2000) reported a total of 78 SWAps, of</w:t>
      </w:r>
      <w:r w:rsidR="00BB3B8F" w:rsidRPr="00834182">
        <w:rPr>
          <w:rFonts w:ascii="Bell MT" w:hAnsi="Bell MT" w:cs="Times New Roman"/>
          <w:sz w:val="28"/>
          <w:szCs w:val="28"/>
        </w:rPr>
        <w:t xml:space="preserve"> </w:t>
      </w:r>
      <w:r w:rsidRPr="00834182">
        <w:rPr>
          <w:rFonts w:ascii="Bell MT" w:hAnsi="Bell MT" w:cs="Times New Roman"/>
          <w:sz w:val="28"/>
          <w:szCs w:val="28"/>
        </w:rPr>
        <w:t>which 22 were in health, 22 in education, 13 in roads</w:t>
      </w:r>
      <w:r w:rsidR="00BB3B8F" w:rsidRPr="00834182">
        <w:rPr>
          <w:rFonts w:ascii="Bell MT" w:hAnsi="Bell MT" w:cs="Times New Roman"/>
          <w:sz w:val="28"/>
          <w:szCs w:val="28"/>
        </w:rPr>
        <w:t xml:space="preserve"> </w:t>
      </w:r>
      <w:r w:rsidRPr="00834182">
        <w:rPr>
          <w:rFonts w:ascii="Bell MT" w:hAnsi="Bell MT" w:cs="Times New Roman"/>
          <w:sz w:val="28"/>
          <w:szCs w:val="28"/>
        </w:rPr>
        <w:t>and transport, 10 in agriculture, and smaller numbers in</w:t>
      </w:r>
      <w:r w:rsidR="00BB3B8F" w:rsidRPr="00834182">
        <w:rPr>
          <w:rFonts w:ascii="Bell MT" w:hAnsi="Bell MT" w:cs="Times New Roman"/>
          <w:sz w:val="28"/>
          <w:szCs w:val="28"/>
        </w:rPr>
        <w:t xml:space="preserve"> </w:t>
      </w:r>
      <w:r w:rsidRPr="00834182">
        <w:rPr>
          <w:rFonts w:ascii="Bell MT" w:hAnsi="Bell MT" w:cs="Times New Roman"/>
          <w:sz w:val="28"/>
          <w:szCs w:val="28"/>
        </w:rPr>
        <w:t>energy, environment, urban development and the water</w:t>
      </w:r>
      <w:r w:rsidR="00BB3B8F" w:rsidRPr="00834182">
        <w:rPr>
          <w:rFonts w:ascii="Bell MT" w:hAnsi="Bell MT" w:cs="Times New Roman"/>
          <w:sz w:val="28"/>
          <w:szCs w:val="28"/>
        </w:rPr>
        <w:t xml:space="preserve"> </w:t>
      </w:r>
      <w:r w:rsidRPr="00834182">
        <w:rPr>
          <w:rFonts w:ascii="Bell MT" w:hAnsi="Bell MT" w:cs="Times New Roman"/>
          <w:sz w:val="28"/>
          <w:szCs w:val="28"/>
        </w:rPr>
        <w:t>sector. Some five years on, with A&amp;RD SWAps becoming</w:t>
      </w:r>
      <w:r w:rsidR="00BB3B8F" w:rsidRPr="00834182">
        <w:rPr>
          <w:rFonts w:ascii="Bell MT" w:hAnsi="Bell MT" w:cs="Times New Roman"/>
          <w:sz w:val="28"/>
          <w:szCs w:val="28"/>
        </w:rPr>
        <w:t xml:space="preserve"> </w:t>
      </w:r>
      <w:r w:rsidRPr="00834182">
        <w:rPr>
          <w:rFonts w:ascii="Bell MT" w:hAnsi="Bell MT" w:cs="Times New Roman"/>
          <w:sz w:val="28"/>
          <w:szCs w:val="28"/>
        </w:rPr>
        <w:t>increasingly prevalent, with links between PRSs and</w:t>
      </w:r>
      <w:r w:rsidR="00BB3B8F" w:rsidRPr="00834182">
        <w:rPr>
          <w:rFonts w:ascii="Bell MT" w:hAnsi="Bell MT" w:cs="Times New Roman"/>
          <w:sz w:val="28"/>
          <w:szCs w:val="28"/>
        </w:rPr>
        <w:t xml:space="preserve"> </w:t>
      </w:r>
      <w:r w:rsidRPr="00834182">
        <w:rPr>
          <w:rFonts w:ascii="Bell MT" w:hAnsi="Bell MT" w:cs="Times New Roman"/>
          <w:sz w:val="28"/>
          <w:szCs w:val="28"/>
        </w:rPr>
        <w:t>budget allocations becoming more visible and with</w:t>
      </w:r>
      <w:r w:rsidR="00BB3B8F" w:rsidRPr="00834182">
        <w:rPr>
          <w:rFonts w:ascii="Bell MT" w:hAnsi="Bell MT" w:cs="Times New Roman"/>
          <w:sz w:val="28"/>
          <w:szCs w:val="28"/>
        </w:rPr>
        <w:t xml:space="preserve"> </w:t>
      </w:r>
      <w:r w:rsidRPr="00834182">
        <w:rPr>
          <w:rFonts w:ascii="Bell MT" w:hAnsi="Bell MT" w:cs="Times New Roman"/>
          <w:sz w:val="28"/>
          <w:szCs w:val="28"/>
        </w:rPr>
        <w:t>changes in the architecture of development assistance, it</w:t>
      </w:r>
      <w:r w:rsidR="00BB3B8F" w:rsidRPr="00834182">
        <w:rPr>
          <w:rFonts w:ascii="Bell MT" w:hAnsi="Bell MT" w:cs="Times New Roman"/>
          <w:sz w:val="28"/>
          <w:szCs w:val="28"/>
        </w:rPr>
        <w:t xml:space="preserve"> </w:t>
      </w:r>
      <w:r w:rsidRPr="00834182">
        <w:rPr>
          <w:rFonts w:ascii="Bell MT" w:hAnsi="Bell MT" w:cs="Times New Roman"/>
          <w:sz w:val="28"/>
          <w:szCs w:val="28"/>
        </w:rPr>
        <w:t>is timely that we look at the lessons learned in the</w:t>
      </w:r>
      <w:r w:rsidR="00BB3B8F" w:rsidRPr="00834182">
        <w:rPr>
          <w:rFonts w:ascii="Bell MT" w:hAnsi="Bell MT" w:cs="Times New Roman"/>
          <w:sz w:val="28"/>
          <w:szCs w:val="28"/>
        </w:rPr>
        <w:t xml:space="preserve"> </w:t>
      </w:r>
      <w:r w:rsidRPr="00834182">
        <w:rPr>
          <w:rFonts w:ascii="Bell MT" w:hAnsi="Bell MT" w:cs="Times New Roman"/>
          <w:sz w:val="28"/>
          <w:szCs w:val="28"/>
        </w:rPr>
        <w:t>formulation and implementation of SWAps and SWAp</w:t>
      </w:r>
      <w:r w:rsidR="00BB3B8F" w:rsidRPr="00834182">
        <w:rPr>
          <w:rFonts w:ascii="Bell MT" w:hAnsi="Bell MT" w:cs="Times New Roman"/>
          <w:sz w:val="28"/>
          <w:szCs w:val="28"/>
        </w:rPr>
        <w:t xml:space="preserve"> </w:t>
      </w:r>
      <w:r w:rsidRPr="00834182">
        <w:rPr>
          <w:rFonts w:ascii="Bell MT" w:hAnsi="Bell MT" w:cs="Times New Roman"/>
          <w:sz w:val="28"/>
          <w:szCs w:val="28"/>
        </w:rPr>
        <w:t>like</w:t>
      </w:r>
      <w:r w:rsidR="00BB3B8F" w:rsidRPr="00834182">
        <w:rPr>
          <w:rFonts w:ascii="Bell MT" w:hAnsi="Bell MT" w:cs="Times New Roman"/>
          <w:sz w:val="28"/>
          <w:szCs w:val="28"/>
        </w:rPr>
        <w:t xml:space="preserve"> </w:t>
      </w:r>
      <w:r w:rsidRPr="00834182">
        <w:rPr>
          <w:rFonts w:ascii="Bell MT" w:hAnsi="Bell MT" w:cs="Times New Roman"/>
          <w:sz w:val="28"/>
          <w:szCs w:val="28"/>
        </w:rPr>
        <w:t>initiatives, and that we consider what approaches</w:t>
      </w:r>
      <w:r w:rsidR="00BB3B8F" w:rsidRPr="00834182">
        <w:rPr>
          <w:rFonts w:ascii="Bell MT" w:hAnsi="Bell MT" w:cs="Times New Roman"/>
          <w:sz w:val="28"/>
          <w:szCs w:val="28"/>
        </w:rPr>
        <w:t xml:space="preserve"> </w:t>
      </w:r>
      <w:r w:rsidRPr="00834182">
        <w:rPr>
          <w:rFonts w:ascii="Bell MT" w:hAnsi="Bell MT" w:cs="Times New Roman"/>
          <w:sz w:val="28"/>
          <w:szCs w:val="28"/>
        </w:rPr>
        <w:t xml:space="preserve">and instruments are most appropriate for </w:t>
      </w:r>
      <w:r w:rsidR="00BB3B8F" w:rsidRPr="00834182">
        <w:rPr>
          <w:rFonts w:ascii="Bell MT" w:hAnsi="Bell MT" w:cs="Times New Roman"/>
          <w:sz w:val="28"/>
          <w:szCs w:val="28"/>
        </w:rPr>
        <w:t xml:space="preserve">maximizing </w:t>
      </w:r>
      <w:r w:rsidRPr="00834182">
        <w:rPr>
          <w:rFonts w:ascii="Bell MT" w:hAnsi="Bell MT" w:cs="Times New Roman"/>
          <w:sz w:val="28"/>
          <w:szCs w:val="28"/>
        </w:rPr>
        <w:t>A&amp;RD’s contribution to poverty reduction as the MDG</w:t>
      </w:r>
      <w:r w:rsidR="00BB3B8F" w:rsidRPr="00834182">
        <w:rPr>
          <w:rFonts w:ascii="Bell MT" w:hAnsi="Bell MT" w:cs="Times New Roman"/>
          <w:sz w:val="28"/>
          <w:szCs w:val="28"/>
        </w:rPr>
        <w:t xml:space="preserve"> </w:t>
      </w:r>
      <w:r w:rsidRPr="00834182">
        <w:rPr>
          <w:rFonts w:ascii="Bell MT" w:hAnsi="Bell MT" w:cs="Times New Roman"/>
          <w:sz w:val="28"/>
          <w:szCs w:val="28"/>
        </w:rPr>
        <w:t>target date of 2015 approaches.</w:t>
      </w:r>
    </w:p>
    <w:p w:rsidR="00664341" w:rsidRPr="00834182" w:rsidRDefault="00664341" w:rsidP="00E41C30">
      <w:pPr>
        <w:autoSpaceDE w:val="0"/>
        <w:autoSpaceDN w:val="0"/>
        <w:adjustRightInd w:val="0"/>
        <w:spacing w:after="0"/>
        <w:jc w:val="both"/>
        <w:rPr>
          <w:rFonts w:ascii="Bell MT" w:hAnsi="Bell MT" w:cs="Times New Roman"/>
          <w:bCs/>
          <w:sz w:val="28"/>
          <w:szCs w:val="28"/>
        </w:rPr>
      </w:pPr>
    </w:p>
    <w:p w:rsidR="00AF4A04" w:rsidRPr="00834182" w:rsidRDefault="00BB3B8F"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A</w:t>
      </w:r>
      <w:r w:rsidR="00AF4A04" w:rsidRPr="00834182">
        <w:rPr>
          <w:rFonts w:ascii="Bell MT" w:hAnsi="Bell MT" w:cs="Times New Roman"/>
          <w:bCs/>
          <w:sz w:val="28"/>
          <w:szCs w:val="28"/>
        </w:rPr>
        <w:t xml:space="preserve"> quanto swap, illustrates one combination of the standard derivative instruments. A quanto swap, also known as a diff swap, is a combination of the foreign currency swap and interest rate swap. Recall that the currency swap usually involves the exchange of principal and interest payments of a local firm for that of a foreign entity. In an interest rate swap, both of the firms are local and only the interest payments are exchanged. Out of the intersection of the currency and interest rate swap comes the quanto swap. This contract involves the exchange of interest payments of a local firm for that of a foreign entity. The local firm will pay interest at the foreign interest rate, but its notional will be held in the local currency. </w:t>
      </w: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lastRenderedPageBreak/>
        <w:t>Based upon the terms of the quanto swap contract, a hypothetical scenario is used as the basis for determining the foreign currency exposure and quantifying the portfolio risk of Inka Co.:</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Inka, a U.S. manufacturer can borrow locally at a variable rate of LIBOR + .0075 and fixed rate of 9.5%. It enters two $1,000,000 loan contracts, each maturing in eight years. One loan contract entails annual fixed rate interest payments; the other entails annual variable rate interest payments. LIBOR is currently at 8.0%. Inka enters into two quanto swap agreements, one with </w:t>
      </w:r>
      <w:r w:rsidR="00BB3B8F" w:rsidRPr="00834182">
        <w:rPr>
          <w:rFonts w:ascii="Bell MT" w:hAnsi="Bell MT" w:cs="Times New Roman"/>
          <w:bCs/>
          <w:sz w:val="28"/>
          <w:szCs w:val="28"/>
        </w:rPr>
        <w:t>counterparty</w:t>
      </w:r>
      <w:r w:rsidRPr="00834182">
        <w:rPr>
          <w:rFonts w:ascii="Bell MT" w:hAnsi="Bell MT" w:cs="Times New Roman"/>
          <w:bCs/>
          <w:sz w:val="28"/>
          <w:szCs w:val="28"/>
        </w:rPr>
        <w:t xml:space="preserve"> in Japan and the other with </w:t>
      </w:r>
      <w:r w:rsidR="00BB3B8F" w:rsidRPr="00834182">
        <w:rPr>
          <w:rFonts w:ascii="Bell MT" w:hAnsi="Bell MT" w:cs="Times New Roman"/>
          <w:bCs/>
          <w:sz w:val="28"/>
          <w:szCs w:val="28"/>
        </w:rPr>
        <w:t>counterparty</w:t>
      </w:r>
      <w:r w:rsidRPr="00834182">
        <w:rPr>
          <w:rFonts w:ascii="Bell MT" w:hAnsi="Bell MT" w:cs="Times New Roman"/>
          <w:bCs/>
          <w:sz w:val="28"/>
          <w:szCs w:val="28"/>
        </w:rPr>
        <w:t xml:space="preserve"> in Germany. Inka must settle its swap interest payables in the respective foreign currencies; its swap interest receivables are denominated in dollars. Inka’s motivation for entering into the Japanese swap (swap 1) differs from the motivation to enter into the German swap (swap 2). Inka would like to establish a cash flow hedge of its interest rate risk in swap 1, and a fair value hedge of its interest rate risk in swap 2. Therefore, Inka swaps its variable interest rate for a fixed rate of 9.25% in swap 1; in swap 2, Inka exchanges its fixed rate for a variable rate of LIBOR + .01. In both swap cases, Inka believes that the dollar will strengthen against the foreign currency; therefore, it does not hedge any $/¥ or $/DM exchange rate risk. (The current exchange rates are $0.007677/¥ and $0.5486/DM.) </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Under the terms of swap one (cash flow hedge), Inka will pay a net annual fixed interest rate of 9.25%. Inka delivers the variable interest payments it receives from the Japanese counterparty to the local bank, thereby neutralizing its exposure to variable interest rates. At the same time, Inka delivers its fixed rate interest payments to the counterparty. Although the interest rate is fixed, interest settlement payments (payable in yen) are subject to unhedged currency exchange fluctuations. Inka’s annual variable interest receipts are not subject to exchange rate risk, since they are received in dollars. Similarly, Inka’s variable rate loan from the local bank is not subject to currency risk because the principal remains in the local currency. </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Under the terms of swap two (fair value hedge), Inka will pay a net annual variable rate of LIBOR + .01. Inka receives fixed interest payments at 9.5% from the German counterparty, and immediately delivers those payments to the local bank. Inka also delivers variable interest payments to the counterparty. As is the case with swap one, the interest payable cash flows are subject to currency risk.</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lastRenderedPageBreak/>
        <w:t xml:space="preserve">In order to achieve the desired fair value hedge in swap two, Inka must pay the variable LIBOR rate. Interest payments will fluctuate as LIBOR fluctuates; however, the fluctuation will change both the fair value of the swap and the fair value of the debt. As interest rates rise, the swap (an asset) becomes less valuable since it is unfavorable for Inka to pay an increasing variable interest rate. For similar reasons, Inka's fixed rate debt (a liability) becomes more valuable. The two changes in value will offset each other. Note that the sum of the debt and swap fair values will equal the initial principal amount of $1,000,000. Both swap and debt fair values are exposed to exchange rate risk. Click here to view debt and swap fair values for swap 2, given a 1% annual increase in LIBOR and constant exchange rates. </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Consider the scenario in which interest rates rise by .5% every year while exchange rates remain constant over time. The </w:t>
      </w:r>
      <w:r w:rsidR="00BB3B8F" w:rsidRPr="00834182">
        <w:rPr>
          <w:rFonts w:ascii="Bell MT" w:hAnsi="Bell MT" w:cs="Times New Roman"/>
          <w:bCs/>
          <w:sz w:val="28"/>
          <w:szCs w:val="28"/>
        </w:rPr>
        <w:t>changes</w:t>
      </w:r>
      <w:r w:rsidRPr="00834182">
        <w:rPr>
          <w:rFonts w:ascii="Bell MT" w:hAnsi="Bell MT" w:cs="Times New Roman"/>
          <w:bCs/>
          <w:sz w:val="28"/>
          <w:szCs w:val="28"/>
        </w:rPr>
        <w:t xml:space="preserve"> in variable interest rates will not affect Inka’s net cash flows under swap one. The increase in interest payable to the bank is offset by the increased receivable amount from the Japanese counterparty. The change will affect cash flows under swap two. Net cash payments under swap two will increase by $1,000,000*.005 (or $5,000) annually. Click here to view cash </w:t>
      </w:r>
      <w:r w:rsidR="00BB3B8F" w:rsidRPr="00834182">
        <w:rPr>
          <w:rFonts w:ascii="Bell MT" w:hAnsi="Bell MT" w:cs="Times New Roman"/>
          <w:bCs/>
          <w:sz w:val="28"/>
          <w:szCs w:val="28"/>
        </w:rPr>
        <w:t>settlement</w:t>
      </w:r>
      <w:r w:rsidRPr="00834182">
        <w:rPr>
          <w:rFonts w:ascii="Bell MT" w:hAnsi="Bell MT" w:cs="Times New Roman"/>
          <w:bCs/>
          <w:sz w:val="28"/>
          <w:szCs w:val="28"/>
        </w:rPr>
        <w:t xml:space="preserve"> data from the two quanto swaps.</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Now consider the scenario in which variable interest rates do not change over time, but exchange rates reflect the weakening of the dollar by 2% per year. Net cash payments increase annually for both quanto swaps, as both interest payable amounts are subject to exchange rate risk. Click here to view cash settlement data from the two quanto swaps.</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The fair values of each quanto swap also vary according to interest rate and exchange rate fluctuations. Fair value calculations require computation of the present value of future cash receipts and payments, adjusted for any currency rate changes and current cash settlements. Fair values for debt and swap items are presented assuming that both the interest rate and exchange rate changes occur. Although the exchange rate has a dampening effect on swap one, its fair value begins to increases as variable interest rates increase. As LIBOR continues to increase, it is increasingly more valuable to pay a fixed interest rate. The fair value of swap two begins to decrease. Inka is paying increasingly higher interest payments due to LIBOR increases, augmented by the effect of the weakening dollar. In addition, note the constant swap + debt fair value under swap 2 (fair </w:t>
      </w:r>
      <w:r w:rsidRPr="00834182">
        <w:rPr>
          <w:rFonts w:ascii="Bell MT" w:hAnsi="Bell MT" w:cs="Times New Roman"/>
          <w:bCs/>
          <w:sz w:val="28"/>
          <w:szCs w:val="28"/>
        </w:rPr>
        <w:lastRenderedPageBreak/>
        <w:t>value hedge), but not under swap 1 (cash flow hedge). Click here to view debt and swap fair values.</w:t>
      </w:r>
    </w:p>
    <w:p w:rsidR="00834182" w:rsidRPr="00834182" w:rsidRDefault="00834182"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Heretofore, each quanto swap has been addressed individually. However, investors are usually more interested in portfolio exposure. If interests rates were to rise by .5% per year and the exchange rates were to increase by 2% per year, portfolio results would be as follows:</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Some items to note on the partial balance sheet and income statement are: </w:t>
      </w:r>
    </w:p>
    <w:p w:rsidR="00360D50" w:rsidRPr="00834182" w:rsidRDefault="00360D50" w:rsidP="00E41C30">
      <w:pPr>
        <w:autoSpaceDE w:val="0"/>
        <w:autoSpaceDN w:val="0"/>
        <w:adjustRightInd w:val="0"/>
        <w:spacing w:after="0"/>
        <w:jc w:val="both"/>
        <w:rPr>
          <w:rFonts w:ascii="Bell MT" w:hAnsi="Bell MT" w:cs="Times New Roman"/>
          <w:bCs/>
          <w:sz w:val="28"/>
          <w:szCs w:val="28"/>
        </w:rPr>
      </w:pPr>
    </w:p>
    <w:p w:rsidR="00AF4A04" w:rsidRPr="00834182" w:rsidRDefault="00AF4A04" w:rsidP="00E41C30">
      <w:pPr>
        <w:pStyle w:val="ListParagraph"/>
        <w:numPr>
          <w:ilvl w:val="0"/>
          <w:numId w:val="2"/>
        </w:num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Inka must recognize gain or loss each year on foreign currency rates since the exposure was not hedged.</w:t>
      </w:r>
    </w:p>
    <w:p w:rsidR="00AF4A04" w:rsidRPr="00834182" w:rsidRDefault="00AF4A04" w:rsidP="00E41C30">
      <w:pPr>
        <w:pStyle w:val="ListParagraph"/>
        <w:numPr>
          <w:ilvl w:val="0"/>
          <w:numId w:val="2"/>
        </w:num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Inka can charge any other changes in fair value of the cash flow hedge to comprehensive income, thereby bypassing earnings.</w:t>
      </w:r>
    </w:p>
    <w:p w:rsidR="00AF4A04" w:rsidRPr="00834182" w:rsidRDefault="00AF4A04" w:rsidP="00E41C30">
      <w:pPr>
        <w:pStyle w:val="ListParagraph"/>
        <w:numPr>
          <w:ilvl w:val="0"/>
          <w:numId w:val="2"/>
        </w:num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Balance sheet amounts are shown at fair value. The fair value of the swap + fixed–rate debt remains constant while the swap + variable –rate debt adjusts each year. The quanto swaps are carried and marked to fair value each year. </w:t>
      </w:r>
    </w:p>
    <w:p w:rsidR="00AF4A04" w:rsidRPr="00834182" w:rsidRDefault="00AF4A04" w:rsidP="00E41C30">
      <w:pPr>
        <w:autoSpaceDE w:val="0"/>
        <w:autoSpaceDN w:val="0"/>
        <w:adjustRightInd w:val="0"/>
        <w:spacing w:after="0"/>
        <w:jc w:val="both"/>
        <w:rPr>
          <w:rFonts w:ascii="Bell MT" w:hAnsi="Bell MT" w:cs="Times New Roman"/>
          <w:bCs/>
          <w:sz w:val="28"/>
          <w:szCs w:val="28"/>
        </w:rPr>
      </w:pPr>
    </w:p>
    <w:p w:rsidR="00664341" w:rsidRPr="00834182" w:rsidRDefault="00AF4A04"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Finally, interest rates and exchange rates are likely to fluctuate positively and negatively over time. The above scenarios assume continuing negative movements in market rates. This is often not the case in the current business environment. A last example illustrates the potential for significant positive and negative changes in portfolio results from one year to the next.</w:t>
      </w: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664341" w:rsidRDefault="00664341"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Pr="000E1CB0" w:rsidRDefault="009D2ECC" w:rsidP="00E41C30">
      <w:pPr>
        <w:autoSpaceDE w:val="0"/>
        <w:autoSpaceDN w:val="0"/>
        <w:adjustRightInd w:val="0"/>
        <w:spacing w:after="0"/>
        <w:jc w:val="center"/>
        <w:rPr>
          <w:rFonts w:ascii="Kunstler Script" w:hAnsi="Kunstler Script" w:cs="Times New Roman"/>
          <w:bCs/>
          <w:sz w:val="96"/>
          <w:szCs w:val="96"/>
        </w:rPr>
      </w:pPr>
      <w:r w:rsidRPr="000E1CB0">
        <w:rPr>
          <w:rFonts w:ascii="Kunstler Script" w:hAnsi="Kunstler Script" w:cs="Times New Roman"/>
          <w:bCs/>
          <w:sz w:val="96"/>
          <w:szCs w:val="96"/>
        </w:rPr>
        <w:lastRenderedPageBreak/>
        <w:t xml:space="preserve">New services offset interest rate risk </w:t>
      </w:r>
      <w:r w:rsidR="00360D50" w:rsidRPr="000E1CB0">
        <w:rPr>
          <w:rFonts w:ascii="Kunstler Script" w:hAnsi="Kunstler Script" w:cs="Times New Roman"/>
          <w:bCs/>
          <w:sz w:val="96"/>
          <w:szCs w:val="96"/>
        </w:rPr>
        <w:t>–</w:t>
      </w:r>
      <w:r w:rsidRPr="000E1CB0">
        <w:rPr>
          <w:rFonts w:ascii="Kunstler Script" w:hAnsi="Kunstler Script" w:cs="Times New Roman"/>
          <w:bCs/>
          <w:sz w:val="96"/>
          <w:szCs w:val="96"/>
        </w:rPr>
        <w:t xml:space="preserve"> </w:t>
      </w:r>
    </w:p>
    <w:p w:rsidR="009D2ECC" w:rsidRPr="000E1CB0" w:rsidRDefault="00360D50" w:rsidP="00E41C30">
      <w:pPr>
        <w:autoSpaceDE w:val="0"/>
        <w:autoSpaceDN w:val="0"/>
        <w:adjustRightInd w:val="0"/>
        <w:spacing w:after="0"/>
        <w:jc w:val="center"/>
        <w:rPr>
          <w:rFonts w:ascii="Kunstler Script" w:hAnsi="Kunstler Script" w:cs="Times New Roman"/>
          <w:bCs/>
          <w:sz w:val="96"/>
          <w:szCs w:val="96"/>
        </w:rPr>
      </w:pPr>
      <w:r w:rsidRPr="000E1CB0">
        <w:rPr>
          <w:rFonts w:ascii="Kunstler Script" w:hAnsi="Kunstler Script" w:cs="Times New Roman"/>
          <w:bCs/>
          <w:sz w:val="96"/>
          <w:szCs w:val="96"/>
        </w:rPr>
        <w:t>I</w:t>
      </w:r>
      <w:r w:rsidR="009D2ECC" w:rsidRPr="000E1CB0">
        <w:rPr>
          <w:rFonts w:ascii="Kunstler Script" w:hAnsi="Kunstler Script" w:cs="Times New Roman"/>
          <w:bCs/>
          <w:sz w:val="96"/>
          <w:szCs w:val="96"/>
        </w:rPr>
        <w:t>nterest rate swaps</w:t>
      </w:r>
    </w:p>
    <w:p w:rsidR="009D2ECC" w:rsidRPr="00BB3B8F" w:rsidRDefault="009D2ECC"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Interest rate risk is not a new issue. Because of interest rate volatility, healthcare institutions long have been exposed to increasing debt costs or falling investment returns.</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Recently, however, new services have emerged to manage that exposure. Although an array of services is available, the most commonly used are interest rate swaps, caps,</w:t>
      </w:r>
      <w:r w:rsidR="00360D50" w:rsidRPr="00834182">
        <w:rPr>
          <w:rFonts w:ascii="Bell MT" w:hAnsi="Bell MT" w:cs="Times New Roman"/>
          <w:bCs/>
          <w:sz w:val="28"/>
          <w:szCs w:val="28"/>
        </w:rPr>
        <w:t xml:space="preserve"> and floors. </w:t>
      </w:r>
      <w:r w:rsidRPr="00834182">
        <w:rPr>
          <w:rFonts w:ascii="Bell MT" w:hAnsi="Bell MT" w:cs="Times New Roman"/>
          <w:bCs/>
          <w:sz w:val="28"/>
          <w:szCs w:val="28"/>
        </w:rPr>
        <w:t>An interest rate swap allows an organization to convert an asset's or liability's interest rate from fixed to floating, or vice versa, without altering the underlying investment or debt. No principal is exchanged in a swap.</w:t>
      </w:r>
      <w:r w:rsidR="00360D50" w:rsidRPr="00834182">
        <w:rPr>
          <w:rFonts w:ascii="Bell MT" w:hAnsi="Bell MT" w:cs="Times New Roman"/>
          <w:bCs/>
          <w:sz w:val="28"/>
          <w:szCs w:val="28"/>
        </w:rPr>
        <w:t xml:space="preserve"> </w:t>
      </w:r>
      <w:r w:rsidRPr="00834182">
        <w:rPr>
          <w:rFonts w:ascii="Bell MT" w:hAnsi="Bell MT" w:cs="Times New Roman"/>
          <w:bCs/>
          <w:sz w:val="28"/>
          <w:szCs w:val="28"/>
        </w:rPr>
        <w:t>It is an off-balance-sheet transaction allowing an organization and a counterparty to exchange a series of interest payments based on a set principal amount and two separate interest rates. The counterparty can be the firm's lender, investment manager, or another party.</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In swapping to convert a floating rate of interest to a fixed rate, a healthcare institution receives a series of floating rate payments from counterparty. These payments would be based on the same interest rate index as the institution's debt payments.</w:t>
      </w:r>
      <w:r w:rsidRPr="00834182">
        <w:rPr>
          <w:rFonts w:ascii="Bell MT" w:hAnsi="Bell MT" w:cs="Times New Roman"/>
          <w:bCs/>
          <w:sz w:val="28"/>
          <w:szCs w:val="28"/>
        </w:rPr>
        <w:cr/>
      </w: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At the outset, the institution would agree to pay the counterparty a fixed rate of interest over the life of the transaction. The rate usually is expressed as a spread plus the yield of a U.S. Treasury note for the same term as the swap. No other fees or costs normally are incurred.</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360D50"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Because the floating rate an institution receives offsets its floating debt interest payments, the institution effectively is left with a fixed rate of interest. Healthcare providers also can swap to convert the yield on assets from floating to fixed or from fixed to floating, depending on balance sheet structures, exposures to rate movements, and rate projections. </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An interest rate cap allows an organization to set a maximum on the index that determines its floating rate debt costs. Like swaps, caps may or may not be executed with a lending bank. An organization pays an upfront fee to guarantee payment if borrowing costs rise above the cap level.</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For example, a healthcare organization might purchase a cap from its bank to hedge a prime rate borrowing, limiting its exposure to the prime rate fluctuating above 12 percent for three years.</w:t>
      </w:r>
      <w:r w:rsidR="00834182">
        <w:rPr>
          <w:rFonts w:ascii="Bell MT" w:hAnsi="Bell MT" w:cs="Times New Roman"/>
          <w:bCs/>
          <w:sz w:val="28"/>
          <w:szCs w:val="28"/>
        </w:rPr>
        <w:t xml:space="preserve"> </w:t>
      </w:r>
      <w:r w:rsidRPr="00834182">
        <w:rPr>
          <w:rFonts w:ascii="Bell MT" w:hAnsi="Bell MT" w:cs="Times New Roman"/>
          <w:bCs/>
          <w:sz w:val="28"/>
          <w:szCs w:val="28"/>
        </w:rPr>
        <w:t>If the prime rate increases to 13 percent during that time, the organization would continue to pay the higher rate to the bank. However, the bank would pay the difference between the 13 percent prime rate and the 12 percent cap level, bringing the borrower's effective maximum interest cost back to 12 percent.</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9D2ECC"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The difference between a cap and a swap is that a swap effectively fixes an organization's interest cost, so it will not incur higher costs if rates rise and will not benefit if rates fall. A cap sets a maximum on a floating rate but allows a company to enjoy lower costs if rates fall.</w:t>
      </w:r>
      <w:r w:rsidR="00834182">
        <w:rPr>
          <w:rFonts w:ascii="Bell MT" w:hAnsi="Bell MT" w:cs="Times New Roman"/>
          <w:bCs/>
          <w:sz w:val="28"/>
          <w:szCs w:val="28"/>
        </w:rPr>
        <w:t xml:space="preserve"> </w:t>
      </w:r>
      <w:r w:rsidRPr="00834182">
        <w:rPr>
          <w:rFonts w:ascii="Bell MT" w:hAnsi="Bell MT" w:cs="Times New Roman"/>
          <w:bCs/>
          <w:sz w:val="28"/>
          <w:szCs w:val="28"/>
        </w:rPr>
        <w:t>The fee charged for a cap varies with the length of time the cap will remain in effect, the principal amount being capped, the level at which the cap is set, and market rate forecasts. Interest rate floors provide protection against declining yields on variable rate investments. The mechanics mirror those of an interest rate cap. An investor pays an upfront premium for the right to be paid if rates fall below a specified level.</w:t>
      </w:r>
    </w:p>
    <w:p w:rsidR="009D2ECC" w:rsidRPr="00834182" w:rsidRDefault="009D2ECC" w:rsidP="00E41C30">
      <w:pPr>
        <w:autoSpaceDE w:val="0"/>
        <w:autoSpaceDN w:val="0"/>
        <w:adjustRightInd w:val="0"/>
        <w:spacing w:after="0"/>
        <w:jc w:val="both"/>
        <w:rPr>
          <w:rFonts w:ascii="Bell MT" w:hAnsi="Bell MT" w:cs="Times New Roman"/>
          <w:bCs/>
          <w:sz w:val="28"/>
          <w:szCs w:val="28"/>
        </w:rPr>
      </w:pPr>
    </w:p>
    <w:p w:rsidR="00664341" w:rsidRPr="00834182" w:rsidRDefault="009D2ECC"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If rates fall below that level, the company will receive a lower return from its variable rate investment. However, it also will receive a payment from the floor seller for the difference between the market yield and the floor rate, bringing the effective yield back to the floor rate.</w:t>
      </w:r>
      <w:r w:rsidR="00834182">
        <w:rPr>
          <w:rFonts w:ascii="Bell MT" w:hAnsi="Bell MT" w:cs="Times New Roman"/>
          <w:bCs/>
          <w:sz w:val="28"/>
          <w:szCs w:val="28"/>
        </w:rPr>
        <w:t xml:space="preserve"> </w:t>
      </w:r>
      <w:r w:rsidRPr="00834182">
        <w:rPr>
          <w:rFonts w:ascii="Bell MT" w:hAnsi="Bell MT" w:cs="Times New Roman"/>
          <w:bCs/>
          <w:sz w:val="28"/>
          <w:szCs w:val="28"/>
        </w:rPr>
        <w:t>Like caps, interest rate floors allow an organization to protect itself from adverse interest rate movements and to benefit from favorable shifts in market rates.</w:t>
      </w:r>
    </w:p>
    <w:p w:rsidR="009D2ECC" w:rsidRPr="00BB3B8F" w:rsidRDefault="009D2ECC" w:rsidP="00E41C30">
      <w:pPr>
        <w:autoSpaceDE w:val="0"/>
        <w:autoSpaceDN w:val="0"/>
        <w:adjustRightInd w:val="0"/>
        <w:spacing w:after="0"/>
        <w:jc w:val="both"/>
        <w:rPr>
          <w:rFonts w:ascii="Times New Roman" w:hAnsi="Times New Roman" w:cs="Times New Roman"/>
          <w:bCs/>
          <w:sz w:val="24"/>
          <w:szCs w:val="24"/>
        </w:rPr>
      </w:pPr>
    </w:p>
    <w:p w:rsidR="00664341" w:rsidRPr="00BB3B8F" w:rsidRDefault="00664341" w:rsidP="00E41C30">
      <w:pPr>
        <w:autoSpaceDE w:val="0"/>
        <w:autoSpaceDN w:val="0"/>
        <w:adjustRightInd w:val="0"/>
        <w:spacing w:after="0"/>
        <w:jc w:val="both"/>
        <w:rPr>
          <w:rFonts w:ascii="Times New Roman" w:hAnsi="Times New Roman" w:cs="Times New Roman"/>
          <w:bCs/>
          <w:sz w:val="24"/>
          <w:szCs w:val="24"/>
        </w:rPr>
      </w:pPr>
    </w:p>
    <w:p w:rsidR="005D1373" w:rsidRDefault="005D1373"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9950B0" w:rsidRPr="000E1CB0" w:rsidRDefault="009950B0" w:rsidP="009950B0">
      <w:pPr>
        <w:spacing w:before="72"/>
        <w:ind w:left="432"/>
        <w:jc w:val="center"/>
        <w:rPr>
          <w:rFonts w:ascii="Kunstler Script" w:hAnsi="Kunstler Script"/>
          <w:spacing w:val="2"/>
          <w:sz w:val="110"/>
          <w:szCs w:val="110"/>
        </w:rPr>
      </w:pPr>
      <w:r w:rsidRPr="000E1CB0">
        <w:rPr>
          <w:rFonts w:ascii="Kunstler Script" w:hAnsi="Kunstler Script"/>
          <w:spacing w:val="2"/>
          <w:sz w:val="110"/>
          <w:szCs w:val="110"/>
        </w:rPr>
        <w:lastRenderedPageBreak/>
        <w:t>Currency swaps</w:t>
      </w:r>
    </w:p>
    <w:p w:rsidR="009950B0" w:rsidRDefault="009950B0" w:rsidP="009950B0">
      <w:pPr>
        <w:spacing w:before="72"/>
        <w:ind w:left="432"/>
        <w:jc w:val="both"/>
        <w:rPr>
          <w:rFonts w:ascii="Arial" w:hAnsi="Arial"/>
          <w:b/>
          <w:spacing w:val="2"/>
        </w:rPr>
      </w:pPr>
    </w:p>
    <w:p w:rsidR="009950B0" w:rsidRPr="009950B0" w:rsidRDefault="009950B0" w:rsidP="009950B0">
      <w:pPr>
        <w:jc w:val="both"/>
        <w:rPr>
          <w:rFonts w:ascii="Bell MT" w:hAnsi="Bell MT"/>
          <w:sz w:val="28"/>
          <w:szCs w:val="28"/>
        </w:rPr>
      </w:pPr>
      <w:r w:rsidRPr="009950B0">
        <w:rPr>
          <w:rFonts w:ascii="Bell MT" w:hAnsi="Bell MT"/>
          <w:sz w:val="28"/>
          <w:szCs w:val="28"/>
        </w:rPr>
        <w:t>The currency swap is another technique for controlling exchange rate risk. Whereas options and futures contracts generally have a fairly short duration, a currency swap pro</w:t>
      </w:r>
      <w:r w:rsidRPr="009950B0">
        <w:rPr>
          <w:rFonts w:ascii="Bell MT" w:hAnsi="Bell MT"/>
          <w:sz w:val="28"/>
          <w:szCs w:val="28"/>
        </w:rPr>
        <w:softHyphen/>
        <w:t>vides the financial manager with the ability to hedge away exchange rate risk over longer periods. It is for that reason that currency swaps have gained in popularity. A currency swap is simply an exchange of debt obligations in different currencies. Interest rate swaps are used to provide long-term exchange rate risk hedging. Actually, a currency swap can be quite simple, with two firms agreeing to pay each other's debt obligation.</w:t>
      </w:r>
    </w:p>
    <w:p w:rsidR="009950B0" w:rsidRPr="009950B0" w:rsidRDefault="009950B0" w:rsidP="009950B0">
      <w:pPr>
        <w:jc w:val="both"/>
        <w:rPr>
          <w:rFonts w:ascii="Bell MT" w:hAnsi="Bell MT"/>
          <w:sz w:val="28"/>
          <w:szCs w:val="28"/>
        </w:rPr>
      </w:pPr>
      <w:r w:rsidRPr="009950B0">
        <w:rPr>
          <w:rFonts w:ascii="Bell MT" w:hAnsi="Bell MT"/>
          <w:sz w:val="28"/>
          <w:szCs w:val="28"/>
        </w:rPr>
        <w:t>How does this serve to eliminate exchange rate risk? If I am an American firm with much of my income coming from sales in England, I might enter in a currency swap with an English firm. If the value of the British pound depreciates from 1.90 dollars to the pound to 1.70 dollars to the pound, then each dollar of sales in England will bring fewer dollars back to the parent company in the United States. This would be offset by the effects of the currency swap because it costs the U.S. firm fewer dollars to fulfill the English firm's interest obligations. That is, pounds cost less to purchase, and the interest payments owed are in pounds. The nice thing about a currency swap is that it allows the firm to engage in long-term exchange rate risk hedging, because the debt obligation cov</w:t>
      </w:r>
      <w:r w:rsidRPr="009950B0">
        <w:rPr>
          <w:rFonts w:ascii="Bell MT" w:hAnsi="Bell MT"/>
          <w:sz w:val="28"/>
          <w:szCs w:val="28"/>
        </w:rPr>
        <w:softHyphen/>
        <w:t>ers a relatively long time period.</w:t>
      </w:r>
    </w:p>
    <w:p w:rsidR="009950B0" w:rsidRPr="009950B0" w:rsidRDefault="009950B0" w:rsidP="009950B0">
      <w:pPr>
        <w:jc w:val="both"/>
        <w:rPr>
          <w:rFonts w:ascii="Bell MT" w:hAnsi="Bell MT"/>
          <w:sz w:val="28"/>
          <w:szCs w:val="28"/>
        </w:rPr>
      </w:pPr>
      <w:r w:rsidRPr="009950B0">
        <w:rPr>
          <w:rFonts w:ascii="Bell MT" w:hAnsi="Bell MT"/>
          <w:sz w:val="28"/>
          <w:szCs w:val="28"/>
        </w:rPr>
        <w:t xml:space="preserve">Needless to say, there are many variations of the currency swap. One of the more popular is the interest rate currency swap, where the principal is not included in the swap. That is, only interest payment obligations in different currencies are swapped. The key to controlling risk is to get an accurate estimate on </w:t>
      </w:r>
      <w:r w:rsidRPr="009950B0">
        <w:rPr>
          <w:rFonts w:ascii="Bell MT" w:hAnsi="Bell MT"/>
          <w:b/>
          <w:sz w:val="28"/>
          <w:szCs w:val="28"/>
        </w:rPr>
        <w:t xml:space="preserve">the net exposure </w:t>
      </w:r>
      <w:r w:rsidRPr="009950B0">
        <w:rPr>
          <w:rFonts w:ascii="Bell MT" w:hAnsi="Bell MT"/>
          <w:sz w:val="28"/>
          <w:szCs w:val="28"/>
        </w:rPr>
        <w:t>level to which the firm is subjected. Then the firm must decide whether it feels it is prudent to subject itself to the risk associated with possible exchange rate fluctuations.</w:t>
      </w:r>
    </w:p>
    <w:p w:rsidR="009950B0" w:rsidRPr="009950B0" w:rsidRDefault="009950B0" w:rsidP="009950B0">
      <w:pPr>
        <w:jc w:val="both"/>
        <w:rPr>
          <w:rFonts w:ascii="Bell MT" w:hAnsi="Bell MT"/>
          <w:sz w:val="28"/>
          <w:szCs w:val="28"/>
        </w:rPr>
      </w:pPr>
      <w:r w:rsidRPr="009950B0">
        <w:rPr>
          <w:rFonts w:ascii="Bell MT" w:hAnsi="Bell MT"/>
          <w:sz w:val="28"/>
          <w:szCs w:val="28"/>
        </w:rPr>
        <w:t xml:space="preserve">These look like great ideas-enter into a contract that reduces risk-but just as </w:t>
      </w:r>
      <w:r w:rsidRPr="009950B0">
        <w:rPr>
          <w:rFonts w:ascii="Bell MT" w:hAnsi="Bell MT"/>
          <w:b/>
          <w:sz w:val="28"/>
          <w:szCs w:val="28"/>
        </w:rPr>
        <w:t xml:space="preserve">with the other derivative securities, they are dangerous if used </w:t>
      </w:r>
      <w:r w:rsidRPr="009950B0">
        <w:rPr>
          <w:rFonts w:ascii="Bell MT" w:hAnsi="Bell MT"/>
          <w:sz w:val="28"/>
          <w:szCs w:val="28"/>
        </w:rPr>
        <w:t xml:space="preserve">by those who don't understand their risks. For example, in 1994 Procter &amp; Gamble Corporation lost $157 million on swaps that involved interest rate payments made in German marks and U.S. dollars. How did this happen? Exchange rates and interest rates </w:t>
      </w:r>
      <w:r w:rsidRPr="009950B0">
        <w:rPr>
          <w:rFonts w:ascii="Bell MT" w:hAnsi="Bell MT"/>
          <w:sz w:val="28"/>
          <w:szCs w:val="28"/>
        </w:rPr>
        <w:lastRenderedPageBreak/>
        <w:t>didn't go the way Procter &amp; Gamble had anticipated and the costs were a lot more than it thought they might ever be. In effect, Procter &amp; Gamble simply got talked into something it didn't understand. The same thing happened to the Australian government in 2002 when they lost over $1 billion in currency swaps. See the Finance Matters box, "The Risk That Won't Go Away."</w:t>
      </w:r>
    </w:p>
    <w:p w:rsidR="009950B0" w:rsidRDefault="009950B0" w:rsidP="009950B0">
      <w:pPr>
        <w:autoSpaceDE w:val="0"/>
        <w:autoSpaceDN w:val="0"/>
        <w:adjustRightInd w:val="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9950B0" w:rsidRDefault="009950B0" w:rsidP="00E41C30">
      <w:pPr>
        <w:autoSpaceDE w:val="0"/>
        <w:autoSpaceDN w:val="0"/>
        <w:adjustRightInd w:val="0"/>
        <w:spacing w:after="0"/>
        <w:jc w:val="center"/>
        <w:rPr>
          <w:rFonts w:ascii="Kunstler Script" w:hAnsi="Kunstler Script" w:cs="Times New Roman"/>
          <w:b/>
          <w:bCs/>
          <w:sz w:val="96"/>
          <w:szCs w:val="96"/>
        </w:rPr>
      </w:pPr>
    </w:p>
    <w:p w:rsidR="005D1373" w:rsidRPr="00BF56CC" w:rsidRDefault="00834182" w:rsidP="00E41C30">
      <w:pPr>
        <w:autoSpaceDE w:val="0"/>
        <w:autoSpaceDN w:val="0"/>
        <w:adjustRightInd w:val="0"/>
        <w:spacing w:after="0"/>
        <w:jc w:val="center"/>
        <w:rPr>
          <w:rFonts w:ascii="Kunstler Script" w:hAnsi="Kunstler Script" w:cs="Times New Roman"/>
          <w:bCs/>
          <w:sz w:val="110"/>
          <w:szCs w:val="110"/>
        </w:rPr>
      </w:pPr>
      <w:r w:rsidRPr="00BF56CC">
        <w:rPr>
          <w:rFonts w:ascii="Kunstler Script" w:hAnsi="Kunstler Script" w:cs="Times New Roman"/>
          <w:bCs/>
          <w:sz w:val="110"/>
          <w:szCs w:val="110"/>
        </w:rPr>
        <w:lastRenderedPageBreak/>
        <w:t>Issues in corporate risk management</w:t>
      </w:r>
    </w:p>
    <w:p w:rsidR="005D1373" w:rsidRPr="00360D50" w:rsidRDefault="005D1373" w:rsidP="00E41C30">
      <w:pPr>
        <w:autoSpaceDE w:val="0"/>
        <w:autoSpaceDN w:val="0"/>
        <w:adjustRightInd w:val="0"/>
        <w:spacing w:after="0"/>
        <w:jc w:val="both"/>
        <w:rPr>
          <w:rFonts w:ascii="Times New Roman" w:hAnsi="Times New Roman" w:cs="Times New Roman"/>
          <w:b/>
          <w:bCs/>
          <w:sz w:val="36"/>
          <w:szCs w:val="36"/>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5D1373" w:rsidRPr="00834182" w:rsidRDefault="005D1373"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The definition of proper Objectives is the first step in effective Corporate FX Risk Management. Get your objectives wrong and you are most likely courting trouble. We had taken this up in the Issue dated 28-Mar-04. Having set the correct objectives, the Risk Manager needs to keep them in mind after the Hedge Strategy has been implemented, so as to not be led astray by the market. It pays immensely. </w:t>
      </w:r>
    </w:p>
    <w:p w:rsidR="005D1373" w:rsidRPr="00834182" w:rsidRDefault="005D1373" w:rsidP="00E41C30">
      <w:pPr>
        <w:autoSpaceDE w:val="0"/>
        <w:autoSpaceDN w:val="0"/>
        <w:adjustRightInd w:val="0"/>
        <w:spacing w:after="0"/>
        <w:jc w:val="both"/>
        <w:rPr>
          <w:rFonts w:ascii="Bell MT" w:hAnsi="Bell MT" w:cs="Times New Roman"/>
          <w:bCs/>
          <w:sz w:val="28"/>
          <w:szCs w:val="28"/>
        </w:rPr>
      </w:pPr>
    </w:p>
    <w:p w:rsidR="005D1373" w:rsidRPr="00834182" w:rsidRDefault="005D1373"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A conglomerate with a Rupee Balance Sheet had a large foreign currency loan book, 85% of which was denominated in US Dollars. The balance was in D-Marks, Yen and Sterling. Circa 1994-95, the Risk Manager decided to reduce the currency concentration risk and rebalance the loan basket using Currency Swaps. The Objective was clearly defined as Risk Diversification. </w:t>
      </w:r>
    </w:p>
    <w:p w:rsidR="005D1373" w:rsidRPr="00BB3B8F" w:rsidRDefault="00360D50" w:rsidP="00E41C30">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59264" behindDoc="1" locked="0" layoutInCell="1" allowOverlap="1">
            <wp:simplePos x="0" y="0"/>
            <wp:positionH relativeFrom="column">
              <wp:posOffset>-19050</wp:posOffset>
            </wp:positionH>
            <wp:positionV relativeFrom="paragraph">
              <wp:posOffset>333375</wp:posOffset>
            </wp:positionV>
            <wp:extent cx="5981700" cy="2847975"/>
            <wp:effectExtent l="95250" t="95250" r="95250" b="104775"/>
            <wp:wrapTight wrapText="bothSides">
              <wp:wrapPolygon edited="0">
                <wp:start x="-344" y="-722"/>
                <wp:lineTo x="-344" y="22395"/>
                <wp:lineTo x="21944" y="22395"/>
                <wp:lineTo x="21944" y="-722"/>
                <wp:lineTo x="-344" y="-722"/>
              </wp:wrapPolygon>
            </wp:wrapTight>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5981700" cy="28479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5D1373" w:rsidRPr="00834182" w:rsidRDefault="005D1373"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lastRenderedPageBreak/>
        <w:t xml:space="preserve">It was decided to swap 10% of the Dollar loans into Yen. The Yen was chosen because interest rates were close to zero as compared to 6.50-6.75% on the USD 6-month Libor, giving a huge interest benefit. Further, the Yen was expected to weaken over a 3 year time frame. The Swap took place in Jan-95 near 100 on the USDJPY Spot. </w:t>
      </w:r>
    </w:p>
    <w:p w:rsidR="005D1373" w:rsidRPr="00834182" w:rsidRDefault="005D1373" w:rsidP="00E41C30">
      <w:pPr>
        <w:autoSpaceDE w:val="0"/>
        <w:autoSpaceDN w:val="0"/>
        <w:adjustRightInd w:val="0"/>
        <w:spacing w:after="0"/>
        <w:jc w:val="both"/>
        <w:rPr>
          <w:rFonts w:ascii="Bell MT" w:hAnsi="Bell MT" w:cs="Times New Roman"/>
          <w:bCs/>
          <w:sz w:val="28"/>
          <w:szCs w:val="28"/>
        </w:rPr>
      </w:pPr>
    </w:p>
    <w:p w:rsidR="005D1373" w:rsidRPr="00834182" w:rsidRDefault="005D1373"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 xml:space="preserve">Almost immediately thereafter, the Dollar dived against the Yen, to hit an all time low of 79.80 in April 1995. There were 3 months of intense agony. The company had never undertaken such a large forex deal. The Board was on the edge. Had the deal gone horribly wrong? The Risk Manager reminded the Board that the objective was Risk Diversification and only 10% of the loan book had been put on the line. Further, the deal had a 3 year tenor. </w:t>
      </w:r>
    </w:p>
    <w:p w:rsidR="005D1373" w:rsidRPr="00834182" w:rsidRDefault="005D1373" w:rsidP="00E41C30">
      <w:pPr>
        <w:autoSpaceDE w:val="0"/>
        <w:autoSpaceDN w:val="0"/>
        <w:adjustRightInd w:val="0"/>
        <w:spacing w:after="0"/>
        <w:jc w:val="both"/>
        <w:rPr>
          <w:rFonts w:ascii="Bell MT" w:hAnsi="Bell MT" w:cs="Times New Roman"/>
          <w:bCs/>
          <w:sz w:val="28"/>
          <w:szCs w:val="28"/>
        </w:rPr>
      </w:pPr>
    </w:p>
    <w:p w:rsidR="005D1373" w:rsidRPr="00834182" w:rsidRDefault="005D1373" w:rsidP="00E41C30">
      <w:pPr>
        <w:autoSpaceDE w:val="0"/>
        <w:autoSpaceDN w:val="0"/>
        <w:adjustRightInd w:val="0"/>
        <w:spacing w:after="0"/>
        <w:jc w:val="both"/>
        <w:rPr>
          <w:rFonts w:ascii="Bell MT" w:hAnsi="Bell MT" w:cs="Times New Roman"/>
          <w:bCs/>
          <w:sz w:val="28"/>
          <w:szCs w:val="28"/>
        </w:rPr>
      </w:pPr>
      <w:r w:rsidRPr="00834182">
        <w:rPr>
          <w:rFonts w:ascii="Bell MT" w:hAnsi="Bell MT" w:cs="Times New Roman"/>
          <w:bCs/>
          <w:sz w:val="28"/>
          <w:szCs w:val="28"/>
        </w:rPr>
        <w:t>The market eventually turned around and the danger passed. The Swap came back into money. Now the Board was tempted to square off the trade and book whatever small profit was available. Again the Risk Manager stuck to his guns, saying the Objective was long term Currency Diversification, not short term Trading Profits. The Board backed down and the Swap was allowed to run its course. The Yen eventually touched 120 in 1997. The company booked a huge currency and interest rate gain of almost $17 million. Those who have been in the market through that period would appreciate how difficult it must have been to steer such a trade through to its end. It is immensely commendable that the Risk Manager did not waver from the Objective, neither in bad times nor in good times.</w:t>
      </w:r>
    </w:p>
    <w:p w:rsidR="005D1373" w:rsidRPr="00BB3B8F" w:rsidRDefault="005D1373" w:rsidP="00E41C30">
      <w:pPr>
        <w:autoSpaceDE w:val="0"/>
        <w:autoSpaceDN w:val="0"/>
        <w:adjustRightInd w:val="0"/>
        <w:spacing w:after="0"/>
        <w:jc w:val="both"/>
        <w:rPr>
          <w:rFonts w:ascii="Times New Roman" w:hAnsi="Times New Roman" w:cs="Times New Roman"/>
          <w:bCs/>
          <w:sz w:val="24"/>
          <w:szCs w:val="24"/>
        </w:rPr>
      </w:pPr>
    </w:p>
    <w:p w:rsidR="005D1373" w:rsidRPr="00BB3B8F" w:rsidRDefault="005D1373" w:rsidP="00E41C30">
      <w:pPr>
        <w:autoSpaceDE w:val="0"/>
        <w:autoSpaceDN w:val="0"/>
        <w:adjustRightInd w:val="0"/>
        <w:spacing w:after="0"/>
        <w:jc w:val="both"/>
        <w:rPr>
          <w:rFonts w:ascii="Times New Roman" w:hAnsi="Times New Roman" w:cs="Times New Roman"/>
          <w:bCs/>
          <w:sz w:val="24"/>
          <w:szCs w:val="24"/>
        </w:rPr>
      </w:pPr>
    </w:p>
    <w:p w:rsidR="005D1373" w:rsidRPr="00BB3B8F" w:rsidRDefault="005D1373" w:rsidP="00E41C30">
      <w:pPr>
        <w:autoSpaceDE w:val="0"/>
        <w:autoSpaceDN w:val="0"/>
        <w:adjustRightInd w:val="0"/>
        <w:spacing w:after="0"/>
        <w:jc w:val="both"/>
        <w:rPr>
          <w:rFonts w:ascii="Times New Roman" w:hAnsi="Times New Roman" w:cs="Times New Roman"/>
          <w:bCs/>
          <w:sz w:val="24"/>
          <w:szCs w:val="24"/>
        </w:rPr>
      </w:pPr>
    </w:p>
    <w:p w:rsidR="005D1373" w:rsidRDefault="005D1373"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Pr="00BF56CC" w:rsidRDefault="00937244" w:rsidP="00E41C30">
      <w:pPr>
        <w:autoSpaceDE w:val="0"/>
        <w:autoSpaceDN w:val="0"/>
        <w:adjustRightInd w:val="0"/>
        <w:spacing w:after="0"/>
        <w:jc w:val="center"/>
        <w:rPr>
          <w:rFonts w:ascii="Kunstler Script" w:hAnsi="Kunstler Script" w:cs="Times New Roman"/>
          <w:bCs/>
          <w:sz w:val="110"/>
          <w:szCs w:val="110"/>
        </w:rPr>
      </w:pPr>
      <w:r w:rsidRPr="00BF56CC">
        <w:rPr>
          <w:rFonts w:ascii="Kunstler Script" w:hAnsi="Kunstler Script" w:cs="Times New Roman"/>
          <w:bCs/>
          <w:sz w:val="110"/>
          <w:szCs w:val="110"/>
        </w:rPr>
        <w:lastRenderedPageBreak/>
        <w:t>Variance swaps</w:t>
      </w:r>
    </w:p>
    <w:p w:rsidR="00360D50" w:rsidRDefault="00360D50" w:rsidP="00E41C30">
      <w:pPr>
        <w:autoSpaceDE w:val="0"/>
        <w:autoSpaceDN w:val="0"/>
        <w:adjustRightInd w:val="0"/>
        <w:spacing w:after="0"/>
        <w:jc w:val="both"/>
        <w:rPr>
          <w:rFonts w:ascii="Times New Roman" w:hAnsi="Times New Roman" w:cs="Times New Roman"/>
          <w:bCs/>
          <w:sz w:val="24"/>
          <w:szCs w:val="24"/>
        </w:rPr>
      </w:pPr>
    </w:p>
    <w:p w:rsidR="00360D50" w:rsidRDefault="00360D50" w:rsidP="00E41C30">
      <w:pPr>
        <w:autoSpaceDE w:val="0"/>
        <w:autoSpaceDN w:val="0"/>
        <w:adjustRightInd w:val="0"/>
        <w:spacing w:after="0"/>
        <w:jc w:val="both"/>
        <w:rPr>
          <w:rFonts w:ascii="Times New Roman" w:hAnsi="Times New Roman" w:cs="Times New Roman"/>
          <w:sz w:val="24"/>
          <w:szCs w:val="24"/>
        </w:rPr>
      </w:pPr>
    </w:p>
    <w:p w:rsidR="00360D50" w:rsidRDefault="00360D50" w:rsidP="00E41C30">
      <w:pPr>
        <w:autoSpaceDE w:val="0"/>
        <w:autoSpaceDN w:val="0"/>
        <w:adjustRightInd w:val="0"/>
        <w:spacing w:after="0"/>
        <w:jc w:val="both"/>
        <w:rPr>
          <w:rFonts w:ascii="Times New Roman" w:hAnsi="Times New Roman" w:cs="Times New Roman"/>
          <w:sz w:val="24"/>
          <w:szCs w:val="24"/>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Variance swaps and dispersion trades have been extremely popular with hedge funds and</w:t>
      </w:r>
      <w:r w:rsidR="00360D50" w:rsidRPr="00834182">
        <w:rPr>
          <w:rFonts w:ascii="Bell MT" w:hAnsi="Bell MT" w:cs="Times New Roman"/>
          <w:sz w:val="28"/>
          <w:szCs w:val="28"/>
        </w:rPr>
        <w:t xml:space="preserve"> </w:t>
      </w:r>
      <w:r w:rsidRPr="00834182">
        <w:rPr>
          <w:rFonts w:ascii="Bell MT" w:hAnsi="Bell MT" w:cs="Times New Roman"/>
          <w:sz w:val="28"/>
          <w:szCs w:val="28"/>
        </w:rPr>
        <w:t>proprietary trading desks over the past 18 months. But a spike in equity volatility in May and June</w:t>
      </w:r>
      <w:r w:rsidR="00360D50" w:rsidRPr="00834182">
        <w:rPr>
          <w:rFonts w:ascii="Bell MT" w:hAnsi="Bell MT" w:cs="Times New Roman"/>
          <w:sz w:val="28"/>
          <w:szCs w:val="28"/>
        </w:rPr>
        <w:t xml:space="preserve"> </w:t>
      </w:r>
      <w:r w:rsidRPr="00834182">
        <w:rPr>
          <w:rFonts w:ascii="Bell MT" w:hAnsi="Bell MT" w:cs="Times New Roman"/>
          <w:sz w:val="28"/>
          <w:szCs w:val="28"/>
        </w:rPr>
        <w:t>has caused hundreds of millions of dollars in losses at some firms. Jayne Jung investigates</w:t>
      </w:r>
      <w:r w:rsidR="00360D50" w:rsidRPr="00834182">
        <w:rPr>
          <w:rFonts w:ascii="Bell MT" w:hAnsi="Bell MT" w:cs="Times New Roman"/>
          <w:sz w:val="28"/>
          <w:szCs w:val="28"/>
        </w:rPr>
        <w:t xml:space="preserve"> </w:t>
      </w:r>
      <w:r w:rsidR="00834182" w:rsidRPr="00834182">
        <w:rPr>
          <w:rFonts w:ascii="Bell MT" w:hAnsi="Bell MT" w:cs="Times New Roman"/>
          <w:sz w:val="28"/>
          <w:szCs w:val="28"/>
        </w:rPr>
        <w:t>while</w:t>
      </w:r>
      <w:r w:rsidRPr="00834182">
        <w:rPr>
          <w:rFonts w:ascii="Bell MT" w:hAnsi="Bell MT" w:cs="Times New Roman"/>
          <w:sz w:val="28"/>
          <w:szCs w:val="28"/>
        </w:rPr>
        <w:t xml:space="preserve"> many traders cheered the return of equity volatility in May and June, not all saw it as an</w:t>
      </w:r>
      <w:r w:rsidR="00360D50" w:rsidRPr="00834182">
        <w:rPr>
          <w:rFonts w:ascii="Bell MT" w:hAnsi="Bell MT" w:cs="Times New Roman"/>
          <w:sz w:val="28"/>
          <w:szCs w:val="28"/>
        </w:rPr>
        <w:t xml:space="preserve"> </w:t>
      </w:r>
      <w:r w:rsidRPr="00834182">
        <w:rPr>
          <w:rFonts w:ascii="Bell MT" w:hAnsi="Bell MT" w:cs="Times New Roman"/>
          <w:sz w:val="28"/>
          <w:szCs w:val="28"/>
        </w:rPr>
        <w:t>opportunity for greater returns. For some investors, particula</w:t>
      </w:r>
      <w:r w:rsidR="00360D50" w:rsidRPr="00834182">
        <w:rPr>
          <w:rFonts w:ascii="Bell MT" w:hAnsi="Bell MT" w:cs="Times New Roman"/>
          <w:sz w:val="28"/>
          <w:szCs w:val="28"/>
        </w:rPr>
        <w:t xml:space="preserve">rly those with short volatility </w:t>
      </w:r>
      <w:r w:rsidRPr="00834182">
        <w:rPr>
          <w:rFonts w:ascii="Bell MT" w:hAnsi="Bell MT" w:cs="Times New Roman"/>
          <w:sz w:val="28"/>
          <w:szCs w:val="28"/>
        </w:rPr>
        <w:t>positions</w:t>
      </w:r>
      <w:r w:rsidR="00360D50" w:rsidRPr="00834182">
        <w:rPr>
          <w:rFonts w:ascii="Bell MT" w:hAnsi="Bell MT" w:cs="Times New Roman"/>
          <w:sz w:val="28"/>
          <w:szCs w:val="28"/>
        </w:rPr>
        <w:t xml:space="preserve"> </w:t>
      </w:r>
      <w:r w:rsidRPr="00834182">
        <w:rPr>
          <w:rFonts w:ascii="Bell MT" w:hAnsi="Bell MT" w:cs="Times New Roman"/>
          <w:sz w:val="28"/>
          <w:szCs w:val="28"/>
        </w:rPr>
        <w:t>through variance swaps and dispersion trades, the pick-up in volatility caused millions of dollars</w:t>
      </w:r>
      <w:r w:rsidR="00360D50" w:rsidRPr="00834182">
        <w:rPr>
          <w:rFonts w:ascii="Bell MT" w:hAnsi="Bell MT" w:cs="Times New Roman"/>
          <w:sz w:val="28"/>
          <w:szCs w:val="28"/>
        </w:rPr>
        <w:t xml:space="preserve"> </w:t>
      </w:r>
      <w:r w:rsidRPr="00834182">
        <w:rPr>
          <w:rFonts w:ascii="Bell MT" w:hAnsi="Bell MT" w:cs="Times New Roman"/>
          <w:sz w:val="28"/>
          <w:szCs w:val="28"/>
        </w:rPr>
        <w:t>in mark-to-market losses. The losses haven't had a terminal effect on volatility trading - only one</w:t>
      </w:r>
      <w:r w:rsidR="00360D50" w:rsidRPr="00834182">
        <w:rPr>
          <w:rFonts w:ascii="Bell MT" w:hAnsi="Bell MT" w:cs="Times New Roman"/>
          <w:sz w:val="28"/>
          <w:szCs w:val="28"/>
        </w:rPr>
        <w:t xml:space="preserve"> </w:t>
      </w:r>
      <w:r w:rsidRPr="00834182">
        <w:rPr>
          <w:rFonts w:ascii="Bell MT" w:hAnsi="Bell MT" w:cs="Times New Roman"/>
          <w:sz w:val="28"/>
          <w:szCs w:val="28"/>
        </w:rPr>
        <w:t>or two desks are thought to have retreated from the market, unlike last year, when losses in the</w:t>
      </w:r>
      <w:r w:rsidR="00360D50" w:rsidRPr="00834182">
        <w:rPr>
          <w:rFonts w:ascii="Bell MT" w:hAnsi="Bell MT" w:cs="Times New Roman"/>
          <w:sz w:val="28"/>
          <w:szCs w:val="28"/>
        </w:rPr>
        <w:t xml:space="preserve"> </w:t>
      </w:r>
      <w:r w:rsidRPr="00834182">
        <w:rPr>
          <w:rFonts w:ascii="Bell MT" w:hAnsi="Bell MT" w:cs="Times New Roman"/>
          <w:sz w:val="28"/>
          <w:szCs w:val="28"/>
        </w:rPr>
        <w:t>convertible bond (CB) arbitrage market caused several banks and hedge funds to close their CB</w:t>
      </w:r>
      <w:r w:rsidR="00360D50" w:rsidRPr="00834182">
        <w:rPr>
          <w:rFonts w:ascii="Bell MT" w:hAnsi="Bell MT" w:cs="Times New Roman"/>
          <w:sz w:val="28"/>
          <w:szCs w:val="28"/>
        </w:rPr>
        <w:t xml:space="preserve"> </w:t>
      </w:r>
      <w:r w:rsidR="00834182" w:rsidRPr="00834182">
        <w:rPr>
          <w:rFonts w:ascii="Bell MT" w:hAnsi="Bell MT" w:cs="Times New Roman"/>
          <w:sz w:val="28"/>
          <w:szCs w:val="28"/>
        </w:rPr>
        <w:t>curb</w:t>
      </w:r>
      <w:r w:rsidRPr="00834182">
        <w:rPr>
          <w:rFonts w:ascii="Bell MT" w:hAnsi="Bell MT" w:cs="Times New Roman"/>
          <w:sz w:val="28"/>
          <w:szCs w:val="28"/>
        </w:rPr>
        <w:t xml:space="preserve"> desks. But some argue that the losses have caused some firms to reassess their risk</w:t>
      </w:r>
      <w:r w:rsidR="00360D50" w:rsidRPr="00834182">
        <w:rPr>
          <w:rFonts w:ascii="Bell MT" w:hAnsi="Bell MT" w:cs="Times New Roman"/>
          <w:sz w:val="28"/>
          <w:szCs w:val="28"/>
        </w:rPr>
        <w:t xml:space="preserve"> </w:t>
      </w:r>
      <w:r w:rsidRPr="00834182">
        <w:rPr>
          <w:rFonts w:ascii="Bell MT" w:hAnsi="Bell MT" w:cs="Times New Roman"/>
          <w:sz w:val="28"/>
          <w:szCs w:val="28"/>
        </w:rPr>
        <w:t>management processes.</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 xml:space="preserve">Variance swaps, which have a payout equal to the difference between </w:t>
      </w:r>
      <w:r w:rsidR="00834182" w:rsidRPr="00834182">
        <w:rPr>
          <w:rFonts w:ascii="Bell MT" w:hAnsi="Bell MT" w:cs="Times New Roman"/>
          <w:sz w:val="28"/>
          <w:szCs w:val="28"/>
        </w:rPr>
        <w:t>realized</w:t>
      </w:r>
      <w:r w:rsidRPr="00834182">
        <w:rPr>
          <w:rFonts w:ascii="Bell MT" w:hAnsi="Bell MT" w:cs="Times New Roman"/>
          <w:sz w:val="28"/>
          <w:szCs w:val="28"/>
        </w:rPr>
        <w:t xml:space="preserve"> variance and a</w:t>
      </w:r>
      <w:r w:rsidR="00360D50" w:rsidRPr="00834182">
        <w:rPr>
          <w:rFonts w:ascii="Bell MT" w:hAnsi="Bell MT" w:cs="Times New Roman"/>
          <w:sz w:val="28"/>
          <w:szCs w:val="28"/>
        </w:rPr>
        <w:t xml:space="preserve"> </w:t>
      </w:r>
      <w:r w:rsidRPr="00834182">
        <w:rPr>
          <w:rFonts w:ascii="Bell MT" w:hAnsi="Bell MT" w:cs="Times New Roman"/>
          <w:sz w:val="28"/>
          <w:szCs w:val="28"/>
        </w:rPr>
        <w:t>pre-agreed strike level, multiplied by the notional value, have been popular since 2004. With</w:t>
      </w:r>
      <w:r w:rsidR="00360D50" w:rsidRPr="00834182">
        <w:rPr>
          <w:rFonts w:ascii="Bell MT" w:hAnsi="Bell MT" w:cs="Times New Roman"/>
          <w:sz w:val="28"/>
          <w:szCs w:val="28"/>
        </w:rPr>
        <w:t xml:space="preserve"> </w:t>
      </w:r>
      <w:r w:rsidRPr="00834182">
        <w:rPr>
          <w:rFonts w:ascii="Bell MT" w:hAnsi="Bell MT" w:cs="Times New Roman"/>
          <w:sz w:val="28"/>
          <w:szCs w:val="28"/>
        </w:rPr>
        <w:t>volatility falling dramatically in 2003 and 2004, investors used variance swaps to express views</w:t>
      </w:r>
      <w:r w:rsidR="00360D50" w:rsidRPr="00834182">
        <w:rPr>
          <w:rFonts w:ascii="Bell MT" w:hAnsi="Bell MT" w:cs="Times New Roman"/>
          <w:sz w:val="28"/>
          <w:szCs w:val="28"/>
        </w:rPr>
        <w:t xml:space="preserve"> </w:t>
      </w:r>
      <w:r w:rsidRPr="00834182">
        <w:rPr>
          <w:rFonts w:ascii="Bell MT" w:hAnsi="Bell MT" w:cs="Times New Roman"/>
          <w:sz w:val="28"/>
          <w:szCs w:val="28"/>
        </w:rPr>
        <w:t>on the future direction of volatility (variance is the square of volatility). And with many expecting</w:t>
      </w:r>
      <w:r w:rsidR="00360D50" w:rsidRPr="00834182">
        <w:rPr>
          <w:rFonts w:ascii="Bell MT" w:hAnsi="Bell MT" w:cs="Times New Roman"/>
          <w:sz w:val="28"/>
          <w:szCs w:val="28"/>
        </w:rPr>
        <w:t xml:space="preserve"> </w:t>
      </w:r>
      <w:r w:rsidRPr="00834182">
        <w:rPr>
          <w:rFonts w:ascii="Bell MT" w:hAnsi="Bell MT" w:cs="Times New Roman"/>
          <w:sz w:val="28"/>
          <w:szCs w:val="28"/>
        </w:rPr>
        <w:t>that equity markets would remain benign, they took short positions, either directly through</w:t>
      </w:r>
      <w:r w:rsidR="00360D50" w:rsidRPr="00834182">
        <w:rPr>
          <w:rFonts w:ascii="Bell MT" w:hAnsi="Bell MT" w:cs="Times New Roman"/>
          <w:sz w:val="28"/>
          <w:szCs w:val="28"/>
        </w:rPr>
        <w:t xml:space="preserve"> </w:t>
      </w:r>
      <w:r w:rsidRPr="00834182">
        <w:rPr>
          <w:rFonts w:ascii="Bell MT" w:hAnsi="Bell MT" w:cs="Times New Roman"/>
          <w:sz w:val="28"/>
          <w:szCs w:val="28"/>
        </w:rPr>
        <w:t>variance swaps or through dispersion trades, which have a payout equal to the difference</w:t>
      </w:r>
      <w:r w:rsidR="008B3241">
        <w:rPr>
          <w:rFonts w:ascii="Bell MT" w:hAnsi="Bell MT" w:cs="Times New Roman"/>
          <w:sz w:val="28"/>
          <w:szCs w:val="28"/>
        </w:rPr>
        <w:t xml:space="preserve"> </w:t>
      </w:r>
      <w:r w:rsidRPr="00834182">
        <w:rPr>
          <w:rFonts w:ascii="Bell MT" w:hAnsi="Bell MT" w:cs="Times New Roman"/>
          <w:sz w:val="28"/>
          <w:szCs w:val="28"/>
        </w:rPr>
        <w:t>between the variance of an index and its component stocks.</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The market for variance swaps has grown sharply over the past two years. Deutsche Bank</w:t>
      </w:r>
      <w:r w:rsidR="00360D50" w:rsidRPr="00834182">
        <w:rPr>
          <w:rFonts w:ascii="Bell MT" w:hAnsi="Bell MT" w:cs="Times New Roman"/>
          <w:sz w:val="28"/>
          <w:szCs w:val="28"/>
        </w:rPr>
        <w:t xml:space="preserve"> </w:t>
      </w:r>
      <w:r w:rsidRPr="00834182">
        <w:rPr>
          <w:rFonts w:ascii="Bell MT" w:hAnsi="Bell MT" w:cs="Times New Roman"/>
          <w:sz w:val="28"/>
          <w:szCs w:val="28"/>
        </w:rPr>
        <w:t>estimates that volumes grew fivefold last year and are up 50% year-on-year for the first half of</w:t>
      </w:r>
      <w:r w:rsidR="00360D50" w:rsidRPr="00834182">
        <w:rPr>
          <w:rFonts w:ascii="Bell MT" w:hAnsi="Bell MT" w:cs="Times New Roman"/>
          <w:sz w:val="28"/>
          <w:szCs w:val="28"/>
        </w:rPr>
        <w:t xml:space="preserve"> </w:t>
      </w:r>
      <w:r w:rsidRPr="00834182">
        <w:rPr>
          <w:rFonts w:ascii="Bell MT" w:hAnsi="Bell MT" w:cs="Times New Roman"/>
          <w:sz w:val="28"/>
          <w:szCs w:val="28"/>
        </w:rPr>
        <w:t>2006. According to BNP Paribas estimates, daily trading volumes for variance swaps on indexes</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reached $4 million-5 million in </w:t>
      </w:r>
      <w:r w:rsidR="008B3241" w:rsidRPr="00834182">
        <w:rPr>
          <w:rFonts w:ascii="Bell MT" w:hAnsi="Bell MT" w:cs="Times New Roman"/>
          <w:sz w:val="28"/>
          <w:szCs w:val="28"/>
        </w:rPr>
        <w:t>Vega</w:t>
      </w:r>
      <w:r w:rsidRPr="00834182">
        <w:rPr>
          <w:rFonts w:ascii="Bell MT" w:hAnsi="Bell MT" w:cs="Times New Roman"/>
          <w:sz w:val="28"/>
          <w:szCs w:val="28"/>
        </w:rPr>
        <w:t xml:space="preserve"> in the first half of 2006. Vega measures the change in an</w:t>
      </w:r>
      <w:r w:rsidR="00360D50" w:rsidRPr="00834182">
        <w:rPr>
          <w:rFonts w:ascii="Bell MT" w:hAnsi="Bell MT" w:cs="Times New Roman"/>
          <w:sz w:val="28"/>
          <w:szCs w:val="28"/>
        </w:rPr>
        <w:t xml:space="preserve"> </w:t>
      </w:r>
      <w:r w:rsidRPr="00834182">
        <w:rPr>
          <w:rFonts w:ascii="Bell MT" w:hAnsi="Bell MT" w:cs="Times New Roman"/>
          <w:sz w:val="28"/>
          <w:szCs w:val="28"/>
        </w:rPr>
        <w:t>option's price caused by changes in volatility. Credit Suisse, meanwhile, reckons daily trading</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volumes are around EUR2 million-3 million in </w:t>
      </w:r>
      <w:r w:rsidR="008B3241" w:rsidRPr="00834182">
        <w:rPr>
          <w:rFonts w:ascii="Bell MT" w:hAnsi="Bell MT" w:cs="Times New Roman"/>
          <w:sz w:val="28"/>
          <w:szCs w:val="28"/>
        </w:rPr>
        <w:t>Vega</w:t>
      </w:r>
      <w:r w:rsidRPr="00834182">
        <w:rPr>
          <w:rFonts w:ascii="Bell MT" w:hAnsi="Bell MT" w:cs="Times New Roman"/>
          <w:sz w:val="28"/>
          <w:szCs w:val="28"/>
        </w:rPr>
        <w:t>, compared with EUR250</w:t>
      </w:r>
      <w:r w:rsidR="008B3241" w:rsidRPr="00834182">
        <w:rPr>
          <w:rFonts w:ascii="Bell MT" w:hAnsi="Bell MT" w:cs="Times New Roman"/>
          <w:sz w:val="28"/>
          <w:szCs w:val="28"/>
        </w:rPr>
        <w:t>, 000</w:t>
      </w:r>
      <w:r w:rsidRPr="00834182">
        <w:rPr>
          <w:rFonts w:ascii="Bell MT" w:hAnsi="Bell MT" w:cs="Times New Roman"/>
          <w:sz w:val="28"/>
          <w:szCs w:val="28"/>
        </w:rPr>
        <w:t>-500,000 three</w:t>
      </w:r>
      <w:r w:rsidR="00360D50" w:rsidRPr="00834182">
        <w:rPr>
          <w:rFonts w:ascii="Bell MT" w:hAnsi="Bell MT" w:cs="Times New Roman"/>
          <w:sz w:val="28"/>
          <w:szCs w:val="28"/>
        </w:rPr>
        <w:t xml:space="preserve"> </w:t>
      </w:r>
      <w:r w:rsidRPr="00834182">
        <w:rPr>
          <w:rFonts w:ascii="Bell MT" w:hAnsi="Bell MT" w:cs="Times New Roman"/>
          <w:sz w:val="28"/>
          <w:szCs w:val="28"/>
        </w:rPr>
        <w:t>years ago.</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lastRenderedPageBreak/>
        <w:t>However, when volatility spiked in May and June - a result of a pick-up in inflation, anticipated</w:t>
      </w:r>
      <w:r w:rsidR="00360D50" w:rsidRPr="00834182">
        <w:rPr>
          <w:rFonts w:ascii="Bell MT" w:hAnsi="Bell MT" w:cs="Times New Roman"/>
          <w:sz w:val="28"/>
          <w:szCs w:val="28"/>
        </w:rPr>
        <w:t xml:space="preserve"> </w:t>
      </w:r>
      <w:r w:rsidRPr="00834182">
        <w:rPr>
          <w:rFonts w:ascii="Bell MT" w:hAnsi="Bell MT" w:cs="Times New Roman"/>
          <w:sz w:val="28"/>
          <w:szCs w:val="28"/>
        </w:rPr>
        <w:t>interest rate hikes and a sell-off in emerging market assets - hedge funds and prop desks were</w:t>
      </w:r>
      <w:r w:rsidR="00360D50" w:rsidRPr="00834182">
        <w:rPr>
          <w:rFonts w:ascii="Bell MT" w:hAnsi="Bell MT" w:cs="Times New Roman"/>
          <w:sz w:val="28"/>
          <w:szCs w:val="28"/>
        </w:rPr>
        <w:t xml:space="preserve"> </w:t>
      </w:r>
      <w:r w:rsidRPr="00834182">
        <w:rPr>
          <w:rFonts w:ascii="Bell MT" w:hAnsi="Bell MT" w:cs="Times New Roman"/>
          <w:sz w:val="28"/>
          <w:szCs w:val="28"/>
        </w:rPr>
        <w:t>caught off guard. The Chicago Board Options Exchange's Vix index, which measures the</w:t>
      </w:r>
      <w:r w:rsidR="00360D50" w:rsidRPr="00834182">
        <w:rPr>
          <w:rFonts w:ascii="Bell MT" w:hAnsi="Bell MT" w:cs="Times New Roman"/>
          <w:sz w:val="28"/>
          <w:szCs w:val="28"/>
        </w:rPr>
        <w:t xml:space="preserve"> </w:t>
      </w:r>
      <w:r w:rsidRPr="00834182">
        <w:rPr>
          <w:rFonts w:ascii="Bell MT" w:hAnsi="Bell MT" w:cs="Times New Roman"/>
          <w:sz w:val="28"/>
          <w:szCs w:val="28"/>
        </w:rPr>
        <w:t>market's expectation of 30-day volatility on S&amp;P 500 index option prices, jumped from 13.35</w:t>
      </w:r>
      <w:r w:rsidR="00360D50" w:rsidRPr="00834182">
        <w:rPr>
          <w:rFonts w:ascii="Bell MT" w:hAnsi="Bell MT" w:cs="Times New Roman"/>
          <w:sz w:val="28"/>
          <w:szCs w:val="28"/>
        </w:rPr>
        <w:t xml:space="preserve"> </w:t>
      </w:r>
      <w:r w:rsidRPr="00834182">
        <w:rPr>
          <w:rFonts w:ascii="Bell MT" w:hAnsi="Bell MT" w:cs="Times New Roman"/>
          <w:sz w:val="28"/>
          <w:szCs w:val="28"/>
        </w:rPr>
        <w:t>points on May 16 to 18.26 points on May 23. On June 13, it closed at a year high of 23.81 points</w:t>
      </w:r>
      <w:r w:rsidR="00360D50" w:rsidRPr="00834182">
        <w:rPr>
          <w:rFonts w:ascii="Bell MT" w:hAnsi="Bell MT" w:cs="Times New Roman"/>
          <w:sz w:val="28"/>
          <w:szCs w:val="28"/>
        </w:rPr>
        <w:t xml:space="preserve"> </w:t>
      </w:r>
      <w:r w:rsidRPr="00834182">
        <w:rPr>
          <w:rFonts w:ascii="Bell MT" w:hAnsi="Bell MT" w:cs="Times New Roman"/>
          <w:sz w:val="28"/>
          <w:szCs w:val="28"/>
        </w:rPr>
        <w:t>before falling to 13.03 points on June 29 (see figure 1). The result was hundreds of millions of</w:t>
      </w:r>
      <w:r w:rsidR="00360D50" w:rsidRPr="00834182">
        <w:rPr>
          <w:rFonts w:ascii="Bell MT" w:hAnsi="Bell MT" w:cs="Times New Roman"/>
          <w:sz w:val="28"/>
          <w:szCs w:val="28"/>
        </w:rPr>
        <w:t xml:space="preserve"> </w:t>
      </w:r>
      <w:r w:rsidRPr="00834182">
        <w:rPr>
          <w:rFonts w:ascii="Bell MT" w:hAnsi="Bell MT" w:cs="Times New Roman"/>
          <w:sz w:val="28"/>
          <w:szCs w:val="28"/>
        </w:rPr>
        <w:t>dollars in losses for hedge funds, asset managers and some dealers.</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London-based F&amp;C Asset Management's Amethyst equity volatility fund, for example, took a hit</w:t>
      </w:r>
      <w:r w:rsidR="00360D50" w:rsidRPr="00834182">
        <w:rPr>
          <w:rFonts w:ascii="Bell MT" w:hAnsi="Bell MT" w:cs="Times New Roman"/>
          <w:sz w:val="28"/>
          <w:szCs w:val="28"/>
        </w:rPr>
        <w:t xml:space="preserve"> </w:t>
      </w:r>
      <w:r w:rsidRPr="00834182">
        <w:rPr>
          <w:rFonts w:ascii="Bell MT" w:hAnsi="Bell MT" w:cs="Times New Roman"/>
          <w:sz w:val="28"/>
          <w:szCs w:val="28"/>
        </w:rPr>
        <w:t>on the back of variance swaps trades, says the fund's manager, Stephen Dolbear. "The majority</w:t>
      </w:r>
      <w:r w:rsidR="00360D50" w:rsidRPr="00834182">
        <w:rPr>
          <w:rFonts w:ascii="Bell MT" w:hAnsi="Bell MT" w:cs="Times New Roman"/>
          <w:sz w:val="28"/>
          <w:szCs w:val="28"/>
        </w:rPr>
        <w:t xml:space="preserve"> </w:t>
      </w:r>
      <w:r w:rsidRPr="00834182">
        <w:rPr>
          <w:rFonts w:ascii="Bell MT" w:hAnsi="Bell MT" w:cs="Times New Roman"/>
          <w:sz w:val="28"/>
          <w:szCs w:val="28"/>
        </w:rPr>
        <w:t>of our drawdown after May 10 was due to variance swaps," he admits. The net asset value of the</w:t>
      </w:r>
      <w:r w:rsidR="00360D50" w:rsidRPr="00834182">
        <w:rPr>
          <w:rFonts w:ascii="Bell MT" w:hAnsi="Bell MT" w:cs="Times New Roman"/>
          <w:sz w:val="28"/>
          <w:szCs w:val="28"/>
        </w:rPr>
        <w:t xml:space="preserve"> </w:t>
      </w:r>
      <w:r w:rsidRPr="00834182">
        <w:rPr>
          <w:rFonts w:ascii="Bell MT" w:hAnsi="Bell MT" w:cs="Times New Roman"/>
          <w:sz w:val="28"/>
          <w:szCs w:val="28"/>
        </w:rPr>
        <w:t>fund dropped by about 10% from EUR141 million on May 10 down to EUR123 million on June 1.</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360D50"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At the start of July, the fund's size was around EUR130 million.</w:t>
      </w:r>
      <w:r w:rsidR="00360D50" w:rsidRPr="00834182">
        <w:rPr>
          <w:rFonts w:ascii="Bell MT" w:hAnsi="Bell MT" w:cs="Times New Roman"/>
          <w:sz w:val="28"/>
          <w:szCs w:val="28"/>
        </w:rPr>
        <w:t xml:space="preserve"> </w:t>
      </w:r>
      <w:r w:rsidRPr="00834182">
        <w:rPr>
          <w:rFonts w:ascii="Bell MT" w:hAnsi="Bell MT" w:cs="Times New Roman"/>
          <w:sz w:val="28"/>
          <w:szCs w:val="28"/>
        </w:rPr>
        <w:t>Amethyst was not alone. "Pretty much everybody lost a bit of money in the first part of the event,</w:t>
      </w:r>
      <w:r w:rsidR="00360D50" w:rsidRPr="00834182">
        <w:rPr>
          <w:rFonts w:ascii="Bell MT" w:hAnsi="Bell MT" w:cs="Times New Roman"/>
          <w:sz w:val="28"/>
          <w:szCs w:val="28"/>
        </w:rPr>
        <w:t xml:space="preserve"> </w:t>
      </w:r>
      <w:r w:rsidRPr="00834182">
        <w:rPr>
          <w:rFonts w:ascii="Bell MT" w:hAnsi="Bell MT" w:cs="Times New Roman"/>
          <w:sz w:val="28"/>
          <w:szCs w:val="28"/>
        </w:rPr>
        <w:t>and then afterwards we certainly weren't prepared," says Maurizio Ferconi, a managing director</w:t>
      </w:r>
      <w:r w:rsidR="00360D50" w:rsidRPr="00834182">
        <w:rPr>
          <w:rFonts w:ascii="Bell MT" w:hAnsi="Bell MT" w:cs="Times New Roman"/>
          <w:sz w:val="28"/>
          <w:szCs w:val="28"/>
        </w:rPr>
        <w:t xml:space="preserve"> </w:t>
      </w:r>
      <w:r w:rsidRPr="00834182">
        <w:rPr>
          <w:rFonts w:ascii="Bell MT" w:hAnsi="Bell MT" w:cs="Times New Roman"/>
          <w:sz w:val="28"/>
          <w:szCs w:val="28"/>
        </w:rPr>
        <w:t>in the financial engineering division at Putnam Investments, a Boston-based asset management</w:t>
      </w:r>
      <w:r w:rsidR="00360D50" w:rsidRPr="00834182">
        <w:rPr>
          <w:rFonts w:ascii="Bell MT" w:hAnsi="Bell MT" w:cs="Times New Roman"/>
          <w:sz w:val="28"/>
          <w:szCs w:val="28"/>
        </w:rPr>
        <w:t xml:space="preserve"> </w:t>
      </w:r>
      <w:r w:rsidRPr="00834182">
        <w:rPr>
          <w:rFonts w:ascii="Bell MT" w:hAnsi="Bell MT" w:cs="Times New Roman"/>
          <w:sz w:val="28"/>
          <w:szCs w:val="28"/>
        </w:rPr>
        <w:t>firm. The company had put on several variance trades in the first quarter of this year and entered</w:t>
      </w:r>
      <w:r w:rsidR="00360D50" w:rsidRPr="00834182">
        <w:rPr>
          <w:rFonts w:ascii="Bell MT" w:hAnsi="Bell MT" w:cs="Times New Roman"/>
          <w:sz w:val="28"/>
          <w:szCs w:val="28"/>
        </w:rPr>
        <w:t xml:space="preserve"> </w:t>
      </w:r>
      <w:r w:rsidRPr="00834182">
        <w:rPr>
          <w:rFonts w:ascii="Bell MT" w:hAnsi="Bell MT" w:cs="Times New Roman"/>
          <w:sz w:val="28"/>
          <w:szCs w:val="28"/>
        </w:rPr>
        <w:t>May short volatility. "But we don't have big positions in these instruments because there's all sorts</w:t>
      </w:r>
      <w:r w:rsidR="00360D50" w:rsidRPr="00834182">
        <w:rPr>
          <w:rFonts w:ascii="Bell MT" w:hAnsi="Bell MT" w:cs="Times New Roman"/>
          <w:sz w:val="28"/>
          <w:szCs w:val="28"/>
        </w:rPr>
        <w:t xml:space="preserve"> </w:t>
      </w:r>
      <w:r w:rsidRPr="00834182">
        <w:rPr>
          <w:rFonts w:ascii="Bell MT" w:hAnsi="Bell MT" w:cs="Times New Roman"/>
          <w:sz w:val="28"/>
          <w:szCs w:val="28"/>
        </w:rPr>
        <w:t>of operational issues on scalability," says Ferconi, adding that the person who put on the trades</w:t>
      </w:r>
      <w:r w:rsidR="00360D50" w:rsidRPr="00834182">
        <w:rPr>
          <w:rFonts w:ascii="Bell MT" w:hAnsi="Bell MT" w:cs="Times New Roman"/>
          <w:sz w:val="28"/>
          <w:szCs w:val="28"/>
        </w:rPr>
        <w:t xml:space="preserve"> </w:t>
      </w:r>
      <w:r w:rsidRPr="00834182">
        <w:rPr>
          <w:rFonts w:ascii="Bell MT" w:hAnsi="Bell MT" w:cs="Times New Roman"/>
          <w:sz w:val="28"/>
          <w:szCs w:val="28"/>
        </w:rPr>
        <w:t>left the firm in June.</w:t>
      </w:r>
      <w:r w:rsidR="00360D50" w:rsidRPr="00834182">
        <w:rPr>
          <w:rFonts w:ascii="Bell MT" w:hAnsi="Bell MT" w:cs="Times New Roman"/>
          <w:sz w:val="28"/>
          <w:szCs w:val="28"/>
        </w:rPr>
        <w:t xml:space="preserve"> </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360D50"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 xml:space="preserve">Dealers, too, were left nursing losses. </w:t>
      </w:r>
      <w:r w:rsidR="008B3241" w:rsidRPr="00834182">
        <w:rPr>
          <w:rFonts w:ascii="Bell MT" w:hAnsi="Bell MT" w:cs="Times New Roman"/>
          <w:sz w:val="28"/>
          <w:szCs w:val="28"/>
        </w:rPr>
        <w:t>Society</w:t>
      </w:r>
      <w:r w:rsidRPr="00834182">
        <w:rPr>
          <w:rFonts w:ascii="Bell MT" w:hAnsi="Bell MT" w:cs="Times New Roman"/>
          <w:sz w:val="28"/>
          <w:szCs w:val="28"/>
        </w:rPr>
        <w:t xml:space="preserve"> </w:t>
      </w:r>
      <w:r w:rsidR="008B3241" w:rsidRPr="00834182">
        <w:rPr>
          <w:rFonts w:ascii="Bell MT" w:hAnsi="Bell MT" w:cs="Times New Roman"/>
          <w:sz w:val="28"/>
          <w:szCs w:val="28"/>
        </w:rPr>
        <w:t>General</w:t>
      </w:r>
      <w:r w:rsidRPr="00834182">
        <w:rPr>
          <w:rFonts w:ascii="Bell MT" w:hAnsi="Bell MT" w:cs="Times New Roman"/>
          <w:sz w:val="28"/>
          <w:szCs w:val="28"/>
        </w:rPr>
        <w:t>, for instance, had a short volatility</w:t>
      </w:r>
      <w:r w:rsidR="00360D50" w:rsidRPr="00834182">
        <w:rPr>
          <w:rFonts w:ascii="Bell MT" w:hAnsi="Bell MT" w:cs="Times New Roman"/>
          <w:sz w:val="28"/>
          <w:szCs w:val="28"/>
        </w:rPr>
        <w:t xml:space="preserve"> </w:t>
      </w:r>
      <w:r w:rsidRPr="00834182">
        <w:rPr>
          <w:rFonts w:ascii="Bell MT" w:hAnsi="Bell MT" w:cs="Times New Roman"/>
          <w:sz w:val="28"/>
          <w:szCs w:val="28"/>
        </w:rPr>
        <w:t>position through dispersion trades ahead of the spike in volatility in May. "I was an advocate of</w:t>
      </w:r>
      <w:r w:rsidR="00360D50" w:rsidRPr="00834182">
        <w:rPr>
          <w:rFonts w:ascii="Bell MT" w:hAnsi="Bell MT" w:cs="Times New Roman"/>
          <w:sz w:val="28"/>
          <w:szCs w:val="28"/>
        </w:rPr>
        <w:t xml:space="preserve"> </w:t>
      </w:r>
      <w:r w:rsidRPr="00834182">
        <w:rPr>
          <w:rFonts w:ascii="Bell MT" w:hAnsi="Bell MT" w:cs="Times New Roman"/>
          <w:sz w:val="28"/>
          <w:szCs w:val="28"/>
        </w:rPr>
        <w:t>the trade. It happened to be the wrong trade," says Thomas Droumenq, a managing director in</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hedge fund sales at </w:t>
      </w:r>
      <w:r w:rsidR="008B3241" w:rsidRPr="00834182">
        <w:rPr>
          <w:rFonts w:ascii="Bell MT" w:hAnsi="Bell MT" w:cs="Times New Roman"/>
          <w:sz w:val="28"/>
          <w:szCs w:val="28"/>
        </w:rPr>
        <w:t>Society</w:t>
      </w:r>
      <w:r w:rsidRPr="00834182">
        <w:rPr>
          <w:rFonts w:ascii="Bell MT" w:hAnsi="Bell MT" w:cs="Times New Roman"/>
          <w:sz w:val="28"/>
          <w:szCs w:val="28"/>
        </w:rPr>
        <w:t xml:space="preserve"> </w:t>
      </w:r>
      <w:r w:rsidR="008B3241" w:rsidRPr="00834182">
        <w:rPr>
          <w:rFonts w:ascii="Bell MT" w:hAnsi="Bell MT" w:cs="Times New Roman"/>
          <w:sz w:val="28"/>
          <w:szCs w:val="28"/>
        </w:rPr>
        <w:t>General</w:t>
      </w:r>
      <w:r w:rsidRPr="00834182">
        <w:rPr>
          <w:rFonts w:ascii="Bell MT" w:hAnsi="Bell MT" w:cs="Times New Roman"/>
          <w:sz w:val="28"/>
          <w:szCs w:val="28"/>
        </w:rPr>
        <w:t xml:space="preserve"> in New York. "We didn't lose too much. We're having a</w:t>
      </w:r>
      <w:r w:rsidR="00360D50" w:rsidRPr="00834182">
        <w:rPr>
          <w:rFonts w:ascii="Bell MT" w:hAnsi="Bell MT" w:cs="Times New Roman"/>
          <w:sz w:val="28"/>
          <w:szCs w:val="28"/>
        </w:rPr>
        <w:t xml:space="preserve"> </w:t>
      </w:r>
      <w:r w:rsidRPr="00834182">
        <w:rPr>
          <w:rFonts w:ascii="Bell MT" w:hAnsi="Bell MT" w:cs="Times New Roman"/>
          <w:sz w:val="28"/>
          <w:szCs w:val="28"/>
        </w:rPr>
        <w:t>very good year." Some investors, however, were not so lucky. "A lot of hedge funds lost 75-80%</w:t>
      </w:r>
      <w:r w:rsidR="00360D50" w:rsidRPr="00834182">
        <w:rPr>
          <w:rFonts w:ascii="Bell MT" w:hAnsi="Bell MT" w:cs="Times New Roman"/>
          <w:sz w:val="28"/>
          <w:szCs w:val="28"/>
        </w:rPr>
        <w:t xml:space="preserve"> </w:t>
      </w:r>
      <w:r w:rsidRPr="00834182">
        <w:rPr>
          <w:rFonts w:ascii="Bell MT" w:hAnsi="Bell MT" w:cs="Times New Roman"/>
          <w:sz w:val="28"/>
          <w:szCs w:val="28"/>
        </w:rPr>
        <w:t>of their profit and loss in the year to date on these trades," adds Droumenq.</w:t>
      </w:r>
      <w:r w:rsidR="00360D50" w:rsidRPr="00834182">
        <w:rPr>
          <w:rFonts w:ascii="Bell MT" w:hAnsi="Bell MT" w:cs="Times New Roman"/>
          <w:sz w:val="28"/>
          <w:szCs w:val="28"/>
        </w:rPr>
        <w:t xml:space="preserve"> </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The most popular trades involved directional plays on volatility. For example, if an investor were</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to sell a variance swap on the Eurostoxx 50 index with a volatility strike of 12, and the </w:t>
      </w:r>
      <w:r w:rsidR="00360D50" w:rsidRPr="00834182">
        <w:rPr>
          <w:rFonts w:ascii="Bell MT" w:hAnsi="Bell MT" w:cs="Times New Roman"/>
          <w:sz w:val="28"/>
          <w:szCs w:val="28"/>
        </w:rPr>
        <w:t xml:space="preserve">realized </w:t>
      </w:r>
      <w:r w:rsidRPr="00834182">
        <w:rPr>
          <w:rFonts w:ascii="Bell MT" w:hAnsi="Bell MT" w:cs="Times New Roman"/>
          <w:sz w:val="28"/>
          <w:szCs w:val="28"/>
        </w:rPr>
        <w:t xml:space="preserve">volatility at expiry of the contract were 18, the investor would have to pay the square of </w:t>
      </w:r>
      <w:r w:rsidR="00360D50" w:rsidRPr="00834182">
        <w:rPr>
          <w:rFonts w:ascii="Bell MT" w:hAnsi="Bell MT" w:cs="Times New Roman"/>
          <w:sz w:val="28"/>
          <w:szCs w:val="28"/>
        </w:rPr>
        <w:t xml:space="preserve">realized </w:t>
      </w:r>
      <w:r w:rsidRPr="00834182">
        <w:rPr>
          <w:rFonts w:ascii="Bell MT" w:hAnsi="Bell MT" w:cs="Times New Roman"/>
          <w:sz w:val="28"/>
          <w:szCs w:val="28"/>
        </w:rPr>
        <w:t>volatility minus the square of the volatility strike, times the vega notional.</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Also popular were dispersion </w:t>
      </w:r>
      <w:r w:rsidRPr="00834182">
        <w:rPr>
          <w:rFonts w:ascii="Bell MT" w:hAnsi="Bell MT" w:cs="Times New Roman"/>
          <w:sz w:val="28"/>
          <w:szCs w:val="28"/>
        </w:rPr>
        <w:lastRenderedPageBreak/>
        <w:t>trades, which are based on the covariance of an index and its</w:t>
      </w:r>
      <w:r w:rsidR="00360D50" w:rsidRPr="00834182">
        <w:rPr>
          <w:rFonts w:ascii="Bell MT" w:hAnsi="Bell MT" w:cs="Times New Roman"/>
          <w:sz w:val="28"/>
          <w:szCs w:val="28"/>
        </w:rPr>
        <w:t xml:space="preserve"> </w:t>
      </w:r>
      <w:r w:rsidRPr="00834182">
        <w:rPr>
          <w:rFonts w:ascii="Bell MT" w:hAnsi="Bell MT" w:cs="Times New Roman"/>
          <w:sz w:val="28"/>
          <w:szCs w:val="28"/>
        </w:rPr>
        <w:t>constituent stocks. Covariance measures the direction and magnitude of the moves between two</w:t>
      </w:r>
      <w:r w:rsidR="00360D50" w:rsidRPr="00834182">
        <w:rPr>
          <w:rFonts w:ascii="Bell MT" w:hAnsi="Bell MT" w:cs="Times New Roman"/>
          <w:sz w:val="28"/>
          <w:szCs w:val="28"/>
        </w:rPr>
        <w:t xml:space="preserve"> </w:t>
      </w:r>
      <w:r w:rsidRPr="00834182">
        <w:rPr>
          <w:rFonts w:ascii="Bell MT" w:hAnsi="Bell MT" w:cs="Times New Roman"/>
          <w:sz w:val="28"/>
          <w:szCs w:val="28"/>
        </w:rPr>
        <w:t>groups. The investor is therefore taking a view on both variance and gamma, or the change in the</w:t>
      </w:r>
      <w:r w:rsidR="00360D50" w:rsidRPr="00834182">
        <w:rPr>
          <w:rFonts w:ascii="Bell MT" w:hAnsi="Bell MT" w:cs="Times New Roman"/>
          <w:sz w:val="28"/>
          <w:szCs w:val="28"/>
        </w:rPr>
        <w:t xml:space="preserve"> </w:t>
      </w:r>
      <w:r w:rsidRPr="00834182">
        <w:rPr>
          <w:rFonts w:ascii="Bell MT" w:hAnsi="Bell MT" w:cs="Times New Roman"/>
          <w:sz w:val="28"/>
          <w:szCs w:val="28"/>
        </w:rPr>
        <w:t>option's delta with respect to the underlying stock price. For instance, an investor might put on a</w:t>
      </w:r>
      <w:r w:rsidR="00360D50" w:rsidRPr="00834182">
        <w:rPr>
          <w:rFonts w:ascii="Bell MT" w:hAnsi="Bell MT" w:cs="Times New Roman"/>
          <w:sz w:val="28"/>
          <w:szCs w:val="28"/>
        </w:rPr>
        <w:t xml:space="preserve"> </w:t>
      </w:r>
      <w:r w:rsidRPr="00834182">
        <w:rPr>
          <w:rFonts w:ascii="Bell MT" w:hAnsi="Bell MT" w:cs="Times New Roman"/>
          <w:sz w:val="28"/>
          <w:szCs w:val="28"/>
        </w:rPr>
        <w:t>dispersion trade by buying variance swaps in single stocks and selling a Eurostoxx 50 variance</w:t>
      </w:r>
      <w:r w:rsidR="00360D50" w:rsidRPr="00834182">
        <w:rPr>
          <w:rFonts w:ascii="Bell MT" w:hAnsi="Bell MT" w:cs="Times New Roman"/>
          <w:sz w:val="28"/>
          <w:szCs w:val="28"/>
        </w:rPr>
        <w:t xml:space="preserve"> </w:t>
      </w:r>
      <w:r w:rsidRPr="00834182">
        <w:rPr>
          <w:rFonts w:ascii="Bell MT" w:hAnsi="Bell MT" w:cs="Times New Roman"/>
          <w:sz w:val="28"/>
          <w:szCs w:val="28"/>
        </w:rPr>
        <w:t>swap, if he has a view that the volatility of individual stocks will be greater than that of the index</w:t>
      </w:r>
      <w:r w:rsidR="00901B76">
        <w:rPr>
          <w:rFonts w:ascii="Bell MT" w:hAnsi="Bell MT" w:cs="Times New Roman"/>
          <w:sz w:val="28"/>
          <w:szCs w:val="28"/>
        </w:rPr>
        <w:t xml:space="preserve"> </w:t>
      </w:r>
      <w:r w:rsidRPr="00834182">
        <w:rPr>
          <w:rFonts w:ascii="Bell MT" w:hAnsi="Bell MT" w:cs="Times New Roman"/>
          <w:sz w:val="28"/>
          <w:szCs w:val="28"/>
        </w:rPr>
        <w:t>as a whole.</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 xml:space="preserve">While most participants were burned by taking the wrong view </w:t>
      </w:r>
      <w:r w:rsidR="00360D50" w:rsidRPr="00834182">
        <w:rPr>
          <w:rFonts w:ascii="Bell MT" w:hAnsi="Bell MT" w:cs="Times New Roman"/>
          <w:sz w:val="28"/>
          <w:szCs w:val="28"/>
        </w:rPr>
        <w:t xml:space="preserve">on the direction of the market, </w:t>
      </w:r>
      <w:r w:rsidRPr="00834182">
        <w:rPr>
          <w:rFonts w:ascii="Bell MT" w:hAnsi="Bell MT" w:cs="Times New Roman"/>
          <w:sz w:val="28"/>
          <w:szCs w:val="28"/>
        </w:rPr>
        <w:t>the</w:t>
      </w:r>
      <w:r w:rsidR="00360D50" w:rsidRPr="00834182">
        <w:rPr>
          <w:rFonts w:ascii="Bell MT" w:hAnsi="Bell MT" w:cs="Times New Roman"/>
          <w:sz w:val="28"/>
          <w:szCs w:val="28"/>
        </w:rPr>
        <w:t xml:space="preserve"> </w:t>
      </w:r>
      <w:r w:rsidRPr="00834182">
        <w:rPr>
          <w:rFonts w:ascii="Bell MT" w:hAnsi="Bell MT" w:cs="Times New Roman"/>
          <w:sz w:val="28"/>
          <w:szCs w:val="28"/>
        </w:rPr>
        <w:t>spike in volatility was exacerbated by the unwinding of short variance swaps positions, combined</w:t>
      </w:r>
      <w:r w:rsidR="00360D50" w:rsidRPr="00834182">
        <w:rPr>
          <w:rFonts w:ascii="Bell MT" w:hAnsi="Bell MT" w:cs="Times New Roman"/>
          <w:sz w:val="28"/>
          <w:szCs w:val="28"/>
        </w:rPr>
        <w:t xml:space="preserve"> </w:t>
      </w:r>
      <w:r w:rsidRPr="00834182">
        <w:rPr>
          <w:rFonts w:ascii="Bell MT" w:hAnsi="Bell MT" w:cs="Times New Roman"/>
          <w:sz w:val="28"/>
          <w:szCs w:val="28"/>
        </w:rPr>
        <w:t>with increased delta-hedging of open positions in the options market, say dealers. "Hedging</w:t>
      </w:r>
      <w:r w:rsidR="00360D50" w:rsidRPr="00834182">
        <w:rPr>
          <w:rFonts w:ascii="Bell MT" w:hAnsi="Bell MT" w:cs="Times New Roman"/>
          <w:sz w:val="28"/>
          <w:szCs w:val="28"/>
        </w:rPr>
        <w:t xml:space="preserve"> </w:t>
      </w:r>
      <w:r w:rsidRPr="00834182">
        <w:rPr>
          <w:rFonts w:ascii="Bell MT" w:hAnsi="Bell MT" w:cs="Times New Roman"/>
          <w:sz w:val="28"/>
          <w:szCs w:val="28"/>
        </w:rPr>
        <w:t>variance swaps is more of an art and might have been mismanaged by certain banks, which</w:t>
      </w:r>
      <w:r w:rsidR="00360D50" w:rsidRPr="00834182">
        <w:rPr>
          <w:rFonts w:ascii="Bell MT" w:hAnsi="Bell MT" w:cs="Times New Roman"/>
          <w:sz w:val="28"/>
          <w:szCs w:val="28"/>
        </w:rPr>
        <w:t xml:space="preserve"> </w:t>
      </w:r>
      <w:r w:rsidRPr="00834182">
        <w:rPr>
          <w:rFonts w:ascii="Bell MT" w:hAnsi="Bell MT" w:cs="Times New Roman"/>
          <w:sz w:val="28"/>
          <w:szCs w:val="28"/>
        </w:rPr>
        <w:t>probably contributed to the recent spike in volatility as well. Some dealers are not as prepared -</w:t>
      </w:r>
      <w:r w:rsidR="00360D50" w:rsidRPr="00834182">
        <w:rPr>
          <w:rFonts w:ascii="Bell MT" w:hAnsi="Bell MT" w:cs="Times New Roman"/>
          <w:sz w:val="28"/>
          <w:szCs w:val="28"/>
        </w:rPr>
        <w:t xml:space="preserve"> </w:t>
      </w:r>
      <w:r w:rsidRPr="00834182">
        <w:rPr>
          <w:rFonts w:ascii="Bell MT" w:hAnsi="Bell MT" w:cs="Times New Roman"/>
          <w:sz w:val="28"/>
          <w:szCs w:val="28"/>
        </w:rPr>
        <w:t>especially in dispersion and the more sophisticated correlation strategies - as you would expect,</w:t>
      </w:r>
      <w:r w:rsidR="00360D50" w:rsidRPr="00834182">
        <w:rPr>
          <w:rFonts w:ascii="Bell MT" w:hAnsi="Bell MT" w:cs="Times New Roman"/>
          <w:sz w:val="28"/>
          <w:szCs w:val="28"/>
        </w:rPr>
        <w:t xml:space="preserve"> </w:t>
      </w:r>
      <w:r w:rsidRPr="00834182">
        <w:rPr>
          <w:rFonts w:ascii="Bell MT" w:hAnsi="Bell MT" w:cs="Times New Roman"/>
          <w:sz w:val="28"/>
          <w:szCs w:val="28"/>
        </w:rPr>
        <w:t>but they're still trying to participate in the business," says Aaron Ford, a managing director and</w:t>
      </w:r>
      <w:r w:rsidR="00360D50" w:rsidRPr="00834182">
        <w:rPr>
          <w:rFonts w:ascii="Bell MT" w:hAnsi="Bell MT" w:cs="Times New Roman"/>
          <w:sz w:val="28"/>
          <w:szCs w:val="28"/>
        </w:rPr>
        <w:t xml:space="preserve"> </w:t>
      </w:r>
      <w:r w:rsidRPr="00834182">
        <w:rPr>
          <w:rFonts w:ascii="Bell MT" w:hAnsi="Bell MT" w:cs="Times New Roman"/>
          <w:sz w:val="28"/>
          <w:szCs w:val="28"/>
        </w:rPr>
        <w:t>head of institutional sales at BNP Paribas in New York.</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Variance swaps can be hedged with a delta-hedged static set of call and put options with a range</w:t>
      </w:r>
      <w:r w:rsidR="00360D50" w:rsidRPr="00834182">
        <w:rPr>
          <w:rFonts w:ascii="Bell MT" w:hAnsi="Bell MT" w:cs="Times New Roman"/>
          <w:sz w:val="28"/>
          <w:szCs w:val="28"/>
        </w:rPr>
        <w:t xml:space="preserve"> </w:t>
      </w:r>
      <w:r w:rsidRPr="00834182">
        <w:rPr>
          <w:rFonts w:ascii="Bell MT" w:hAnsi="Bell MT" w:cs="Times New Roman"/>
          <w:sz w:val="28"/>
          <w:szCs w:val="28"/>
        </w:rPr>
        <w:t>of strikes. However, the models banks use to hedge their risk can differ. One divergence is the</w:t>
      </w:r>
      <w:r w:rsidR="00360D50" w:rsidRPr="00834182">
        <w:rPr>
          <w:rFonts w:ascii="Bell MT" w:hAnsi="Bell MT" w:cs="Times New Roman"/>
          <w:sz w:val="28"/>
          <w:szCs w:val="28"/>
        </w:rPr>
        <w:t xml:space="preserve"> </w:t>
      </w:r>
      <w:r w:rsidRPr="00834182">
        <w:rPr>
          <w:rFonts w:ascii="Bell MT" w:hAnsi="Bell MT" w:cs="Times New Roman"/>
          <w:sz w:val="28"/>
          <w:szCs w:val="28"/>
        </w:rPr>
        <w:t>strike range of the option portfolio. A theoretically perfect hedge would require an infinite</w:t>
      </w:r>
      <w:r w:rsidR="00360D50" w:rsidRPr="00834182">
        <w:rPr>
          <w:rFonts w:ascii="Bell MT" w:hAnsi="Bell MT" w:cs="Times New Roman"/>
          <w:sz w:val="28"/>
          <w:szCs w:val="28"/>
        </w:rPr>
        <w:t xml:space="preserve"> </w:t>
      </w:r>
      <w:r w:rsidRPr="00834182">
        <w:rPr>
          <w:rFonts w:ascii="Bell MT" w:hAnsi="Bell MT" w:cs="Times New Roman"/>
          <w:sz w:val="28"/>
          <w:szCs w:val="28"/>
        </w:rPr>
        <w:t>amount</w:t>
      </w:r>
      <w:r w:rsidR="00360D50" w:rsidRPr="00834182">
        <w:rPr>
          <w:rFonts w:ascii="Bell MT" w:hAnsi="Bell MT" w:cs="Times New Roman"/>
          <w:sz w:val="28"/>
          <w:szCs w:val="28"/>
        </w:rPr>
        <w:t xml:space="preserve"> </w:t>
      </w:r>
      <w:r w:rsidRPr="00834182">
        <w:rPr>
          <w:rFonts w:ascii="Bell MT" w:hAnsi="Bell MT" w:cs="Times New Roman"/>
          <w:sz w:val="28"/>
          <w:szCs w:val="28"/>
        </w:rPr>
        <w:t>of strike prices. Clearly, this is not feasible, so banks tend to use different strike ranges,</w:t>
      </w:r>
      <w:r w:rsidR="00360D50" w:rsidRPr="00834182">
        <w:rPr>
          <w:rFonts w:ascii="Bell MT" w:hAnsi="Bell MT" w:cs="Times New Roman"/>
          <w:sz w:val="28"/>
          <w:szCs w:val="28"/>
        </w:rPr>
        <w:t xml:space="preserve"> </w:t>
      </w:r>
      <w:r w:rsidRPr="00834182">
        <w:rPr>
          <w:rFonts w:ascii="Bell MT" w:hAnsi="Bell MT" w:cs="Times New Roman"/>
          <w:sz w:val="28"/>
          <w:szCs w:val="28"/>
        </w:rPr>
        <w:t>extrapolate prices out of the range and interpolate within that.</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For instance, Todd Steinberg, head of equities and derivatives at BNP Paribas for the Americas</w:t>
      </w:r>
      <w:r w:rsidR="00360D50" w:rsidRPr="00834182">
        <w:rPr>
          <w:rFonts w:ascii="Bell MT" w:hAnsi="Bell MT" w:cs="Times New Roman"/>
          <w:sz w:val="28"/>
          <w:szCs w:val="28"/>
        </w:rPr>
        <w:t xml:space="preserve"> </w:t>
      </w:r>
      <w:r w:rsidRPr="00834182">
        <w:rPr>
          <w:rFonts w:ascii="Bell MT" w:hAnsi="Bell MT" w:cs="Times New Roman"/>
          <w:sz w:val="28"/>
          <w:szCs w:val="28"/>
        </w:rPr>
        <w:t>in New York, says there are tail risks that the French bank doesn't hedge because it's inefficient.</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The bank uses its own proprietary </w:t>
      </w:r>
      <w:r w:rsidR="00901B76" w:rsidRPr="00834182">
        <w:rPr>
          <w:rFonts w:ascii="Bell MT" w:hAnsi="Bell MT" w:cs="Times New Roman"/>
          <w:sz w:val="28"/>
          <w:szCs w:val="28"/>
        </w:rPr>
        <w:t>optimization</w:t>
      </w:r>
      <w:r w:rsidRPr="00834182">
        <w:rPr>
          <w:rFonts w:ascii="Bell MT" w:hAnsi="Bell MT" w:cs="Times New Roman"/>
          <w:sz w:val="28"/>
          <w:szCs w:val="28"/>
        </w:rPr>
        <w:t xml:space="preserve"> model to determine which strikes to use. Chris</w:t>
      </w:r>
      <w:r w:rsidR="00360D50" w:rsidRPr="00834182">
        <w:rPr>
          <w:rFonts w:ascii="Bell MT" w:hAnsi="Bell MT" w:cs="Times New Roman"/>
          <w:sz w:val="28"/>
          <w:szCs w:val="28"/>
        </w:rPr>
        <w:t xml:space="preserve"> </w:t>
      </w:r>
      <w:r w:rsidRPr="00834182">
        <w:rPr>
          <w:rFonts w:ascii="Bell MT" w:hAnsi="Bell MT" w:cs="Times New Roman"/>
          <w:sz w:val="28"/>
          <w:szCs w:val="28"/>
        </w:rPr>
        <w:t>Craig-Wood, a managing director and head of equity derivatives correlation trading at Deutsche</w:t>
      </w:r>
      <w:r w:rsidR="00360D50" w:rsidRPr="00834182">
        <w:rPr>
          <w:rFonts w:ascii="Bell MT" w:hAnsi="Bell MT" w:cs="Times New Roman"/>
          <w:sz w:val="28"/>
          <w:szCs w:val="28"/>
        </w:rPr>
        <w:t xml:space="preserve"> </w:t>
      </w:r>
      <w:r w:rsidRPr="00834182">
        <w:rPr>
          <w:rFonts w:ascii="Bell MT" w:hAnsi="Bell MT" w:cs="Times New Roman"/>
          <w:sz w:val="28"/>
          <w:szCs w:val="28"/>
        </w:rPr>
        <w:t>Bank in London, agrees: "Effectively, you want to take every strike. But the very out-of-the-</w:t>
      </w:r>
      <w:r w:rsidR="00360D50" w:rsidRPr="00834182">
        <w:rPr>
          <w:rFonts w:ascii="Bell MT" w:hAnsi="Bell MT" w:cs="Times New Roman"/>
          <w:sz w:val="28"/>
          <w:szCs w:val="28"/>
        </w:rPr>
        <w:t xml:space="preserve"> </w:t>
      </w:r>
      <w:r w:rsidRPr="00834182">
        <w:rPr>
          <w:rFonts w:ascii="Bell MT" w:hAnsi="Bell MT" w:cs="Times New Roman"/>
          <w:sz w:val="28"/>
          <w:szCs w:val="28"/>
        </w:rPr>
        <w:t>money</w:t>
      </w:r>
      <w:r w:rsidR="00360D50" w:rsidRPr="00834182">
        <w:rPr>
          <w:rFonts w:ascii="Bell MT" w:hAnsi="Bell MT" w:cs="Times New Roman"/>
          <w:sz w:val="28"/>
          <w:szCs w:val="28"/>
        </w:rPr>
        <w:t xml:space="preserve"> </w:t>
      </w:r>
      <w:r w:rsidRPr="00834182">
        <w:rPr>
          <w:rFonts w:ascii="Bell MT" w:hAnsi="Bell MT" w:cs="Times New Roman"/>
          <w:sz w:val="28"/>
          <w:szCs w:val="28"/>
        </w:rPr>
        <w:t>strikes aren't liquid, so you can't really trade those anyhow. That's where the science of the model</w:t>
      </w:r>
      <w:r w:rsidR="00360D50" w:rsidRPr="00834182">
        <w:rPr>
          <w:rFonts w:ascii="Bell MT" w:hAnsi="Bell MT" w:cs="Times New Roman"/>
          <w:sz w:val="28"/>
          <w:szCs w:val="28"/>
        </w:rPr>
        <w:t xml:space="preserve"> </w:t>
      </w:r>
      <w:r w:rsidRPr="00834182">
        <w:rPr>
          <w:rFonts w:ascii="Bell MT" w:hAnsi="Bell MT" w:cs="Times New Roman"/>
          <w:sz w:val="28"/>
          <w:szCs w:val="28"/>
        </w:rPr>
        <w:t>breaks down."</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360D50"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Market-makers should always have a fundamental view of where volatility is going, says</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Steinberg. "But the reality is that we need to be there for our </w:t>
      </w:r>
      <w:r w:rsidRPr="00834182">
        <w:rPr>
          <w:rFonts w:ascii="Bell MT" w:hAnsi="Bell MT" w:cs="Times New Roman"/>
          <w:sz w:val="28"/>
          <w:szCs w:val="28"/>
        </w:rPr>
        <w:lastRenderedPageBreak/>
        <w:t>customer regardless of our view, so,</w:t>
      </w:r>
      <w:r w:rsidR="00360D50" w:rsidRPr="00834182">
        <w:rPr>
          <w:rFonts w:ascii="Bell MT" w:hAnsi="Bell MT" w:cs="Times New Roman"/>
          <w:sz w:val="28"/>
          <w:szCs w:val="28"/>
        </w:rPr>
        <w:t xml:space="preserve"> </w:t>
      </w:r>
      <w:r w:rsidRPr="00834182">
        <w:rPr>
          <w:rFonts w:ascii="Bell MT" w:hAnsi="Bell MT" w:cs="Times New Roman"/>
          <w:sz w:val="28"/>
          <w:szCs w:val="28"/>
        </w:rPr>
        <w:t>in that scenario, the analysis becomes: what is an efficient way to hedge out the risk that your</w:t>
      </w:r>
      <w:r w:rsidR="00360D50" w:rsidRPr="00834182">
        <w:rPr>
          <w:rFonts w:ascii="Bell MT" w:hAnsi="Bell MT" w:cs="Times New Roman"/>
          <w:sz w:val="28"/>
          <w:szCs w:val="28"/>
        </w:rPr>
        <w:t xml:space="preserve"> </w:t>
      </w:r>
      <w:r w:rsidRPr="00834182">
        <w:rPr>
          <w:rFonts w:ascii="Bell MT" w:hAnsi="Bell MT" w:cs="Times New Roman"/>
          <w:sz w:val="28"/>
          <w:szCs w:val="28"/>
        </w:rPr>
        <w:t>customer is asking you to take."</w:t>
      </w:r>
      <w:r w:rsidR="00360D50" w:rsidRPr="00834182">
        <w:rPr>
          <w:rFonts w:ascii="Bell MT" w:hAnsi="Bell MT" w:cs="Times New Roman"/>
          <w:sz w:val="28"/>
          <w:szCs w:val="28"/>
        </w:rPr>
        <w:t xml:space="preserve"> </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The dealer's structure is just as important as its models, adds Steinberg. He argues that having</w:t>
      </w:r>
      <w:r w:rsidR="00360D50" w:rsidRPr="00834182">
        <w:rPr>
          <w:rFonts w:ascii="Bell MT" w:hAnsi="Bell MT" w:cs="Times New Roman"/>
          <w:sz w:val="28"/>
          <w:szCs w:val="28"/>
        </w:rPr>
        <w:t xml:space="preserve"> </w:t>
      </w:r>
      <w:r w:rsidRPr="00834182">
        <w:rPr>
          <w:rFonts w:ascii="Bell MT" w:hAnsi="Bell MT" w:cs="Times New Roman"/>
          <w:sz w:val="28"/>
          <w:szCs w:val="28"/>
        </w:rPr>
        <w:t>both a flow business and a structured products business is key to effective risk management of</w:t>
      </w:r>
      <w:r w:rsidR="00360D50" w:rsidRPr="00834182">
        <w:rPr>
          <w:rFonts w:ascii="Bell MT" w:hAnsi="Bell MT" w:cs="Times New Roman"/>
          <w:sz w:val="28"/>
          <w:szCs w:val="28"/>
        </w:rPr>
        <w:t xml:space="preserve"> </w:t>
      </w:r>
      <w:r w:rsidRPr="00834182">
        <w:rPr>
          <w:rFonts w:ascii="Bell MT" w:hAnsi="Bell MT" w:cs="Times New Roman"/>
          <w:sz w:val="28"/>
          <w:szCs w:val="28"/>
        </w:rPr>
        <w:t>volatility trades. As such, banks have a means to offset volatility exposures in different parts of</w:t>
      </w:r>
      <w:r w:rsidR="00360D50" w:rsidRPr="00834182">
        <w:rPr>
          <w:rFonts w:ascii="Bell MT" w:hAnsi="Bell MT" w:cs="Times New Roman"/>
          <w:sz w:val="28"/>
          <w:szCs w:val="28"/>
        </w:rPr>
        <w:t xml:space="preserve"> </w:t>
      </w:r>
      <w:r w:rsidRPr="00834182">
        <w:rPr>
          <w:rFonts w:ascii="Bell MT" w:hAnsi="Bell MT" w:cs="Times New Roman"/>
          <w:sz w:val="28"/>
          <w:szCs w:val="28"/>
        </w:rPr>
        <w:t>the business.</w:t>
      </w:r>
      <w:r w:rsidR="00360D50" w:rsidRPr="00834182">
        <w:rPr>
          <w:rFonts w:ascii="Bell MT" w:hAnsi="Bell MT" w:cs="Times New Roman"/>
          <w:sz w:val="28"/>
          <w:szCs w:val="28"/>
        </w:rPr>
        <w:t xml:space="preserve"> </w:t>
      </w:r>
      <w:r w:rsidRPr="00834182">
        <w:rPr>
          <w:rFonts w:ascii="Bell MT" w:hAnsi="Bell MT" w:cs="Times New Roman"/>
          <w:sz w:val="28"/>
          <w:szCs w:val="28"/>
        </w:rPr>
        <w:t>Dealers say that although some investors have been scared off from volatility trading, they will</w:t>
      </w:r>
      <w:r w:rsidR="00360D50" w:rsidRPr="00834182">
        <w:rPr>
          <w:rFonts w:ascii="Bell MT" w:hAnsi="Bell MT" w:cs="Times New Roman"/>
          <w:sz w:val="28"/>
          <w:szCs w:val="28"/>
        </w:rPr>
        <w:t xml:space="preserve"> </w:t>
      </w:r>
      <w:r w:rsidRPr="00834182">
        <w:rPr>
          <w:rFonts w:ascii="Bell MT" w:hAnsi="Bell MT" w:cs="Times New Roman"/>
          <w:sz w:val="28"/>
          <w:szCs w:val="28"/>
        </w:rPr>
        <w:t>return to the market. In fact, there were some fairly commonplace trades where investors profited.</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For example, a relative value trade between the Nikkei 225 and S&amp;P 500 stock indexes would</w:t>
      </w:r>
      <w:r w:rsidR="00360D50" w:rsidRPr="00834182">
        <w:rPr>
          <w:rFonts w:ascii="Bell MT" w:hAnsi="Bell MT" w:cs="Times New Roman"/>
          <w:sz w:val="28"/>
          <w:szCs w:val="28"/>
        </w:rPr>
        <w:t xml:space="preserve"> </w:t>
      </w:r>
      <w:r w:rsidRPr="00834182">
        <w:rPr>
          <w:rFonts w:ascii="Bell MT" w:hAnsi="Bell MT" w:cs="Times New Roman"/>
          <w:sz w:val="28"/>
          <w:szCs w:val="28"/>
        </w:rPr>
        <w:t>have profited handsomely, says BNP Paribas' Ford. What's more, investors wouldn't have faced</w:t>
      </w:r>
      <w:r w:rsidR="00360D50" w:rsidRPr="00834182">
        <w:rPr>
          <w:rFonts w:ascii="Bell MT" w:hAnsi="Bell MT" w:cs="Times New Roman"/>
          <w:sz w:val="28"/>
          <w:szCs w:val="28"/>
        </w:rPr>
        <w:t xml:space="preserve"> </w:t>
      </w:r>
      <w:r w:rsidRPr="00834182">
        <w:rPr>
          <w:rFonts w:ascii="Bell MT" w:hAnsi="Bell MT" w:cs="Times New Roman"/>
          <w:sz w:val="28"/>
          <w:szCs w:val="28"/>
        </w:rPr>
        <w:t>the large margin requirements needed to conduct the same relative value trade through vanilla</w:t>
      </w:r>
      <w:r w:rsidR="00360D50" w:rsidRPr="00834182">
        <w:rPr>
          <w:rFonts w:ascii="Bell MT" w:hAnsi="Bell MT" w:cs="Times New Roman"/>
          <w:sz w:val="28"/>
          <w:szCs w:val="28"/>
        </w:rPr>
        <w:t xml:space="preserve"> </w:t>
      </w:r>
      <w:r w:rsidRPr="00834182">
        <w:rPr>
          <w:rFonts w:ascii="Bell MT" w:hAnsi="Bell MT" w:cs="Times New Roman"/>
          <w:sz w:val="28"/>
          <w:szCs w:val="28"/>
        </w:rPr>
        <w:t>options. Ford claims the options strategy would require as much as 20 times more margin. "So</w:t>
      </w:r>
      <w:r w:rsidR="00360D50" w:rsidRPr="00834182">
        <w:rPr>
          <w:rFonts w:ascii="Bell MT" w:hAnsi="Bell MT" w:cs="Times New Roman"/>
          <w:sz w:val="28"/>
          <w:szCs w:val="28"/>
        </w:rPr>
        <w:t xml:space="preserve"> </w:t>
      </w:r>
      <w:r w:rsidRPr="00834182">
        <w:rPr>
          <w:rFonts w:ascii="Bell MT" w:hAnsi="Bell MT" w:cs="Times New Roman"/>
          <w:sz w:val="28"/>
          <w:szCs w:val="28"/>
        </w:rPr>
        <w:t>you would only make a 40% return instead of an 800% return over two years or three years. A</w:t>
      </w:r>
      <w:r w:rsidR="00360D50" w:rsidRPr="00834182">
        <w:rPr>
          <w:rFonts w:ascii="Bell MT" w:hAnsi="Bell MT" w:cs="Times New Roman"/>
          <w:sz w:val="28"/>
          <w:szCs w:val="28"/>
        </w:rPr>
        <w:t xml:space="preserve"> </w:t>
      </w:r>
      <w:r w:rsidRPr="00834182">
        <w:rPr>
          <w:rFonts w:ascii="Bell MT" w:hAnsi="Bell MT" w:cs="Times New Roman"/>
          <w:sz w:val="28"/>
          <w:szCs w:val="28"/>
        </w:rPr>
        <w:t>variance swap drastically reduces the cost of managing a volatility position, as well as increasing</w:t>
      </w:r>
      <w:r w:rsidR="00360D50" w:rsidRPr="00834182">
        <w:rPr>
          <w:rFonts w:ascii="Bell MT" w:hAnsi="Bell MT" w:cs="Times New Roman"/>
          <w:sz w:val="28"/>
          <w:szCs w:val="28"/>
        </w:rPr>
        <w:t xml:space="preserve"> </w:t>
      </w:r>
      <w:r w:rsidRPr="00834182">
        <w:rPr>
          <w:rFonts w:ascii="Bell MT" w:hAnsi="Bell MT" w:cs="Times New Roman"/>
          <w:sz w:val="28"/>
          <w:szCs w:val="28"/>
        </w:rPr>
        <w:t>the return on capital," says Ford.</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Bell MT" w:hAnsi="Bell MT" w:cs="Times New Roman"/>
          <w:sz w:val="28"/>
          <w:szCs w:val="28"/>
        </w:rPr>
      </w:pPr>
      <w:r w:rsidRPr="00834182">
        <w:rPr>
          <w:rFonts w:ascii="Bell MT" w:hAnsi="Bell MT" w:cs="Times New Roman"/>
          <w:sz w:val="28"/>
          <w:szCs w:val="28"/>
        </w:rPr>
        <w:t>Despite the recent problems, new users continue to enter the market. Putnam Investments, for</w:t>
      </w:r>
      <w:r w:rsidR="00360D50" w:rsidRPr="00834182">
        <w:rPr>
          <w:rFonts w:ascii="Bell MT" w:hAnsi="Bell MT" w:cs="Times New Roman"/>
          <w:sz w:val="28"/>
          <w:szCs w:val="28"/>
        </w:rPr>
        <w:t xml:space="preserve"> </w:t>
      </w:r>
      <w:r w:rsidRPr="00834182">
        <w:rPr>
          <w:rFonts w:ascii="Bell MT" w:hAnsi="Bell MT" w:cs="Times New Roman"/>
          <w:sz w:val="28"/>
          <w:szCs w:val="28"/>
        </w:rPr>
        <w:t>example, is relatively new to the field, and although its variance swap trades suffered losses</w:t>
      </w:r>
      <w:r w:rsidR="00360D50" w:rsidRPr="00834182">
        <w:rPr>
          <w:rFonts w:ascii="Bell MT" w:hAnsi="Bell MT" w:cs="Times New Roman"/>
          <w:sz w:val="28"/>
          <w:szCs w:val="28"/>
        </w:rPr>
        <w:t xml:space="preserve"> </w:t>
      </w:r>
      <w:r w:rsidRPr="00834182">
        <w:rPr>
          <w:rFonts w:ascii="Bell MT" w:hAnsi="Bell MT" w:cs="Times New Roman"/>
          <w:sz w:val="28"/>
          <w:szCs w:val="28"/>
        </w:rPr>
        <w:t>recently, the firm will continue to trade the products as part of its portfolio, says Ferconi.</w:t>
      </w:r>
      <w:r w:rsidR="00360D50" w:rsidRPr="00834182">
        <w:rPr>
          <w:rFonts w:ascii="Bell MT" w:hAnsi="Bell MT" w:cs="Times New Roman"/>
          <w:sz w:val="28"/>
          <w:szCs w:val="28"/>
        </w:rPr>
        <w:t xml:space="preserve"> </w:t>
      </w:r>
      <w:r w:rsidRPr="00834182">
        <w:rPr>
          <w:rFonts w:ascii="Bell MT" w:hAnsi="Bell MT" w:cs="Times New Roman"/>
          <w:sz w:val="28"/>
          <w:szCs w:val="28"/>
        </w:rPr>
        <w:t>Some, though, remain unconvinced about the product, a feeling reinforced by the recent tumult.</w:t>
      </w:r>
      <w:r w:rsidR="00360D50" w:rsidRPr="00834182">
        <w:rPr>
          <w:rFonts w:ascii="Bell MT" w:hAnsi="Bell MT" w:cs="Times New Roman"/>
          <w:sz w:val="28"/>
          <w:szCs w:val="28"/>
        </w:rPr>
        <w:t xml:space="preserve"> </w:t>
      </w:r>
      <w:r w:rsidRPr="00834182">
        <w:rPr>
          <w:rFonts w:ascii="Bell MT" w:hAnsi="Bell MT" w:cs="Times New Roman"/>
          <w:sz w:val="28"/>
          <w:szCs w:val="28"/>
        </w:rPr>
        <w:t>"I'm not a fan," says Bernard Kalson, senior hedge fund manager and head of the volatility</w:t>
      </w:r>
      <w:r w:rsidR="00360D50" w:rsidRPr="00834182">
        <w:rPr>
          <w:rFonts w:ascii="Bell MT" w:hAnsi="Bell MT" w:cs="Times New Roman"/>
          <w:sz w:val="28"/>
          <w:szCs w:val="28"/>
        </w:rPr>
        <w:t xml:space="preserve"> </w:t>
      </w:r>
      <w:r w:rsidRPr="00834182">
        <w:rPr>
          <w:rFonts w:ascii="Bell MT" w:hAnsi="Bell MT" w:cs="Times New Roman"/>
          <w:sz w:val="28"/>
          <w:szCs w:val="28"/>
        </w:rPr>
        <w:t xml:space="preserve">arbitrage programme at </w:t>
      </w:r>
      <w:r w:rsidR="00901B76" w:rsidRPr="00834182">
        <w:rPr>
          <w:rFonts w:ascii="Bell MT" w:hAnsi="Bell MT" w:cs="Times New Roman"/>
          <w:sz w:val="28"/>
          <w:szCs w:val="28"/>
        </w:rPr>
        <w:t>Society</w:t>
      </w:r>
      <w:r w:rsidRPr="00834182">
        <w:rPr>
          <w:rFonts w:ascii="Bell MT" w:hAnsi="Bell MT" w:cs="Times New Roman"/>
          <w:sz w:val="28"/>
          <w:szCs w:val="28"/>
        </w:rPr>
        <w:t xml:space="preserve"> </w:t>
      </w:r>
      <w:r w:rsidR="00901B76" w:rsidRPr="00834182">
        <w:rPr>
          <w:rFonts w:ascii="Bell MT" w:hAnsi="Bell MT" w:cs="Times New Roman"/>
          <w:sz w:val="28"/>
          <w:szCs w:val="28"/>
        </w:rPr>
        <w:t>General</w:t>
      </w:r>
      <w:r w:rsidRPr="00834182">
        <w:rPr>
          <w:rFonts w:ascii="Bell MT" w:hAnsi="Bell MT" w:cs="Times New Roman"/>
          <w:sz w:val="28"/>
          <w:szCs w:val="28"/>
        </w:rPr>
        <w:t xml:space="preserve"> Asset Management. "It's like all structured products.</w:t>
      </w:r>
      <w:r w:rsidR="00360D50" w:rsidRPr="00834182">
        <w:rPr>
          <w:rFonts w:ascii="Bell MT" w:hAnsi="Bell MT" w:cs="Times New Roman"/>
          <w:sz w:val="28"/>
          <w:szCs w:val="28"/>
        </w:rPr>
        <w:t xml:space="preserve"> </w:t>
      </w:r>
      <w:r w:rsidRPr="00834182">
        <w:rPr>
          <w:rFonts w:ascii="Bell MT" w:hAnsi="Bell MT" w:cs="Times New Roman"/>
          <w:sz w:val="28"/>
          <w:szCs w:val="28"/>
        </w:rPr>
        <w:t>It's nice and very beautiful, but when problems arise it becomes very difficult to manage. So if you</w:t>
      </w:r>
      <w:r w:rsidR="00360D50" w:rsidRPr="00834182">
        <w:rPr>
          <w:rFonts w:ascii="Bell MT" w:hAnsi="Bell MT" w:cs="Times New Roman"/>
          <w:sz w:val="28"/>
          <w:szCs w:val="28"/>
        </w:rPr>
        <w:t xml:space="preserve"> </w:t>
      </w:r>
      <w:r w:rsidRPr="00834182">
        <w:rPr>
          <w:rFonts w:ascii="Bell MT" w:hAnsi="Bell MT" w:cs="Times New Roman"/>
          <w:sz w:val="28"/>
          <w:szCs w:val="28"/>
        </w:rPr>
        <w:t>can take a view on volatility yourself with very simple options, it's always the best choice."</w:t>
      </w:r>
      <w:r w:rsidR="00360D50" w:rsidRPr="00834182">
        <w:rPr>
          <w:rFonts w:ascii="Bell MT" w:hAnsi="Bell MT" w:cs="Times New Roman"/>
          <w:sz w:val="28"/>
          <w:szCs w:val="28"/>
        </w:rPr>
        <w:t xml:space="preserve"> </w:t>
      </w:r>
    </w:p>
    <w:p w:rsidR="00360D50" w:rsidRPr="00834182" w:rsidRDefault="00360D50" w:rsidP="00E41C30">
      <w:pPr>
        <w:autoSpaceDE w:val="0"/>
        <w:autoSpaceDN w:val="0"/>
        <w:adjustRightInd w:val="0"/>
        <w:spacing w:after="0"/>
        <w:jc w:val="both"/>
        <w:rPr>
          <w:rFonts w:ascii="Bell MT" w:hAnsi="Bell MT" w:cs="Times New Roman"/>
          <w:sz w:val="28"/>
          <w:szCs w:val="28"/>
        </w:rPr>
      </w:pPr>
    </w:p>
    <w:p w:rsidR="00937244" w:rsidRPr="00834182" w:rsidRDefault="00937244" w:rsidP="00E41C30">
      <w:pPr>
        <w:autoSpaceDE w:val="0"/>
        <w:autoSpaceDN w:val="0"/>
        <w:adjustRightInd w:val="0"/>
        <w:spacing w:after="0"/>
        <w:jc w:val="both"/>
        <w:rPr>
          <w:rFonts w:ascii="Cataneo BT" w:hAnsi="Cataneo BT" w:cs="Times New Roman"/>
          <w:b/>
          <w:bCs/>
          <w:sz w:val="32"/>
          <w:szCs w:val="32"/>
        </w:rPr>
      </w:pPr>
      <w:r w:rsidRPr="00834182">
        <w:rPr>
          <w:rFonts w:ascii="Cataneo BT" w:hAnsi="Cataneo BT" w:cs="Times New Roman"/>
          <w:b/>
          <w:bCs/>
          <w:sz w:val="32"/>
          <w:szCs w:val="32"/>
        </w:rPr>
        <w:t>Isda initiatives</w:t>
      </w:r>
    </w:p>
    <w:p w:rsidR="00834182" w:rsidRDefault="00834182" w:rsidP="00E41C30">
      <w:pPr>
        <w:autoSpaceDE w:val="0"/>
        <w:autoSpaceDN w:val="0"/>
        <w:adjustRightInd w:val="0"/>
        <w:spacing w:after="0"/>
        <w:jc w:val="both"/>
        <w:rPr>
          <w:rFonts w:ascii="Times New Roman" w:hAnsi="Times New Roman" w:cs="Times New Roman"/>
          <w:sz w:val="24"/>
          <w:szCs w:val="24"/>
        </w:rPr>
      </w:pPr>
    </w:p>
    <w:p w:rsidR="009F18F6" w:rsidRPr="00901B76" w:rsidRDefault="00937244" w:rsidP="00E41C30">
      <w:pPr>
        <w:autoSpaceDE w:val="0"/>
        <w:autoSpaceDN w:val="0"/>
        <w:adjustRightInd w:val="0"/>
        <w:spacing w:after="0"/>
        <w:jc w:val="both"/>
        <w:rPr>
          <w:rFonts w:ascii="Bell MT" w:hAnsi="Bell MT" w:cs="Times New Roman"/>
          <w:sz w:val="28"/>
          <w:szCs w:val="28"/>
        </w:rPr>
      </w:pPr>
      <w:r w:rsidRPr="00901B76">
        <w:rPr>
          <w:rFonts w:ascii="Bell MT" w:hAnsi="Bell MT" w:cs="Times New Roman"/>
          <w:sz w:val="28"/>
          <w:szCs w:val="28"/>
        </w:rPr>
        <w:t xml:space="preserve">Dealers have been working towards creating </w:t>
      </w:r>
      <w:r w:rsidR="00901B76" w:rsidRPr="00901B76">
        <w:rPr>
          <w:rFonts w:ascii="Bell MT" w:hAnsi="Bell MT" w:cs="Times New Roman"/>
          <w:sz w:val="28"/>
          <w:szCs w:val="28"/>
        </w:rPr>
        <w:t>standardized</w:t>
      </w:r>
      <w:r w:rsidRPr="00901B76">
        <w:rPr>
          <w:rFonts w:ascii="Bell MT" w:hAnsi="Bell MT" w:cs="Times New Roman"/>
          <w:sz w:val="28"/>
          <w:szCs w:val="28"/>
        </w:rPr>
        <w:t xml:space="preserve"> documents for variance products over</w:t>
      </w:r>
      <w:r w:rsidR="00360D50" w:rsidRPr="00901B76">
        <w:rPr>
          <w:rFonts w:ascii="Bell MT" w:hAnsi="Bell MT" w:cs="Times New Roman"/>
          <w:sz w:val="28"/>
          <w:szCs w:val="28"/>
        </w:rPr>
        <w:t xml:space="preserve"> </w:t>
      </w:r>
      <w:r w:rsidRPr="00901B76">
        <w:rPr>
          <w:rFonts w:ascii="Bell MT" w:hAnsi="Bell MT" w:cs="Times New Roman"/>
          <w:sz w:val="28"/>
          <w:szCs w:val="28"/>
        </w:rPr>
        <w:t>the past six months under the auspices of the International Swaps and Derivatives Association.</w:t>
      </w:r>
      <w:r w:rsidR="00360D50" w:rsidRPr="00901B76">
        <w:rPr>
          <w:rFonts w:ascii="Bell MT" w:hAnsi="Bell MT" w:cs="Times New Roman"/>
          <w:sz w:val="28"/>
          <w:szCs w:val="28"/>
        </w:rPr>
        <w:t xml:space="preserve"> </w:t>
      </w:r>
      <w:r w:rsidRPr="00901B76">
        <w:rPr>
          <w:rFonts w:ascii="Bell MT" w:hAnsi="Bell MT" w:cs="Times New Roman"/>
          <w:sz w:val="28"/>
          <w:szCs w:val="28"/>
        </w:rPr>
        <w:t>Joe Elmlinger, global head of equity derivatives at Citigroup in New York, says the impetus</w:t>
      </w:r>
      <w:r w:rsidR="00360D50" w:rsidRPr="00901B76">
        <w:rPr>
          <w:rFonts w:ascii="Bell MT" w:hAnsi="Bell MT" w:cs="Times New Roman"/>
          <w:sz w:val="28"/>
          <w:szCs w:val="28"/>
        </w:rPr>
        <w:t xml:space="preserve"> </w:t>
      </w:r>
      <w:r w:rsidRPr="00901B76">
        <w:rPr>
          <w:rFonts w:ascii="Bell MT" w:hAnsi="Bell MT" w:cs="Times New Roman"/>
          <w:sz w:val="28"/>
          <w:szCs w:val="28"/>
        </w:rPr>
        <w:t>behind the effort is "to expedite the processing of variance swap trades, so that we don't find</w:t>
      </w:r>
      <w:r w:rsidR="00360D50" w:rsidRPr="00901B76">
        <w:rPr>
          <w:rFonts w:ascii="Bell MT" w:hAnsi="Bell MT" w:cs="Times New Roman"/>
          <w:sz w:val="28"/>
          <w:szCs w:val="28"/>
        </w:rPr>
        <w:t xml:space="preserve"> </w:t>
      </w:r>
      <w:r w:rsidRPr="00901B76">
        <w:rPr>
          <w:rFonts w:ascii="Bell MT" w:hAnsi="Bell MT" w:cs="Times New Roman"/>
          <w:sz w:val="28"/>
          <w:szCs w:val="28"/>
        </w:rPr>
        <w:t xml:space="preserve">ourselves like some </w:t>
      </w:r>
      <w:r w:rsidR="00E41C30">
        <w:rPr>
          <w:rFonts w:ascii="Bell MT" w:hAnsi="Bell MT" w:cs="Times New Roman"/>
          <w:noProof/>
          <w:sz w:val="28"/>
          <w:szCs w:val="28"/>
        </w:rPr>
        <w:lastRenderedPageBreak/>
        <w:drawing>
          <wp:anchor distT="0" distB="0" distL="114300" distR="114300" simplePos="0" relativeHeight="251666432" behindDoc="1" locked="0" layoutInCell="1" allowOverlap="1">
            <wp:simplePos x="0" y="0"/>
            <wp:positionH relativeFrom="column">
              <wp:posOffset>163830</wp:posOffset>
            </wp:positionH>
            <wp:positionV relativeFrom="paragraph">
              <wp:posOffset>1170940</wp:posOffset>
            </wp:positionV>
            <wp:extent cx="4121150" cy="2292350"/>
            <wp:effectExtent l="95250" t="95250" r="88900" b="88900"/>
            <wp:wrapTight wrapText="bothSides">
              <wp:wrapPolygon edited="0">
                <wp:start x="-499" y="-898"/>
                <wp:lineTo x="-499" y="22438"/>
                <wp:lineTo x="22066" y="22438"/>
                <wp:lineTo x="22066" y="-898"/>
                <wp:lineTo x="-499" y="-898"/>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121150" cy="22923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901B76">
        <w:rPr>
          <w:rFonts w:ascii="Bell MT" w:hAnsi="Bell MT" w:cs="Times New Roman"/>
          <w:sz w:val="28"/>
          <w:szCs w:val="28"/>
        </w:rPr>
        <w:t>other emerging derivatives markets have in the past couple of years".</w:t>
      </w:r>
      <w:r w:rsidR="00360D50" w:rsidRPr="00901B76">
        <w:rPr>
          <w:rFonts w:ascii="Bell MT" w:hAnsi="Bell MT" w:cs="Times New Roman"/>
          <w:sz w:val="28"/>
          <w:szCs w:val="28"/>
        </w:rPr>
        <w:t xml:space="preserve"> </w:t>
      </w:r>
      <w:r w:rsidRPr="00901B76">
        <w:rPr>
          <w:rFonts w:ascii="Bell MT" w:hAnsi="Bell MT" w:cs="Times New Roman"/>
          <w:sz w:val="28"/>
          <w:szCs w:val="28"/>
        </w:rPr>
        <w:t xml:space="preserve">Dealers say </w:t>
      </w:r>
      <w:r w:rsidR="00901B76" w:rsidRPr="00901B76">
        <w:rPr>
          <w:rFonts w:ascii="Bell MT" w:hAnsi="Bell MT" w:cs="Times New Roman"/>
          <w:sz w:val="28"/>
          <w:szCs w:val="28"/>
        </w:rPr>
        <w:t>standardization</w:t>
      </w:r>
      <w:r w:rsidRPr="00901B76">
        <w:rPr>
          <w:rFonts w:ascii="Bell MT" w:hAnsi="Bell MT" w:cs="Times New Roman"/>
          <w:sz w:val="28"/>
          <w:szCs w:val="28"/>
        </w:rPr>
        <w:t xml:space="preserve"> of the documentation will have a beneficial effect on risk</w:t>
      </w:r>
      <w:r w:rsidR="00360D50" w:rsidRPr="00901B76">
        <w:rPr>
          <w:rFonts w:ascii="Bell MT" w:hAnsi="Bell MT" w:cs="Times New Roman"/>
          <w:sz w:val="28"/>
          <w:szCs w:val="28"/>
        </w:rPr>
        <w:t xml:space="preserve"> </w:t>
      </w:r>
      <w:r w:rsidRPr="00901B76">
        <w:rPr>
          <w:rFonts w:ascii="Bell MT" w:hAnsi="Bell MT" w:cs="Times New Roman"/>
          <w:sz w:val="28"/>
          <w:szCs w:val="28"/>
        </w:rPr>
        <w:t>management. Variance swaps, are usually one-off deals between a client and a broker-dealer.</w:t>
      </w:r>
      <w:r w:rsidR="00360D50" w:rsidRPr="00901B76">
        <w:rPr>
          <w:rFonts w:ascii="Bell MT" w:hAnsi="Bell MT" w:cs="Times New Roman"/>
          <w:sz w:val="28"/>
          <w:szCs w:val="28"/>
        </w:rPr>
        <w:t xml:space="preserve"> </w:t>
      </w:r>
      <w:r w:rsidRPr="00901B76">
        <w:rPr>
          <w:rFonts w:ascii="Bell MT" w:hAnsi="Bell MT" w:cs="Times New Roman"/>
          <w:sz w:val="28"/>
          <w:szCs w:val="28"/>
        </w:rPr>
        <w:t>Therefore, the very same market event could have a different result for different clients. So, for</w:t>
      </w:r>
      <w:r w:rsidR="00360D50" w:rsidRPr="00901B76">
        <w:rPr>
          <w:rFonts w:ascii="Bell MT" w:hAnsi="Bell MT" w:cs="Times New Roman"/>
          <w:sz w:val="28"/>
          <w:szCs w:val="28"/>
        </w:rPr>
        <w:t xml:space="preserve"> </w:t>
      </w:r>
      <w:r w:rsidRPr="00901B76">
        <w:rPr>
          <w:rFonts w:ascii="Bell MT" w:hAnsi="Bell MT" w:cs="Times New Roman"/>
          <w:sz w:val="28"/>
          <w:szCs w:val="28"/>
        </w:rPr>
        <w:t>example, a company might pay a large one-time cash dividend, which could lead to sharp jumps</w:t>
      </w:r>
      <w:r w:rsidR="00360D50" w:rsidRPr="00901B76">
        <w:rPr>
          <w:rFonts w:ascii="Bell MT" w:hAnsi="Bell MT" w:cs="Times New Roman"/>
          <w:sz w:val="28"/>
          <w:szCs w:val="28"/>
        </w:rPr>
        <w:t xml:space="preserve"> </w:t>
      </w:r>
      <w:r w:rsidRPr="00901B76">
        <w:rPr>
          <w:rFonts w:ascii="Bell MT" w:hAnsi="Bell MT" w:cs="Times New Roman"/>
          <w:sz w:val="28"/>
          <w:szCs w:val="28"/>
        </w:rPr>
        <w:t xml:space="preserve">in the share price - but the calculations of </w:t>
      </w:r>
      <w:r w:rsidR="00901B76" w:rsidRPr="00901B76">
        <w:rPr>
          <w:rFonts w:ascii="Bell MT" w:hAnsi="Bell MT" w:cs="Times New Roman"/>
          <w:sz w:val="28"/>
          <w:szCs w:val="28"/>
        </w:rPr>
        <w:t>realized</w:t>
      </w:r>
      <w:r w:rsidRPr="00901B76">
        <w:rPr>
          <w:rFonts w:ascii="Bell MT" w:hAnsi="Bell MT" w:cs="Times New Roman"/>
          <w:sz w:val="28"/>
          <w:szCs w:val="28"/>
        </w:rPr>
        <w:t xml:space="preserve"> variance in some contracts may be adjusted</w:t>
      </w:r>
      <w:r w:rsidR="00360D50" w:rsidRPr="00901B76">
        <w:rPr>
          <w:rFonts w:ascii="Bell MT" w:hAnsi="Bell MT" w:cs="Times New Roman"/>
          <w:sz w:val="28"/>
          <w:szCs w:val="28"/>
        </w:rPr>
        <w:t xml:space="preserve"> </w:t>
      </w:r>
      <w:r w:rsidRPr="00901B76">
        <w:rPr>
          <w:rFonts w:ascii="Bell MT" w:hAnsi="Bell MT" w:cs="Times New Roman"/>
          <w:sz w:val="28"/>
          <w:szCs w:val="28"/>
        </w:rPr>
        <w:t>for the jump in share price, while others might not.</w:t>
      </w:r>
      <w:r w:rsidR="00360D50" w:rsidRPr="00901B76">
        <w:rPr>
          <w:rFonts w:ascii="Bell MT" w:hAnsi="Bell MT" w:cs="Times New Roman"/>
          <w:sz w:val="28"/>
          <w:szCs w:val="28"/>
        </w:rPr>
        <w:t xml:space="preserve"> </w:t>
      </w:r>
      <w:r w:rsidRPr="00901B76">
        <w:rPr>
          <w:rFonts w:ascii="Bell MT" w:hAnsi="Bell MT" w:cs="Times New Roman"/>
          <w:sz w:val="28"/>
          <w:szCs w:val="28"/>
        </w:rPr>
        <w:t>It means a firm could think it has hedged a long variance swaps position by selling a variance</w:t>
      </w:r>
      <w:r w:rsidR="00360D50" w:rsidRPr="00901B76">
        <w:rPr>
          <w:rFonts w:ascii="Bell MT" w:hAnsi="Bell MT" w:cs="Times New Roman"/>
          <w:sz w:val="28"/>
          <w:szCs w:val="28"/>
        </w:rPr>
        <w:t xml:space="preserve"> </w:t>
      </w:r>
      <w:r w:rsidRPr="00901B76">
        <w:rPr>
          <w:rFonts w:ascii="Bell MT" w:hAnsi="Bell MT" w:cs="Times New Roman"/>
          <w:sz w:val="28"/>
          <w:szCs w:val="28"/>
        </w:rPr>
        <w:t>swap on the same name with another dealer. "But then it finds out that it has a completely</w:t>
      </w:r>
      <w:r w:rsidR="00360D50" w:rsidRPr="00901B76">
        <w:rPr>
          <w:rFonts w:ascii="Bell MT" w:hAnsi="Bell MT" w:cs="Times New Roman"/>
          <w:sz w:val="28"/>
          <w:szCs w:val="28"/>
        </w:rPr>
        <w:t xml:space="preserve"> </w:t>
      </w:r>
      <w:r w:rsidRPr="00901B76">
        <w:rPr>
          <w:rFonts w:ascii="Bell MT" w:hAnsi="Bell MT" w:cs="Times New Roman"/>
          <w:sz w:val="28"/>
          <w:szCs w:val="28"/>
        </w:rPr>
        <w:t>different treatment for the same corporate action or market disruption event. Well, guess what,</w:t>
      </w:r>
      <w:r w:rsidR="00360D50" w:rsidRPr="00901B76">
        <w:rPr>
          <w:rFonts w:ascii="Bell MT" w:hAnsi="Bell MT" w:cs="Times New Roman"/>
          <w:sz w:val="28"/>
          <w:szCs w:val="28"/>
        </w:rPr>
        <w:t xml:space="preserve"> </w:t>
      </w:r>
      <w:r w:rsidRPr="00901B76">
        <w:rPr>
          <w:rFonts w:ascii="Bell MT" w:hAnsi="Bell MT" w:cs="Times New Roman"/>
          <w:sz w:val="28"/>
          <w:szCs w:val="28"/>
        </w:rPr>
        <w:t>you're not really hedged are you?" says Elmlinger.</w:t>
      </w:r>
      <w:r w:rsidR="00360D50" w:rsidRPr="00901B76">
        <w:rPr>
          <w:rFonts w:ascii="Bell MT" w:hAnsi="Bell MT" w:cs="Times New Roman"/>
          <w:sz w:val="28"/>
          <w:szCs w:val="28"/>
        </w:rPr>
        <w:t xml:space="preserve"> </w:t>
      </w:r>
      <w:r w:rsidRPr="00901B76">
        <w:rPr>
          <w:rFonts w:ascii="Bell MT" w:hAnsi="Bell MT" w:cs="Times New Roman"/>
          <w:sz w:val="28"/>
          <w:szCs w:val="28"/>
        </w:rPr>
        <w:t>Areas that still need to be hammered out include how to define a market disruption event, how to</w:t>
      </w:r>
      <w:r w:rsidR="00901B76">
        <w:rPr>
          <w:rFonts w:ascii="Bell MT" w:hAnsi="Bell MT" w:cs="Times New Roman"/>
          <w:sz w:val="28"/>
          <w:szCs w:val="28"/>
        </w:rPr>
        <w:t xml:space="preserve"> </w:t>
      </w:r>
      <w:r w:rsidRPr="00901B76">
        <w:rPr>
          <w:rFonts w:ascii="Bell MT" w:hAnsi="Bell MT" w:cs="Times New Roman"/>
          <w:sz w:val="28"/>
          <w:szCs w:val="28"/>
        </w:rPr>
        <w:t>deal with corporate actions, and whether to have a single over-the-counter clearing company,</w:t>
      </w:r>
      <w:r w:rsidR="00360D50" w:rsidRPr="00901B76">
        <w:rPr>
          <w:rFonts w:ascii="Bell MT" w:hAnsi="Bell MT" w:cs="Times New Roman"/>
          <w:sz w:val="28"/>
          <w:szCs w:val="28"/>
        </w:rPr>
        <w:t xml:space="preserve"> </w:t>
      </w:r>
      <w:r w:rsidRPr="00901B76">
        <w:rPr>
          <w:rFonts w:ascii="Bell MT" w:hAnsi="Bell MT" w:cs="Times New Roman"/>
          <w:sz w:val="28"/>
          <w:szCs w:val="28"/>
        </w:rPr>
        <w:t xml:space="preserve">such as the New York-based Depository Trust &amp; Clearing Corporation or London-based </w:t>
      </w:r>
      <w:r w:rsidR="00901B76" w:rsidRPr="00901B76">
        <w:rPr>
          <w:rFonts w:ascii="Bell MT" w:hAnsi="Bell MT" w:cs="Times New Roman"/>
          <w:sz w:val="28"/>
          <w:szCs w:val="28"/>
        </w:rPr>
        <w:t>dealer owned</w:t>
      </w:r>
      <w:r w:rsidR="00360D50" w:rsidRPr="00901B76">
        <w:rPr>
          <w:rFonts w:ascii="Bell MT" w:hAnsi="Bell MT" w:cs="Times New Roman"/>
          <w:sz w:val="28"/>
          <w:szCs w:val="28"/>
        </w:rPr>
        <w:t xml:space="preserve"> </w:t>
      </w:r>
      <w:r w:rsidRPr="00901B76">
        <w:rPr>
          <w:rFonts w:ascii="Bell MT" w:hAnsi="Bell MT" w:cs="Times New Roman"/>
          <w:sz w:val="28"/>
          <w:szCs w:val="28"/>
        </w:rPr>
        <w:t>Swaps</w:t>
      </w:r>
      <w:r w:rsidR="00901B76">
        <w:rPr>
          <w:rFonts w:ascii="Bell MT" w:hAnsi="Bell MT" w:cs="Times New Roman"/>
          <w:sz w:val="28"/>
          <w:szCs w:val="28"/>
        </w:rPr>
        <w:t xml:space="preserve"> </w:t>
      </w:r>
      <w:r w:rsidRPr="00901B76">
        <w:rPr>
          <w:rFonts w:ascii="Bell MT" w:hAnsi="Bell MT" w:cs="Times New Roman"/>
          <w:sz w:val="28"/>
          <w:szCs w:val="28"/>
        </w:rPr>
        <w:t>Wire. "We're not there today, but I'm confident we will get there in the next six to 12</w:t>
      </w:r>
      <w:r w:rsidR="00360D50" w:rsidRPr="00901B76">
        <w:rPr>
          <w:rFonts w:ascii="Bell MT" w:hAnsi="Bell MT" w:cs="Times New Roman"/>
          <w:sz w:val="28"/>
          <w:szCs w:val="28"/>
        </w:rPr>
        <w:t xml:space="preserve"> </w:t>
      </w:r>
      <w:r w:rsidRPr="00901B76">
        <w:rPr>
          <w:rFonts w:ascii="Bell MT" w:hAnsi="Bell MT" w:cs="Times New Roman"/>
          <w:sz w:val="28"/>
          <w:szCs w:val="28"/>
        </w:rPr>
        <w:t>months," says Elmlinger.</w:t>
      </w:r>
    </w:p>
    <w:p w:rsidR="00937244" w:rsidRPr="00BB3B8F" w:rsidRDefault="00937244" w:rsidP="00E41C30">
      <w:pPr>
        <w:jc w:val="both"/>
        <w:rPr>
          <w:rFonts w:ascii="Times New Roman" w:hAnsi="Times New Roman" w:cs="Times New Roman"/>
          <w:sz w:val="24"/>
          <w:szCs w:val="24"/>
        </w:rPr>
      </w:pPr>
    </w:p>
    <w:p w:rsidR="00937244" w:rsidRPr="00BB3B8F" w:rsidRDefault="00823F5D" w:rsidP="00E41C30">
      <w:pPr>
        <w:jc w:val="both"/>
        <w:rPr>
          <w:rFonts w:ascii="Times New Roman" w:hAnsi="Times New Roman" w:cs="Times New Roman"/>
          <w:sz w:val="24"/>
          <w:szCs w:val="24"/>
        </w:rPr>
      </w:pPr>
      <w:r w:rsidRPr="00BB3B8F">
        <w:rPr>
          <w:rFonts w:ascii="Times New Roman" w:hAnsi="Times New Roman" w:cs="Times New Roman"/>
          <w:sz w:val="24"/>
          <w:szCs w:val="24"/>
        </w:rPr>
        <w:br/>
      </w:r>
    </w:p>
    <w:p w:rsidR="00823F5D" w:rsidRPr="00BB3B8F" w:rsidRDefault="00823F5D" w:rsidP="00E41C30">
      <w:pPr>
        <w:jc w:val="both"/>
        <w:rPr>
          <w:rFonts w:ascii="Times New Roman" w:hAnsi="Times New Roman" w:cs="Times New Roman"/>
          <w:sz w:val="24"/>
          <w:szCs w:val="24"/>
        </w:rPr>
      </w:pPr>
    </w:p>
    <w:p w:rsidR="00823F5D" w:rsidRDefault="00823F5D" w:rsidP="00E41C30">
      <w:pPr>
        <w:jc w:val="both"/>
        <w:rPr>
          <w:rFonts w:ascii="Times New Roman" w:hAnsi="Times New Roman" w:cs="Times New Roman"/>
          <w:sz w:val="24"/>
          <w:szCs w:val="24"/>
        </w:rPr>
      </w:pPr>
    </w:p>
    <w:p w:rsidR="00360D50" w:rsidRDefault="00360D50" w:rsidP="00E41C30">
      <w:pPr>
        <w:jc w:val="both"/>
        <w:rPr>
          <w:rFonts w:ascii="Times New Roman" w:hAnsi="Times New Roman" w:cs="Times New Roman"/>
          <w:sz w:val="24"/>
          <w:szCs w:val="24"/>
        </w:rPr>
      </w:pPr>
    </w:p>
    <w:p w:rsidR="00360D50" w:rsidRDefault="00360D50" w:rsidP="00E41C30">
      <w:pPr>
        <w:jc w:val="both"/>
        <w:rPr>
          <w:rFonts w:ascii="Times New Roman" w:hAnsi="Times New Roman" w:cs="Times New Roman"/>
          <w:sz w:val="24"/>
          <w:szCs w:val="24"/>
        </w:rPr>
      </w:pPr>
    </w:p>
    <w:p w:rsidR="00360D50" w:rsidRDefault="00360D50" w:rsidP="00E41C30">
      <w:pPr>
        <w:jc w:val="both"/>
        <w:rPr>
          <w:rFonts w:ascii="Times New Roman" w:hAnsi="Times New Roman" w:cs="Times New Roman"/>
          <w:sz w:val="24"/>
          <w:szCs w:val="24"/>
        </w:rPr>
      </w:pPr>
    </w:p>
    <w:p w:rsidR="00360D50" w:rsidRDefault="00360D50" w:rsidP="00E41C30">
      <w:pPr>
        <w:jc w:val="both"/>
        <w:rPr>
          <w:rFonts w:ascii="Times New Roman" w:hAnsi="Times New Roman" w:cs="Times New Roman"/>
          <w:sz w:val="24"/>
          <w:szCs w:val="24"/>
        </w:rPr>
      </w:pPr>
    </w:p>
    <w:p w:rsidR="00823F5D" w:rsidRPr="00BF56CC" w:rsidRDefault="009148D0" w:rsidP="00E41C30">
      <w:pPr>
        <w:jc w:val="center"/>
        <w:rPr>
          <w:rFonts w:ascii="Kunstler Script" w:hAnsi="Kunstler Script" w:cs="Times New Roman"/>
          <w:sz w:val="110"/>
          <w:szCs w:val="110"/>
        </w:rPr>
      </w:pPr>
      <w:r w:rsidRPr="00BF56CC">
        <w:rPr>
          <w:rFonts w:ascii="Kunstler Script" w:hAnsi="Kunstler Script" w:cs="Times New Roman"/>
          <w:sz w:val="110"/>
          <w:szCs w:val="110"/>
        </w:rPr>
        <w:lastRenderedPageBreak/>
        <w:t>Conclusion</w:t>
      </w:r>
    </w:p>
    <w:p w:rsidR="009148D0" w:rsidRPr="009148D0" w:rsidRDefault="009148D0" w:rsidP="00E41C30">
      <w:pPr>
        <w:spacing w:after="0"/>
        <w:jc w:val="center"/>
        <w:rPr>
          <w:rFonts w:ascii="Times New Roman" w:hAnsi="Times New Roman" w:cs="Times New Roman"/>
          <w:b/>
          <w:sz w:val="40"/>
          <w:szCs w:val="40"/>
        </w:rPr>
      </w:pP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 xml:space="preserve">In an attempt to make what it sees as the shadowy dealings of the credit-default-swap market clearer to the outside world, the Securities and Exchange Commission today approved temporary exemptions that allow at least one firm, London-based LCH Clearnet Ltd., to operate as a central counterparty for the swaps. </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The temporary exemptions will enable central counterparties like LCH. Clearnet and some of their participants "to implement centralized clearing quickly," according to the commission. Further, the SEC thinks the action will provide it with time to review the counterparty's operations and assess whether registrations or permanent exemptions should be granted in the future.</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The commission gave no details about the exemptions; elaborate on whether other counterparty groups could qualify for them, or say what conditions counterparties had to meet to qualify for them. An SEC spokesperson had not returned a call by CFO.com as of press time.</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 xml:space="preserve">LCH. Clearnet is a leading central-counterparty group in Europe. It clears a range of asset classes, including stocks, exchange-traded derivatives, and a variety of swaps. Typically, a central counterparty sits in the middle of a trade and assumes the counterparty risk involved when two parties trade. When the trade is registered with the central counterparty, it's legally bound to ensure the financial performance of the deal. If one of the parties fails, the counterparty steps in. </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In such arrangements, the central counterparty collects collateral from its members. If they fail, the collateral is used to fulfill the central counterparty's obligations."Well-regulated central counterparties should help promote stability in financial markets by reducing the counterparty risks posed by the default or financial distress of a major market participant," the SEC said in a release.</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In turn, that should curb the risk of CDS-related disruption in the financial markets, according to the release. The use of counterparties "should also promote operational efficiencies and transparency, which are lacking currently in the over-the-counter market for credit default swaps," the commission said in its release.</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lastRenderedPageBreak/>
        <w:t>Credit default swaps — the unregulated derivatives that are supposed to offer their buyers a payout if the company against which they're written defaults or goes bankrupt — were, until recently, hailed by many as a valuable financial innovation. In fact, the notional value of credit-default swaps soared to some $62.2 trillion in 2007 from $34.4 trillion in 2006, according to the International Swaps and Derivatives Association.</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But the bankruptcy of Lehman Brothers, a major issuer of credit default swaps, combined with the government takeover of AIG, which had covered more than $440 billion in bonds with credit default swaps, has raised serious concerns about the default of the default swaps themselves.</w:t>
      </w:r>
    </w:p>
    <w:p w:rsidR="00823F5D" w:rsidRPr="00834182" w:rsidRDefault="00823F5D" w:rsidP="00E41C30">
      <w:pPr>
        <w:jc w:val="both"/>
        <w:rPr>
          <w:rFonts w:ascii="Bell MT" w:hAnsi="Bell MT" w:cs="Times New Roman"/>
          <w:sz w:val="28"/>
          <w:szCs w:val="28"/>
        </w:rPr>
      </w:pPr>
      <w:r w:rsidRPr="00834182">
        <w:rPr>
          <w:rFonts w:ascii="Bell MT" w:hAnsi="Bell MT" w:cs="Times New Roman"/>
          <w:sz w:val="28"/>
          <w:szCs w:val="28"/>
        </w:rPr>
        <w:t>The President’s Working Group on Financial Markets, led by Treasury Secretary Henry Paulson, has called the installation of central counterparty services for credit default swaps a top priority, according to the SEC. "Today’s announcement is an important step in our efforts to add transparency and structure to the opaque and unregulated multi-trillion dollar credit default swaps market," said SEC Chairman Christopher Cox.</w:t>
      </w:r>
    </w:p>
    <w:p w:rsidR="00823F5D" w:rsidRDefault="00823F5D" w:rsidP="00E41C30">
      <w:pPr>
        <w:jc w:val="both"/>
        <w:rPr>
          <w:rFonts w:ascii="Bell MT" w:hAnsi="Bell MT" w:cs="Times New Roman"/>
          <w:sz w:val="28"/>
          <w:szCs w:val="28"/>
        </w:rPr>
      </w:pPr>
      <w:r w:rsidRPr="00834182">
        <w:rPr>
          <w:rFonts w:ascii="Bell MT" w:hAnsi="Bell MT" w:cs="Times New Roman"/>
          <w:sz w:val="28"/>
          <w:szCs w:val="28"/>
        </w:rPr>
        <w:t>"These conditional exemptions will allow a central counterparty to be quickly up and running, while protecting investors through regulatory oversight," Cox said. "Although more needs to be done in this area legislatively, these actions will shine much-needed light on credit default swaps trading."</w:t>
      </w:r>
    </w:p>
    <w:p w:rsidR="007A15D8" w:rsidRDefault="007A15D8" w:rsidP="00E41C30">
      <w:pPr>
        <w:jc w:val="both"/>
        <w:rPr>
          <w:rFonts w:ascii="Bell MT" w:hAnsi="Bell MT" w:cs="Times New Roman"/>
          <w:sz w:val="28"/>
          <w:szCs w:val="28"/>
        </w:rPr>
      </w:pPr>
    </w:p>
    <w:p w:rsidR="007A15D8" w:rsidRDefault="007A15D8" w:rsidP="00E41C30">
      <w:pPr>
        <w:jc w:val="both"/>
        <w:rPr>
          <w:rFonts w:ascii="Bell MT" w:hAnsi="Bell MT" w:cs="Times New Roman"/>
          <w:sz w:val="28"/>
          <w:szCs w:val="28"/>
        </w:rPr>
      </w:pPr>
    </w:p>
    <w:p w:rsidR="007A15D8" w:rsidRDefault="007A15D8" w:rsidP="00E41C30">
      <w:pPr>
        <w:jc w:val="both"/>
        <w:rPr>
          <w:rFonts w:ascii="Bell MT" w:hAnsi="Bell MT" w:cs="Times New Roman"/>
          <w:sz w:val="28"/>
          <w:szCs w:val="28"/>
        </w:rPr>
      </w:pPr>
    </w:p>
    <w:p w:rsidR="007A15D8" w:rsidRDefault="007A15D8" w:rsidP="00E41C30">
      <w:pPr>
        <w:jc w:val="both"/>
        <w:rPr>
          <w:rFonts w:ascii="Bell MT" w:hAnsi="Bell MT" w:cs="Times New Roman"/>
          <w:sz w:val="28"/>
          <w:szCs w:val="28"/>
        </w:rPr>
      </w:pPr>
    </w:p>
    <w:p w:rsidR="007A15D8" w:rsidRDefault="007A15D8" w:rsidP="00E41C30">
      <w:pPr>
        <w:jc w:val="both"/>
        <w:rPr>
          <w:rFonts w:ascii="Bell MT" w:hAnsi="Bell MT" w:cs="Times New Roman"/>
          <w:sz w:val="28"/>
          <w:szCs w:val="28"/>
        </w:rPr>
      </w:pPr>
    </w:p>
    <w:p w:rsidR="007A15D8" w:rsidRDefault="007A15D8" w:rsidP="00E41C30">
      <w:pPr>
        <w:jc w:val="both"/>
        <w:rPr>
          <w:rFonts w:ascii="Bell MT" w:hAnsi="Bell MT" w:cs="Times New Roman"/>
          <w:sz w:val="28"/>
          <w:szCs w:val="28"/>
        </w:rPr>
      </w:pPr>
    </w:p>
    <w:p w:rsidR="00E41C30" w:rsidRDefault="00E41C30" w:rsidP="00E41C30">
      <w:pPr>
        <w:jc w:val="both"/>
        <w:rPr>
          <w:rFonts w:ascii="Bell MT" w:hAnsi="Bell MT" w:cs="Times New Roman"/>
          <w:sz w:val="28"/>
          <w:szCs w:val="28"/>
        </w:rPr>
      </w:pPr>
    </w:p>
    <w:p w:rsidR="00E41C30" w:rsidRDefault="00E41C30" w:rsidP="00E41C30">
      <w:pPr>
        <w:jc w:val="both"/>
        <w:rPr>
          <w:rFonts w:ascii="Bell MT" w:hAnsi="Bell MT" w:cs="Times New Roman"/>
          <w:sz w:val="28"/>
          <w:szCs w:val="28"/>
        </w:rPr>
      </w:pPr>
    </w:p>
    <w:p w:rsidR="007A15D8" w:rsidRDefault="007A15D8" w:rsidP="00E41C30">
      <w:pPr>
        <w:jc w:val="both"/>
        <w:rPr>
          <w:rFonts w:ascii="Bell MT" w:hAnsi="Bell MT" w:cs="Times New Roman"/>
          <w:sz w:val="28"/>
          <w:szCs w:val="28"/>
        </w:rPr>
      </w:pPr>
    </w:p>
    <w:p w:rsidR="007A15D8" w:rsidRPr="00BF56CC" w:rsidRDefault="007A15D8" w:rsidP="00E41C30">
      <w:pPr>
        <w:jc w:val="center"/>
        <w:rPr>
          <w:rFonts w:ascii="Kunstler Script" w:hAnsi="Kunstler Script" w:cs="Times New Roman"/>
          <w:sz w:val="110"/>
          <w:szCs w:val="110"/>
        </w:rPr>
      </w:pPr>
      <w:r w:rsidRPr="00BF56CC">
        <w:rPr>
          <w:rFonts w:ascii="Kunstler Script" w:hAnsi="Kunstler Script" w:cs="Times New Roman"/>
          <w:sz w:val="110"/>
          <w:szCs w:val="110"/>
        </w:rPr>
        <w:lastRenderedPageBreak/>
        <w:t>Bibliography</w:t>
      </w:r>
    </w:p>
    <w:p w:rsidR="007A15D8" w:rsidRPr="008300A9" w:rsidRDefault="007A15D8" w:rsidP="00E41C30">
      <w:pPr>
        <w:spacing w:after="0"/>
        <w:jc w:val="center"/>
        <w:rPr>
          <w:rFonts w:ascii="Kunstler Script" w:hAnsi="Kunstler Script" w:cs="Times New Roman"/>
          <w:b/>
          <w:sz w:val="56"/>
          <w:szCs w:val="96"/>
        </w:rPr>
      </w:pPr>
    </w:p>
    <w:p w:rsidR="007A15D8" w:rsidRDefault="007A15D8" w:rsidP="00E41C30">
      <w:pPr>
        <w:rPr>
          <w:rFonts w:ascii="Lucida Handwriting" w:hAnsi="Lucida Handwriting" w:cs="Times New Roman"/>
          <w:b/>
          <w:sz w:val="32"/>
          <w:szCs w:val="32"/>
        </w:rPr>
      </w:pPr>
      <w:r w:rsidRPr="007A15D8">
        <w:rPr>
          <w:rFonts w:ascii="Lucida Handwriting" w:hAnsi="Lucida Handwriting" w:cs="Times New Roman"/>
          <w:b/>
          <w:sz w:val="32"/>
          <w:szCs w:val="32"/>
        </w:rPr>
        <w:t>Books</w:t>
      </w:r>
      <w:r>
        <w:rPr>
          <w:rFonts w:ascii="Lucida Handwriting" w:hAnsi="Lucida Handwriting" w:cs="Times New Roman"/>
          <w:b/>
          <w:sz w:val="32"/>
          <w:szCs w:val="32"/>
        </w:rPr>
        <w:t>: -</w:t>
      </w:r>
    </w:p>
    <w:p w:rsidR="00FB496A" w:rsidRDefault="00FB496A" w:rsidP="00E41C30">
      <w:pPr>
        <w:pStyle w:val="ListParagraph"/>
        <w:numPr>
          <w:ilvl w:val="0"/>
          <w:numId w:val="4"/>
        </w:numPr>
        <w:ind w:right="-360"/>
        <w:jc w:val="both"/>
        <w:rPr>
          <w:rFonts w:ascii="Bodoni MT" w:hAnsi="Bodoni MT" w:cs="Times New Roman"/>
          <w:sz w:val="28"/>
          <w:szCs w:val="28"/>
        </w:rPr>
      </w:pPr>
      <w:r>
        <w:rPr>
          <w:rFonts w:ascii="Bodoni MT" w:hAnsi="Bodoni MT" w:cs="Times New Roman"/>
          <w:sz w:val="28"/>
          <w:szCs w:val="28"/>
        </w:rPr>
        <w:t>Arthur J. Keown, Jhon D. Martin, J. William Petty, David F. Scott; “Financial Management”, Pearson Education, 10</w:t>
      </w:r>
      <w:r w:rsidRPr="00FB496A">
        <w:rPr>
          <w:rFonts w:ascii="Bodoni MT" w:hAnsi="Bodoni MT" w:cs="Times New Roman"/>
          <w:sz w:val="28"/>
          <w:szCs w:val="28"/>
          <w:vertAlign w:val="superscript"/>
        </w:rPr>
        <w:t>th</w:t>
      </w:r>
      <w:r>
        <w:rPr>
          <w:rFonts w:ascii="Bodoni MT" w:hAnsi="Bodoni MT" w:cs="Times New Roman"/>
          <w:sz w:val="28"/>
          <w:szCs w:val="28"/>
        </w:rPr>
        <w:t xml:space="preserve"> Edition, 2006 </w:t>
      </w:r>
    </w:p>
    <w:p w:rsidR="00FB496A" w:rsidRDefault="00FB496A" w:rsidP="00E41C30">
      <w:pPr>
        <w:pStyle w:val="ListParagraph"/>
        <w:ind w:right="-360"/>
        <w:jc w:val="both"/>
        <w:rPr>
          <w:rFonts w:ascii="Bodoni MT" w:hAnsi="Bodoni MT" w:cs="Times New Roman"/>
          <w:sz w:val="28"/>
          <w:szCs w:val="28"/>
        </w:rPr>
      </w:pPr>
    </w:p>
    <w:p w:rsidR="00FB496A" w:rsidRDefault="00FB496A" w:rsidP="00E41C30">
      <w:pPr>
        <w:pStyle w:val="ListParagraph"/>
        <w:spacing w:before="240"/>
        <w:ind w:left="0" w:right="-360"/>
        <w:jc w:val="both"/>
        <w:rPr>
          <w:rFonts w:ascii="Cataneo BT" w:hAnsi="Cataneo BT" w:cs="Times New Roman"/>
          <w:b/>
          <w:sz w:val="32"/>
          <w:szCs w:val="32"/>
        </w:rPr>
      </w:pPr>
      <w:r w:rsidRPr="00FB496A">
        <w:rPr>
          <w:rFonts w:ascii="Cataneo BT" w:hAnsi="Cataneo BT" w:cs="Times New Roman"/>
          <w:b/>
          <w:sz w:val="32"/>
          <w:szCs w:val="32"/>
        </w:rPr>
        <w:t xml:space="preserve">Web Sites:- </w:t>
      </w:r>
    </w:p>
    <w:p w:rsidR="007A15D8" w:rsidRPr="007A15D8" w:rsidRDefault="007A15D8" w:rsidP="00E41C30">
      <w:pPr>
        <w:pStyle w:val="ListParagraph"/>
        <w:numPr>
          <w:ilvl w:val="0"/>
          <w:numId w:val="3"/>
        </w:numPr>
        <w:spacing w:before="240"/>
        <w:ind w:right="-360"/>
        <w:jc w:val="both"/>
        <w:rPr>
          <w:rFonts w:ascii="Bodoni MT" w:hAnsi="Bodoni MT" w:cs="Times New Roman"/>
          <w:sz w:val="28"/>
          <w:szCs w:val="28"/>
        </w:rPr>
      </w:pPr>
      <w:r w:rsidRPr="007A15D8">
        <w:rPr>
          <w:rFonts w:ascii="Bodoni MT" w:hAnsi="Bodoni MT" w:cs="Times New Roman"/>
          <w:sz w:val="28"/>
          <w:szCs w:val="28"/>
        </w:rPr>
        <w:t>http://wow.curse.com/downloads/wow-addons/details/big-wigs_blacktemple.aspx</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http://wow.curse.com/login.aspx?ReturnUrl=%2fdownloads%2fwow-addons%2fdetails%2fswaps.aspx</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http://papers.ssrn.com/sol3/cf_dev/AbsByAuth.cfm?per_id=783880</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pagead2.googlesyndication.com/pagead/ads?client=ca-pub-2197154964274421&amp;dt=1230828402406&amp;alternate_ad_url=http%3A%2F%2Fpapers.ssrn.com%2Fsol3%2Fgoogle_adsense_script.html&amp;format=160x600_as&amp;output=html&amp;correlator=1230828402406&amp;dblk=1&amp;url=attachment%3A%2F1%2Fpapers.htm&amp;color_bg=FFFFFF&amp;color_text=333333&amp;color_link=000000&amp;color_url=666666&amp;color_border=CCCCCC&amp;ad_type=text&amp;eid=6083027&amp;ea=0&amp;frm=0&amp;ga_vid=2008976216.1230828402&amp;ga_sid=1230828402&amp;ga_hid=2030536023&amp;flash=0&amp;u_h=1024&amp;u_w=1280&amp;u_ah=994&amp;u_aw=1280&amp;u_cd=32&amp;u_tz=330&amp;u_java=true&amp;u_nplug=8&amp;u_nmime=179&amp;dtd=0</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http://ad.doubleclick.net/adi/cfo2.dart/np58;pos=r1;cat=np58;kw=;sz=336x280;tile=2;ord=982002995908260400?</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http://www.cfo.com/article.cfm/12750794?f=related</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http://www.cfo.com/article.cfm/12280060?f=related</w:t>
      </w:r>
    </w:p>
    <w:p w:rsidR="007A15D8" w:rsidRP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http://www.cfo.com/whitepapers/index.cfm/displaywhitepaper/12874099</w:t>
      </w:r>
    </w:p>
    <w:p w:rsid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http://ad.doubleclick.net/adi/cfo2.dart/np58;pos=r2;cat=np58;kw=;sz=336x280;tile=3;ord=982002995908260400?</w:t>
      </w:r>
    </w:p>
    <w:p w:rsidR="007A15D8" w:rsidRDefault="007A15D8" w:rsidP="00E41C30">
      <w:pPr>
        <w:pStyle w:val="ListParagraph"/>
        <w:numPr>
          <w:ilvl w:val="0"/>
          <w:numId w:val="3"/>
        </w:numPr>
        <w:ind w:right="-360"/>
        <w:jc w:val="both"/>
        <w:rPr>
          <w:rFonts w:ascii="Bodoni MT" w:hAnsi="Bodoni MT" w:cs="Times New Roman"/>
          <w:sz w:val="28"/>
          <w:szCs w:val="28"/>
        </w:rPr>
      </w:pPr>
      <w:r w:rsidRPr="007A15D8">
        <w:rPr>
          <w:rFonts w:ascii="Bodoni MT" w:hAnsi="Bodoni MT" w:cs="Times New Roman"/>
          <w:sz w:val="28"/>
          <w:szCs w:val="28"/>
        </w:rPr>
        <w:t>http://pagead2.googlesyndication.com/pagead/ads?client=ca-pub-7314493500031999&amp;dt=1230828621328&amp;alternate_ad_url=http%3A%2F%</w:t>
      </w:r>
      <w:r w:rsidRPr="007A15D8">
        <w:rPr>
          <w:rFonts w:ascii="Bodoni MT" w:hAnsi="Bodoni MT" w:cs="Times New Roman"/>
          <w:sz w:val="28"/>
          <w:szCs w:val="28"/>
        </w:rPr>
        <w:lastRenderedPageBreak/>
        <w:t>2Fwww.banknetindia.com%2Fgoogle_adsense_script.html&amp;prev_fmts=468x60_as&amp;format=728x90_as&amp;output=html&amp;correlator=1230828621203&amp;dblk=1&amp;url=attachment%3A%2F1%2Fderivatives.htm&amp;color_bg=FFFFFF&amp;color_text=333333&amp;color_link=000000&amp;color_url=336699&amp;color_border=B0E0E6&amp;eid=6083027&amp;ea=0&amp;frm=0&amp;ga_vid=324655216.1230828621&amp;ga_sid=1230828621&amp;ga_hid=1376577329&amp;flash=0&amp;u_h=1024&amp;u_w=1280&amp;u_ah=994&amp;u_aw=1280&amp;u_cd=32&amp;u_tz=330&amp;u_java=true&amp;u_nplug=8&amp;u_nmime=179&amp;dtd=0</w:t>
      </w:r>
    </w:p>
    <w:p w:rsidR="007A15D8" w:rsidRPr="007A15D8" w:rsidRDefault="007A15D8" w:rsidP="00E41C30">
      <w:pPr>
        <w:pStyle w:val="ListParagraph"/>
        <w:ind w:right="-360"/>
        <w:jc w:val="both"/>
        <w:rPr>
          <w:rFonts w:ascii="Bodoni MT" w:hAnsi="Bodoni MT" w:cs="Times New Roman"/>
          <w:sz w:val="28"/>
          <w:szCs w:val="28"/>
        </w:rPr>
      </w:pPr>
    </w:p>
    <w:p w:rsidR="007A15D8" w:rsidRPr="00834182" w:rsidRDefault="007A15D8" w:rsidP="00E41C30">
      <w:pPr>
        <w:jc w:val="both"/>
        <w:rPr>
          <w:rFonts w:ascii="Bell MT" w:hAnsi="Bell MT" w:cs="Times New Roman"/>
          <w:sz w:val="28"/>
          <w:szCs w:val="28"/>
        </w:rPr>
      </w:pPr>
    </w:p>
    <w:sectPr w:rsidR="007A15D8" w:rsidRPr="00834182" w:rsidSect="006A0AB8">
      <w:footerReference w:type="default" r:id="rId16"/>
      <w:pgSz w:w="12240" w:h="15840"/>
      <w:pgMar w:top="720" w:right="1440" w:bottom="1260" w:left="1440" w:header="720" w:footer="2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BC6" w:rsidRDefault="009F7BC6" w:rsidP="008D0DD7">
      <w:pPr>
        <w:spacing w:after="0" w:line="240" w:lineRule="auto"/>
      </w:pPr>
      <w:r>
        <w:separator/>
      </w:r>
    </w:p>
  </w:endnote>
  <w:endnote w:type="continuationSeparator" w:id="1">
    <w:p w:rsidR="009F7BC6" w:rsidRDefault="009F7BC6" w:rsidP="008D0D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Kunstler Script">
    <w:panose1 w:val="030304020206070D0D06"/>
    <w:charset w:val="00"/>
    <w:family w:val="script"/>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taneo BT">
    <w:panose1 w:val="03020802040502060804"/>
    <w:charset w:val="00"/>
    <w:family w:val="script"/>
    <w:pitch w:val="variable"/>
    <w:sig w:usb0="00000087" w:usb1="00000000" w:usb2="00000000" w:usb3="00000000" w:csb0="0000001B" w:csb1="00000000"/>
  </w:font>
  <w:font w:name="Lucida Handwriting">
    <w:panose1 w:val="03010101010101010101"/>
    <w:charset w:val="00"/>
    <w:family w:val="script"/>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0225"/>
      <w:docPartObj>
        <w:docPartGallery w:val="Page Numbers (Bottom of Page)"/>
        <w:docPartUnique/>
      </w:docPartObj>
    </w:sdtPr>
    <w:sdtEndPr>
      <w:rPr>
        <w:color w:val="7F7F7F" w:themeColor="background1" w:themeShade="7F"/>
        <w:spacing w:val="60"/>
      </w:rPr>
    </w:sdtEndPr>
    <w:sdtContent>
      <w:p w:rsidR="008D0DD7" w:rsidRDefault="008D0DD7">
        <w:pPr>
          <w:pStyle w:val="Footer"/>
          <w:pBdr>
            <w:top w:val="single" w:sz="4" w:space="1" w:color="D9D9D9" w:themeColor="background1" w:themeShade="D9"/>
          </w:pBdr>
          <w:jc w:val="right"/>
        </w:pPr>
        <w:fldSimple w:instr=" PAGE   \* MERGEFORMAT ">
          <w:r w:rsidR="006A0AB8">
            <w:rPr>
              <w:noProof/>
            </w:rPr>
            <w:t>23</w:t>
          </w:r>
        </w:fldSimple>
        <w:r>
          <w:t xml:space="preserve"> | </w:t>
        </w:r>
        <w:r>
          <w:rPr>
            <w:color w:val="7F7F7F" w:themeColor="background1" w:themeShade="7F"/>
            <w:spacing w:val="60"/>
          </w:rPr>
          <w:t>Page</w:t>
        </w:r>
      </w:p>
    </w:sdtContent>
  </w:sdt>
  <w:p w:rsidR="008D0DD7" w:rsidRDefault="008D0D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BC6" w:rsidRDefault="009F7BC6" w:rsidP="008D0DD7">
      <w:pPr>
        <w:spacing w:after="0" w:line="240" w:lineRule="auto"/>
      </w:pPr>
      <w:r>
        <w:separator/>
      </w:r>
    </w:p>
  </w:footnote>
  <w:footnote w:type="continuationSeparator" w:id="1">
    <w:p w:rsidR="009F7BC6" w:rsidRDefault="009F7BC6" w:rsidP="008D0D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9pt;height:9pt" o:bullet="t">
        <v:imagedata r:id="rId1" o:title="BD10267_"/>
      </v:shape>
    </w:pict>
  </w:numPicBullet>
  <w:abstractNum w:abstractNumId="0">
    <w:nsid w:val="0174784E"/>
    <w:multiLevelType w:val="hybridMultilevel"/>
    <w:tmpl w:val="3A4CF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001DC8"/>
    <w:multiLevelType w:val="hybridMultilevel"/>
    <w:tmpl w:val="825C7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E85C7C"/>
    <w:multiLevelType w:val="hybridMultilevel"/>
    <w:tmpl w:val="69F43DF4"/>
    <w:lvl w:ilvl="0" w:tplc="F7203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B7502A8"/>
    <w:multiLevelType w:val="hybridMultilevel"/>
    <w:tmpl w:val="4B2438F4"/>
    <w:lvl w:ilvl="0" w:tplc="561CFF5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rsids>
    <w:rsidRoot w:val="00937244"/>
    <w:rsid w:val="00042455"/>
    <w:rsid w:val="000E1CB0"/>
    <w:rsid w:val="00230D3A"/>
    <w:rsid w:val="00360D50"/>
    <w:rsid w:val="005D1373"/>
    <w:rsid w:val="00664341"/>
    <w:rsid w:val="006A0AB8"/>
    <w:rsid w:val="007A15D8"/>
    <w:rsid w:val="00823F5D"/>
    <w:rsid w:val="008300A9"/>
    <w:rsid w:val="00834182"/>
    <w:rsid w:val="00871CAD"/>
    <w:rsid w:val="008B3241"/>
    <w:rsid w:val="008D0DD7"/>
    <w:rsid w:val="00901B76"/>
    <w:rsid w:val="009148D0"/>
    <w:rsid w:val="00937244"/>
    <w:rsid w:val="009950B0"/>
    <w:rsid w:val="009D2ECC"/>
    <w:rsid w:val="009F18F6"/>
    <w:rsid w:val="009F7BC6"/>
    <w:rsid w:val="00A85F90"/>
    <w:rsid w:val="00AF4A04"/>
    <w:rsid w:val="00BB3B8F"/>
    <w:rsid w:val="00BF56CC"/>
    <w:rsid w:val="00E41C30"/>
    <w:rsid w:val="00FB496A"/>
    <w:rsid w:val="00FD53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8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2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244"/>
    <w:rPr>
      <w:rFonts w:ascii="Tahoma" w:hAnsi="Tahoma" w:cs="Tahoma"/>
      <w:sz w:val="16"/>
      <w:szCs w:val="16"/>
    </w:rPr>
  </w:style>
  <w:style w:type="paragraph" w:styleId="ListParagraph">
    <w:name w:val="List Paragraph"/>
    <w:basedOn w:val="Normal"/>
    <w:uiPriority w:val="34"/>
    <w:qFormat/>
    <w:rsid w:val="00360D50"/>
    <w:pPr>
      <w:ind w:left="720"/>
      <w:contextualSpacing/>
    </w:pPr>
  </w:style>
  <w:style w:type="character" w:styleId="Hyperlink">
    <w:name w:val="Hyperlink"/>
    <w:basedOn w:val="DefaultParagraphFont"/>
    <w:uiPriority w:val="99"/>
    <w:unhideWhenUsed/>
    <w:rsid w:val="007A15D8"/>
    <w:rPr>
      <w:color w:val="0000FF" w:themeColor="hyperlink"/>
      <w:u w:val="single"/>
    </w:rPr>
  </w:style>
  <w:style w:type="paragraph" w:styleId="Header">
    <w:name w:val="header"/>
    <w:basedOn w:val="Normal"/>
    <w:link w:val="HeaderChar"/>
    <w:uiPriority w:val="99"/>
    <w:semiHidden/>
    <w:unhideWhenUsed/>
    <w:rsid w:val="008D0D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0DD7"/>
  </w:style>
  <w:style w:type="paragraph" w:styleId="Footer">
    <w:name w:val="footer"/>
    <w:basedOn w:val="Normal"/>
    <w:link w:val="FooterChar"/>
    <w:uiPriority w:val="99"/>
    <w:unhideWhenUsed/>
    <w:rsid w:val="008D0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5122</Words>
  <Characters>29202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dc:creator>
  <cp:keywords/>
  <dc:description/>
  <cp:lastModifiedBy>Babu</cp:lastModifiedBy>
  <cp:revision>7</cp:revision>
  <dcterms:created xsi:type="dcterms:W3CDTF">2009-01-01T16:58:00Z</dcterms:created>
  <dcterms:modified xsi:type="dcterms:W3CDTF">2009-01-02T04:21:00Z</dcterms:modified>
</cp:coreProperties>
</file>