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1384" w:rsidRPr="00D21384" w:rsidRDefault="00D21384" w:rsidP="00D21384">
      <w:pPr>
        <w:jc w:val="both"/>
        <w:rPr>
          <w:rFonts w:ascii="Times New Roman" w:eastAsia="Times New Roman" w:hAnsi="Times New Roman" w:cs="Times New Roman"/>
          <w:smallCaps/>
          <w:shadow/>
          <w:sz w:val="24"/>
          <w:szCs w:val="24"/>
        </w:rPr>
      </w:pPr>
    </w:p>
    <w:p w:rsidR="00D21384" w:rsidRPr="00D21384" w:rsidRDefault="00D21384" w:rsidP="00D21384">
      <w:pPr>
        <w:jc w:val="both"/>
        <w:rPr>
          <w:rFonts w:ascii="Times New Roman" w:eastAsia="Times New Roman" w:hAnsi="Times New Roman" w:cs="Times New Roman"/>
          <w:b/>
          <w:smallCaps/>
          <w:shadow/>
          <w:sz w:val="32"/>
          <w:szCs w:val="24"/>
        </w:rPr>
      </w:pPr>
      <w:r w:rsidRPr="00D21384">
        <w:rPr>
          <w:rFonts w:ascii="Times New Roman" w:eastAsia="Times New Roman" w:hAnsi="Times New Roman" w:cs="Times New Roman"/>
          <w:b/>
          <w:smallCaps/>
          <w:shadow/>
          <w:sz w:val="32"/>
          <w:szCs w:val="24"/>
        </w:rPr>
        <w:t>Name of Author</w:t>
      </w:r>
      <w:r w:rsidRPr="00D21384">
        <w:rPr>
          <w:rFonts w:ascii="Times New Roman" w:eastAsia="Times New Roman" w:hAnsi="Times New Roman" w:cs="Times New Roman"/>
          <w:b/>
          <w:smallCaps/>
          <w:shadow/>
          <w:sz w:val="32"/>
          <w:szCs w:val="24"/>
        </w:rPr>
        <w:tab/>
      </w:r>
      <w:r w:rsidRPr="00D21384">
        <w:rPr>
          <w:rFonts w:ascii="Times New Roman" w:eastAsia="Times New Roman" w:hAnsi="Times New Roman" w:cs="Times New Roman"/>
          <w:b/>
          <w:smallCaps/>
          <w:shadow/>
          <w:sz w:val="32"/>
          <w:szCs w:val="24"/>
        </w:rPr>
        <w:tab/>
        <w:t xml:space="preserve">: </w:t>
      </w:r>
      <w:r w:rsidRPr="00D21384">
        <w:rPr>
          <w:rFonts w:ascii="Times New Roman" w:eastAsia="Times New Roman" w:hAnsi="Times New Roman" w:cs="Times New Roman"/>
          <w:b/>
          <w:smallCaps/>
          <w:shadow/>
          <w:sz w:val="32"/>
          <w:szCs w:val="24"/>
        </w:rPr>
        <w:tab/>
      </w:r>
      <w:r w:rsidRPr="00D21384">
        <w:rPr>
          <w:rFonts w:ascii="Times New Roman" w:eastAsia="Times New Roman" w:hAnsi="Times New Roman" w:cs="Times New Roman"/>
          <w:b/>
          <w:smallCaps/>
          <w:shadow/>
          <w:sz w:val="32"/>
          <w:szCs w:val="24"/>
        </w:rPr>
        <w:tab/>
        <w:t>Jitendra Soni</w:t>
      </w:r>
    </w:p>
    <w:p w:rsidR="00D21384" w:rsidRPr="00D21384" w:rsidRDefault="00D21384" w:rsidP="00D21384">
      <w:pPr>
        <w:jc w:val="both"/>
        <w:rPr>
          <w:rFonts w:ascii="Times New Roman" w:eastAsia="Times New Roman" w:hAnsi="Times New Roman" w:cs="Times New Roman"/>
          <w:b/>
          <w:smallCaps/>
          <w:shadow/>
          <w:sz w:val="32"/>
          <w:szCs w:val="24"/>
        </w:rPr>
      </w:pPr>
    </w:p>
    <w:p w:rsidR="00D21384" w:rsidRPr="00D21384" w:rsidRDefault="00D21384" w:rsidP="00D21384">
      <w:pPr>
        <w:tabs>
          <w:tab w:val="left" w:pos="2880"/>
        </w:tabs>
        <w:ind w:left="5040" w:hanging="5040"/>
        <w:jc w:val="both"/>
        <w:rPr>
          <w:rFonts w:ascii="Times New Roman" w:eastAsia="Times New Roman" w:hAnsi="Times New Roman" w:cs="Times New Roman"/>
          <w:b/>
          <w:smallCaps/>
          <w:shadow/>
          <w:sz w:val="32"/>
          <w:szCs w:val="24"/>
        </w:rPr>
      </w:pPr>
      <w:r w:rsidRPr="00D21384">
        <w:rPr>
          <w:rFonts w:ascii="Times New Roman" w:eastAsia="Times New Roman" w:hAnsi="Times New Roman" w:cs="Times New Roman"/>
          <w:b/>
          <w:smallCaps/>
          <w:shadow/>
          <w:sz w:val="32"/>
          <w:szCs w:val="24"/>
        </w:rPr>
        <w:t>Author Address</w:t>
      </w:r>
      <w:r w:rsidRPr="00D21384">
        <w:rPr>
          <w:rFonts w:ascii="Times New Roman" w:eastAsia="Times New Roman" w:hAnsi="Times New Roman" w:cs="Times New Roman"/>
          <w:b/>
          <w:smallCaps/>
          <w:shadow/>
          <w:sz w:val="32"/>
          <w:szCs w:val="24"/>
        </w:rPr>
        <w:tab/>
        <w:t xml:space="preserve">           : </w:t>
      </w:r>
      <w:r w:rsidRPr="00D21384">
        <w:rPr>
          <w:rFonts w:ascii="Times New Roman" w:eastAsia="Times New Roman" w:hAnsi="Times New Roman" w:cs="Times New Roman"/>
          <w:b/>
          <w:smallCaps/>
          <w:shadow/>
          <w:sz w:val="32"/>
          <w:szCs w:val="24"/>
        </w:rPr>
        <w:tab/>
        <w:t>Room No. 2B-80, KSRM Boys Hostel, Krishna Campus, Campus – 7, KIIT University, Bhubaneswar – 24 (Orissa) India</w:t>
      </w:r>
    </w:p>
    <w:p w:rsidR="00D21384" w:rsidRPr="00D21384" w:rsidRDefault="00D21384" w:rsidP="00D21384">
      <w:pPr>
        <w:jc w:val="both"/>
        <w:rPr>
          <w:rFonts w:ascii="Times New Roman" w:eastAsia="Times New Roman" w:hAnsi="Times New Roman" w:cs="Times New Roman"/>
          <w:b/>
          <w:smallCaps/>
          <w:shadow/>
          <w:sz w:val="32"/>
          <w:szCs w:val="24"/>
        </w:rPr>
      </w:pPr>
    </w:p>
    <w:p w:rsidR="00D21384" w:rsidRPr="00D21384" w:rsidRDefault="00D21384" w:rsidP="00D21384">
      <w:pPr>
        <w:jc w:val="both"/>
        <w:rPr>
          <w:rFonts w:ascii="Times New Roman" w:eastAsia="Times New Roman" w:hAnsi="Times New Roman" w:cs="Times New Roman"/>
          <w:b/>
          <w:smallCaps/>
          <w:shadow/>
          <w:sz w:val="32"/>
          <w:szCs w:val="24"/>
        </w:rPr>
      </w:pPr>
      <w:r w:rsidRPr="00D21384">
        <w:rPr>
          <w:rFonts w:ascii="Times New Roman" w:eastAsia="Times New Roman" w:hAnsi="Times New Roman" w:cs="Times New Roman"/>
          <w:b/>
          <w:smallCaps/>
          <w:shadow/>
          <w:sz w:val="32"/>
          <w:szCs w:val="24"/>
        </w:rPr>
        <w:t>Author  Phone No.</w:t>
      </w:r>
      <w:r w:rsidRPr="00D21384">
        <w:rPr>
          <w:rFonts w:ascii="Times New Roman" w:eastAsia="Times New Roman" w:hAnsi="Times New Roman" w:cs="Times New Roman"/>
          <w:b/>
          <w:smallCaps/>
          <w:shadow/>
          <w:sz w:val="32"/>
          <w:szCs w:val="24"/>
        </w:rPr>
        <w:tab/>
        <w:t xml:space="preserve">           :</w:t>
      </w:r>
      <w:r w:rsidRPr="00D21384">
        <w:rPr>
          <w:rFonts w:ascii="Times New Roman" w:eastAsia="Times New Roman" w:hAnsi="Times New Roman" w:cs="Times New Roman"/>
          <w:b/>
          <w:smallCaps/>
          <w:shadow/>
          <w:sz w:val="32"/>
          <w:szCs w:val="24"/>
        </w:rPr>
        <w:tab/>
      </w:r>
      <w:r w:rsidRPr="00D21384">
        <w:rPr>
          <w:rFonts w:ascii="Times New Roman" w:eastAsia="Times New Roman" w:hAnsi="Times New Roman" w:cs="Times New Roman"/>
          <w:b/>
          <w:smallCaps/>
          <w:shadow/>
          <w:sz w:val="32"/>
          <w:szCs w:val="24"/>
        </w:rPr>
        <w:tab/>
      </w:r>
      <w:r>
        <w:rPr>
          <w:rFonts w:ascii="Times New Roman" w:eastAsia="Times New Roman" w:hAnsi="Times New Roman" w:cs="Times New Roman"/>
          <w:b/>
          <w:smallCaps/>
          <w:shadow/>
          <w:sz w:val="32"/>
          <w:szCs w:val="24"/>
        </w:rPr>
        <w:t>+91-9777590302</w:t>
      </w:r>
    </w:p>
    <w:p w:rsidR="00D21384" w:rsidRPr="00D21384" w:rsidRDefault="00D21384" w:rsidP="00D21384">
      <w:pPr>
        <w:jc w:val="both"/>
        <w:rPr>
          <w:rFonts w:ascii="Times New Roman" w:eastAsia="Times New Roman" w:hAnsi="Times New Roman" w:cs="Times New Roman"/>
          <w:b/>
          <w:smallCaps/>
          <w:shadow/>
          <w:sz w:val="32"/>
          <w:szCs w:val="24"/>
        </w:rPr>
      </w:pPr>
    </w:p>
    <w:p w:rsidR="00D21384" w:rsidRPr="00D21384" w:rsidRDefault="00D21384" w:rsidP="00D21384">
      <w:pPr>
        <w:ind w:left="5040" w:hanging="5040"/>
        <w:rPr>
          <w:rFonts w:ascii="Times New Roman" w:eastAsia="Times New Roman" w:hAnsi="Times New Roman" w:cs="Times New Roman"/>
          <w:b/>
          <w:smallCaps/>
          <w:shadow/>
          <w:sz w:val="32"/>
          <w:szCs w:val="24"/>
        </w:rPr>
      </w:pPr>
      <w:r w:rsidRPr="00D21384">
        <w:rPr>
          <w:rFonts w:ascii="Times New Roman" w:eastAsia="Times New Roman" w:hAnsi="Times New Roman" w:cs="Times New Roman"/>
          <w:b/>
          <w:bCs/>
          <w:smallCaps/>
          <w:shadow/>
          <w:sz w:val="34"/>
          <w:szCs w:val="24"/>
        </w:rPr>
        <w:t>About the Author         :</w:t>
      </w:r>
      <w:r w:rsidRPr="00D21384">
        <w:rPr>
          <w:rFonts w:ascii="Times New Roman" w:eastAsia="Times New Roman" w:hAnsi="Times New Roman" w:cs="Times New Roman"/>
          <w:b/>
          <w:bCs/>
          <w:smallCaps/>
          <w:shadow/>
          <w:sz w:val="34"/>
          <w:szCs w:val="24"/>
        </w:rPr>
        <w:tab/>
        <w:t>I am the student of b.b.a.ll.b. 2</w:t>
      </w:r>
      <w:r w:rsidRPr="00D21384">
        <w:rPr>
          <w:rFonts w:ascii="Times New Roman" w:eastAsia="Times New Roman" w:hAnsi="Times New Roman" w:cs="Times New Roman"/>
          <w:b/>
          <w:bCs/>
          <w:smallCaps/>
          <w:shadow/>
          <w:sz w:val="34"/>
          <w:szCs w:val="24"/>
          <w:vertAlign w:val="superscript"/>
        </w:rPr>
        <w:t>nd</w:t>
      </w:r>
      <w:r w:rsidRPr="00D21384">
        <w:rPr>
          <w:rFonts w:ascii="Times New Roman" w:eastAsia="Times New Roman" w:hAnsi="Times New Roman" w:cs="Times New Roman"/>
          <w:b/>
          <w:bCs/>
          <w:smallCaps/>
          <w:shadow/>
          <w:sz w:val="34"/>
          <w:szCs w:val="24"/>
        </w:rPr>
        <w:t xml:space="preserve"> year of Kiit Law School, Bhubaneswar (Orissa) </w:t>
      </w:r>
      <w:r w:rsidRPr="00D21384">
        <w:rPr>
          <w:rFonts w:ascii="Times New Roman" w:eastAsia="Times New Roman" w:hAnsi="Times New Roman" w:cs="Times New Roman"/>
          <w:b/>
          <w:bCs/>
          <w:smallCaps/>
          <w:shadow/>
          <w:sz w:val="32"/>
          <w:szCs w:val="24"/>
        </w:rPr>
        <w:br/>
      </w:r>
    </w:p>
    <w:p w:rsidR="00D21384" w:rsidRPr="00D21384" w:rsidRDefault="00D21384" w:rsidP="00D21384">
      <w:pPr>
        <w:jc w:val="both"/>
        <w:rPr>
          <w:rFonts w:ascii="Times New Roman" w:eastAsia="Times New Roman" w:hAnsi="Times New Roman" w:cs="Times New Roman"/>
          <w:b/>
          <w:smallCaps/>
          <w:shadow/>
          <w:sz w:val="32"/>
          <w:szCs w:val="24"/>
        </w:rPr>
      </w:pPr>
    </w:p>
    <w:p w:rsidR="00D21384" w:rsidRPr="00D21384" w:rsidRDefault="00D21384" w:rsidP="00D21384">
      <w:pPr>
        <w:tabs>
          <w:tab w:val="left" w:pos="2880"/>
        </w:tabs>
        <w:ind w:left="5040" w:hanging="5040"/>
        <w:jc w:val="both"/>
        <w:rPr>
          <w:rFonts w:ascii="Times New Roman" w:eastAsia="Times New Roman" w:hAnsi="Times New Roman" w:cs="Times New Roman"/>
          <w:b/>
          <w:smallCaps/>
          <w:shadow/>
          <w:sz w:val="32"/>
          <w:szCs w:val="24"/>
        </w:rPr>
      </w:pPr>
      <w:r w:rsidRPr="00D21384">
        <w:rPr>
          <w:rFonts w:ascii="Times New Roman" w:eastAsia="Times New Roman" w:hAnsi="Times New Roman" w:cs="Times New Roman"/>
          <w:b/>
          <w:smallCaps/>
          <w:shadow/>
          <w:sz w:val="32"/>
          <w:szCs w:val="24"/>
        </w:rPr>
        <w:t>Article Title                     :</w:t>
      </w:r>
      <w:r w:rsidRPr="00D21384">
        <w:rPr>
          <w:rFonts w:ascii="Times New Roman" w:eastAsia="Times New Roman" w:hAnsi="Times New Roman" w:cs="Times New Roman"/>
          <w:b/>
          <w:smallCaps/>
          <w:shadow/>
          <w:sz w:val="32"/>
          <w:szCs w:val="24"/>
        </w:rPr>
        <w:tab/>
      </w:r>
      <w:r>
        <w:rPr>
          <w:rFonts w:ascii="Times New Roman" w:eastAsia="Times New Roman" w:hAnsi="Times New Roman" w:cs="Times New Roman"/>
          <w:b/>
          <w:smallCaps/>
          <w:shadow/>
          <w:sz w:val="32"/>
          <w:szCs w:val="24"/>
        </w:rPr>
        <w:t>Public Policy in Contract Law: Is it an Unruly Horse?</w:t>
      </w:r>
      <w:r w:rsidRPr="00D21384">
        <w:rPr>
          <w:rFonts w:ascii="Times New Roman" w:eastAsia="Times New Roman" w:hAnsi="Times New Roman" w:cs="Times New Roman"/>
          <w:b/>
          <w:smallCaps/>
          <w:shadow/>
          <w:sz w:val="32"/>
          <w:szCs w:val="24"/>
        </w:rPr>
        <w:tab/>
        <w:t xml:space="preserve"> </w:t>
      </w:r>
    </w:p>
    <w:p w:rsidR="00D21384" w:rsidRDefault="00D21384" w:rsidP="00BB0974">
      <w:pPr>
        <w:spacing w:line="360" w:lineRule="auto"/>
        <w:jc w:val="both"/>
        <w:rPr>
          <w:rFonts w:ascii="Times New Roman" w:hAnsi="Times New Roman" w:cs="Times New Roman"/>
          <w:b/>
          <w:sz w:val="24"/>
          <w:u w:val="single"/>
        </w:rPr>
      </w:pPr>
    </w:p>
    <w:p w:rsidR="00D21384" w:rsidRDefault="00D21384" w:rsidP="00BB0974">
      <w:pPr>
        <w:spacing w:line="360" w:lineRule="auto"/>
        <w:jc w:val="both"/>
        <w:rPr>
          <w:rFonts w:ascii="Times New Roman" w:hAnsi="Times New Roman" w:cs="Times New Roman"/>
          <w:b/>
          <w:sz w:val="24"/>
          <w:u w:val="single"/>
        </w:rPr>
      </w:pPr>
    </w:p>
    <w:p w:rsidR="00D21384" w:rsidRDefault="00D21384" w:rsidP="00BB0974">
      <w:pPr>
        <w:spacing w:line="360" w:lineRule="auto"/>
        <w:jc w:val="both"/>
        <w:rPr>
          <w:rFonts w:ascii="Times New Roman" w:hAnsi="Times New Roman" w:cs="Times New Roman"/>
          <w:b/>
          <w:sz w:val="24"/>
          <w:u w:val="single"/>
        </w:rPr>
      </w:pPr>
    </w:p>
    <w:p w:rsidR="00D21384" w:rsidRDefault="00D21384" w:rsidP="00BB0974">
      <w:pPr>
        <w:spacing w:line="360" w:lineRule="auto"/>
        <w:jc w:val="both"/>
        <w:rPr>
          <w:rFonts w:ascii="Times New Roman" w:hAnsi="Times New Roman" w:cs="Times New Roman"/>
          <w:b/>
          <w:sz w:val="24"/>
          <w:u w:val="single"/>
        </w:rPr>
      </w:pPr>
    </w:p>
    <w:p w:rsidR="00D21384" w:rsidRDefault="00D21384" w:rsidP="00BB0974">
      <w:pPr>
        <w:spacing w:line="360" w:lineRule="auto"/>
        <w:jc w:val="both"/>
        <w:rPr>
          <w:rFonts w:ascii="Times New Roman" w:hAnsi="Times New Roman" w:cs="Times New Roman"/>
          <w:b/>
          <w:sz w:val="24"/>
          <w:u w:val="single"/>
        </w:rPr>
      </w:pPr>
    </w:p>
    <w:p w:rsidR="00323710" w:rsidRPr="00323710" w:rsidRDefault="00323710" w:rsidP="00BB0974">
      <w:pPr>
        <w:spacing w:line="360" w:lineRule="auto"/>
        <w:jc w:val="both"/>
        <w:rPr>
          <w:rFonts w:ascii="Times New Roman" w:hAnsi="Times New Roman" w:cs="Times New Roman"/>
          <w:b/>
          <w:sz w:val="24"/>
          <w:u w:val="single"/>
        </w:rPr>
      </w:pPr>
      <w:r>
        <w:rPr>
          <w:rFonts w:ascii="Times New Roman" w:hAnsi="Times New Roman" w:cs="Times New Roman"/>
          <w:b/>
          <w:sz w:val="24"/>
          <w:u w:val="single"/>
        </w:rPr>
        <w:lastRenderedPageBreak/>
        <w:t>ABSTRACT</w:t>
      </w:r>
    </w:p>
    <w:p w:rsidR="00304A7F" w:rsidRPr="00323710" w:rsidRDefault="00BB0974" w:rsidP="00BB0974">
      <w:pPr>
        <w:spacing w:line="360" w:lineRule="auto"/>
        <w:jc w:val="both"/>
        <w:rPr>
          <w:rFonts w:ascii="Times New Roman" w:hAnsi="Times New Roman" w:cs="Times New Roman"/>
          <w:i/>
          <w:sz w:val="24"/>
        </w:rPr>
      </w:pPr>
      <w:r w:rsidRPr="00323710">
        <w:rPr>
          <w:rFonts w:ascii="Times New Roman" w:hAnsi="Times New Roman" w:cs="Times New Roman"/>
          <w:i/>
          <w:sz w:val="24"/>
        </w:rPr>
        <w:t>Public policy in the realm of Indian Contract law has always been a vague term. A variety of opinion has been expressed</w:t>
      </w:r>
      <w:r w:rsidR="00C125AC" w:rsidRPr="00323710">
        <w:rPr>
          <w:rFonts w:ascii="Times New Roman" w:hAnsi="Times New Roman" w:cs="Times New Roman"/>
          <w:i/>
          <w:sz w:val="24"/>
        </w:rPr>
        <w:t xml:space="preserve"> from time to time</w:t>
      </w:r>
      <w:r w:rsidRPr="00323710">
        <w:rPr>
          <w:rFonts w:ascii="Times New Roman" w:hAnsi="Times New Roman" w:cs="Times New Roman"/>
          <w:i/>
          <w:sz w:val="24"/>
        </w:rPr>
        <w:t xml:space="preserve">. </w:t>
      </w:r>
      <w:r w:rsidR="00C125AC" w:rsidRPr="00323710">
        <w:rPr>
          <w:rFonts w:ascii="Times New Roman" w:hAnsi="Times New Roman" w:cs="Times New Roman"/>
          <w:i/>
          <w:sz w:val="24"/>
        </w:rPr>
        <w:t xml:space="preserve">Each opinion has given a different </w:t>
      </w:r>
      <w:r w:rsidR="00B1732A" w:rsidRPr="00323710">
        <w:rPr>
          <w:rFonts w:ascii="Times New Roman" w:hAnsi="Times New Roman" w:cs="Times New Roman"/>
          <w:i/>
          <w:sz w:val="24"/>
        </w:rPr>
        <w:t xml:space="preserve">direction to the notion of public policy. </w:t>
      </w:r>
      <w:r w:rsidRPr="00323710">
        <w:rPr>
          <w:rFonts w:ascii="Times New Roman" w:hAnsi="Times New Roman" w:cs="Times New Roman"/>
          <w:i/>
          <w:sz w:val="24"/>
        </w:rPr>
        <w:t xml:space="preserve">Some have said it to be </w:t>
      </w:r>
      <w:r w:rsidR="00B1732A" w:rsidRPr="00323710">
        <w:rPr>
          <w:rFonts w:ascii="Times New Roman" w:hAnsi="Times New Roman" w:cs="Times New Roman"/>
          <w:i/>
          <w:sz w:val="24"/>
        </w:rPr>
        <w:t xml:space="preserve">an </w:t>
      </w:r>
      <w:r w:rsidRPr="00323710">
        <w:rPr>
          <w:rFonts w:ascii="Times New Roman" w:hAnsi="Times New Roman" w:cs="Times New Roman"/>
          <w:i/>
          <w:sz w:val="24"/>
        </w:rPr>
        <w:t>unruly horse, while some regard it to be an illusive concept. The concept of Public policy in India has</w:t>
      </w:r>
      <w:r w:rsidR="00B1732A" w:rsidRPr="00323710">
        <w:rPr>
          <w:rFonts w:ascii="Times New Roman" w:hAnsi="Times New Roman" w:cs="Times New Roman"/>
          <w:i/>
          <w:sz w:val="24"/>
        </w:rPr>
        <w:t xml:space="preserve"> always been under the grey cloud</w:t>
      </w:r>
      <w:r w:rsidRPr="00323710">
        <w:rPr>
          <w:rFonts w:ascii="Times New Roman" w:hAnsi="Times New Roman" w:cs="Times New Roman"/>
          <w:i/>
          <w:sz w:val="24"/>
        </w:rPr>
        <w:t xml:space="preserve">. This paper attempts to give the reader the basic idea and current stance of law on the public policy. Is it really an unruly horse or this horse can be controlled? </w:t>
      </w:r>
    </w:p>
    <w:p w:rsidR="00082142" w:rsidRPr="005D6206" w:rsidRDefault="00082142" w:rsidP="005D6206">
      <w:pPr>
        <w:rPr>
          <w:rFonts w:ascii="Times New Roman" w:hAnsi="Times New Roman" w:cs="Times New Roman"/>
          <w:b/>
          <w:sz w:val="24"/>
          <w:u w:val="single"/>
        </w:rPr>
      </w:pPr>
      <w:r w:rsidRPr="005D6206">
        <w:rPr>
          <w:rFonts w:ascii="Times New Roman" w:hAnsi="Times New Roman" w:cs="Times New Roman"/>
          <w:b/>
          <w:sz w:val="24"/>
          <w:u w:val="single"/>
        </w:rPr>
        <w:t>INTRODUCTION</w:t>
      </w:r>
    </w:p>
    <w:p w:rsidR="00082142" w:rsidRPr="005D6206" w:rsidRDefault="00082142" w:rsidP="005D6206">
      <w:pPr>
        <w:spacing w:line="360" w:lineRule="auto"/>
        <w:jc w:val="both"/>
        <w:rPr>
          <w:rFonts w:ascii="Times New Roman" w:hAnsi="Times New Roman" w:cs="Times New Roman"/>
          <w:sz w:val="24"/>
          <w:szCs w:val="24"/>
          <w:lang w:val="en-US"/>
        </w:rPr>
      </w:pPr>
      <w:r w:rsidRPr="005D6206">
        <w:rPr>
          <w:rFonts w:ascii="Times New Roman" w:hAnsi="Times New Roman" w:cs="Times New Roman"/>
          <w:bCs/>
          <w:sz w:val="24"/>
          <w:szCs w:val="24"/>
          <w:lang w:val="en-US"/>
        </w:rPr>
        <w:t>Public policy</w:t>
      </w:r>
      <w:r w:rsidRPr="005D6206">
        <w:rPr>
          <w:rFonts w:ascii="Times New Roman" w:hAnsi="Times New Roman" w:cs="Times New Roman"/>
          <w:sz w:val="24"/>
          <w:szCs w:val="24"/>
          <w:lang w:val="en-US"/>
        </w:rPr>
        <w:t xml:space="preserve"> or </w:t>
      </w:r>
      <w:r w:rsidRPr="005D6206">
        <w:rPr>
          <w:rFonts w:ascii="Times New Roman" w:hAnsi="Times New Roman" w:cs="Times New Roman"/>
          <w:i/>
          <w:iCs/>
          <w:sz w:val="24"/>
          <w:szCs w:val="24"/>
          <w:lang w:val="en-US"/>
        </w:rPr>
        <w:t>ordre public</w:t>
      </w:r>
      <w:r w:rsidRPr="005D6206">
        <w:rPr>
          <w:rFonts w:ascii="Times New Roman" w:hAnsi="Times New Roman" w:cs="Times New Roman"/>
          <w:sz w:val="24"/>
          <w:szCs w:val="24"/>
          <w:lang w:val="en-US"/>
        </w:rPr>
        <w:t xml:space="preserve"> (the French term) is the body of fundamental principles that underpin the operation of legal systems in each state. This addresses the social, moral and economic values that tie a society together: values that vary in different cultures and change over time. Public policy, a term in Contract is itself a debatable topic and has been a matter of debate from past 180 years. This project will deal with how the concept of public policy should not be indulged with the laws else it will lead us away from the sound law. </w:t>
      </w:r>
      <w:r w:rsidRPr="005D6206">
        <w:rPr>
          <w:rFonts w:ascii="Times New Roman" w:hAnsi="Times New Roman" w:cs="Times New Roman"/>
          <w:i/>
          <w:sz w:val="24"/>
          <w:szCs w:val="24"/>
          <w:lang w:val="en-US"/>
        </w:rPr>
        <w:t>A contract may be opposed to public policy either from the nature of the acts to be performed or from the nature of the consideration.</w:t>
      </w:r>
      <w:r w:rsidRPr="005D6206">
        <w:rPr>
          <w:rStyle w:val="FootnoteReference"/>
          <w:rFonts w:ascii="Times New Roman" w:hAnsi="Times New Roman" w:cs="Times New Roman"/>
          <w:i/>
          <w:sz w:val="24"/>
          <w:szCs w:val="24"/>
          <w:lang w:val="en-US"/>
        </w:rPr>
        <w:footnoteReference w:id="2"/>
      </w:r>
    </w:p>
    <w:p w:rsidR="00082142" w:rsidRPr="005D6206" w:rsidRDefault="00082142" w:rsidP="005D6206">
      <w:pPr>
        <w:spacing w:line="360" w:lineRule="auto"/>
        <w:jc w:val="both"/>
        <w:rPr>
          <w:rFonts w:ascii="Times New Roman" w:hAnsi="Times New Roman" w:cs="Times New Roman"/>
          <w:sz w:val="24"/>
          <w:szCs w:val="24"/>
        </w:rPr>
      </w:pPr>
      <w:r w:rsidRPr="005D6206">
        <w:rPr>
          <w:rFonts w:ascii="Times New Roman" w:hAnsi="Times New Roman" w:cs="Times New Roman"/>
          <w:sz w:val="24"/>
          <w:szCs w:val="24"/>
          <w:lang w:val="en-US"/>
        </w:rPr>
        <w:t xml:space="preserve">Broadly, public policy is the principles and standards regarded by the legislature or by the courts as being of fundamental concern to the state and the whole of society. Courts sometimes use the term to justify their decision as when declaring a contract void because it is contrary to public policy- also termed as </w:t>
      </w:r>
      <w:r w:rsidRPr="005D6206">
        <w:rPr>
          <w:rFonts w:ascii="Times New Roman" w:hAnsi="Times New Roman" w:cs="Times New Roman"/>
          <w:i/>
          <w:sz w:val="24"/>
          <w:szCs w:val="24"/>
          <w:lang w:val="en-US"/>
        </w:rPr>
        <w:t>Policy of Law.</w:t>
      </w:r>
      <w:r w:rsidRPr="005D6206">
        <w:rPr>
          <w:rStyle w:val="FootnoteReference"/>
          <w:rFonts w:ascii="Times New Roman" w:hAnsi="Times New Roman" w:cs="Times New Roman"/>
          <w:i/>
          <w:sz w:val="24"/>
          <w:szCs w:val="24"/>
          <w:lang w:val="en-US"/>
        </w:rPr>
        <w:footnoteReference w:id="3"/>
      </w:r>
      <w:r w:rsidRPr="005D6206">
        <w:rPr>
          <w:rFonts w:ascii="Times New Roman" w:hAnsi="Times New Roman" w:cs="Times New Roman"/>
          <w:sz w:val="24"/>
          <w:szCs w:val="24"/>
        </w:rPr>
        <w:t xml:space="preserve"> </w:t>
      </w:r>
      <w:r w:rsidRPr="005D6206">
        <w:rPr>
          <w:rFonts w:ascii="Times New Roman" w:hAnsi="Times New Roman" w:cs="Times New Roman"/>
          <w:sz w:val="24"/>
          <w:szCs w:val="24"/>
          <w:lang w:val="en-US"/>
        </w:rPr>
        <w:t>The main problem in relevance to the public policy is as follows: -</w:t>
      </w:r>
    </w:p>
    <w:p w:rsidR="00082142" w:rsidRPr="005D6206" w:rsidRDefault="00082142" w:rsidP="005D6206">
      <w:pPr>
        <w:numPr>
          <w:ilvl w:val="0"/>
          <w:numId w:val="1"/>
        </w:numPr>
        <w:spacing w:line="360" w:lineRule="auto"/>
        <w:jc w:val="both"/>
        <w:rPr>
          <w:rFonts w:ascii="Times New Roman" w:hAnsi="Times New Roman" w:cs="Times New Roman"/>
          <w:sz w:val="24"/>
          <w:szCs w:val="24"/>
        </w:rPr>
      </w:pPr>
      <w:r w:rsidRPr="005D6206">
        <w:rPr>
          <w:rFonts w:ascii="Times New Roman" w:hAnsi="Times New Roman" w:cs="Times New Roman"/>
          <w:sz w:val="24"/>
          <w:szCs w:val="24"/>
          <w:lang w:val="en-US"/>
        </w:rPr>
        <w:t>Concept of public policy is not defined under Indian Contract Act. From time to time and case to case, judges have given different opinion regarding this concept. So this concept is full of ambiguity and uncertainty and its meaning will vary from time to time, country to country and case to case.</w:t>
      </w:r>
    </w:p>
    <w:p w:rsidR="00082142" w:rsidRPr="005D6206" w:rsidRDefault="00082142" w:rsidP="005D6206">
      <w:pPr>
        <w:numPr>
          <w:ilvl w:val="0"/>
          <w:numId w:val="1"/>
        </w:numPr>
        <w:spacing w:line="360" w:lineRule="auto"/>
        <w:jc w:val="both"/>
        <w:rPr>
          <w:rFonts w:ascii="Times New Roman" w:hAnsi="Times New Roman" w:cs="Times New Roman"/>
          <w:sz w:val="24"/>
          <w:szCs w:val="24"/>
        </w:rPr>
      </w:pPr>
      <w:r w:rsidRPr="005D6206">
        <w:rPr>
          <w:rFonts w:ascii="Times New Roman" w:hAnsi="Times New Roman" w:cs="Times New Roman"/>
          <w:sz w:val="24"/>
          <w:szCs w:val="24"/>
          <w:lang w:val="en-US"/>
        </w:rPr>
        <w:lastRenderedPageBreak/>
        <w:t xml:space="preserve">Laws’ relating to public policy does not remain unchangeable. It keeps on changing with time. Laws relating to public policy are uncertain and if applied to legal debates would lead to confusion </w:t>
      </w:r>
    </w:p>
    <w:p w:rsidR="00082142" w:rsidRPr="005D6206" w:rsidRDefault="005D6206" w:rsidP="005D6206">
      <w:pPr>
        <w:spacing w:line="360" w:lineRule="auto"/>
        <w:jc w:val="both"/>
        <w:rPr>
          <w:rFonts w:ascii="Times New Roman" w:hAnsi="Times New Roman" w:cs="Times New Roman"/>
          <w:sz w:val="24"/>
          <w:szCs w:val="24"/>
        </w:rPr>
      </w:pPr>
      <w:r w:rsidRPr="005D6206">
        <w:rPr>
          <w:rFonts w:ascii="Times New Roman" w:hAnsi="Times New Roman" w:cs="Times New Roman"/>
          <w:b/>
          <w:sz w:val="24"/>
          <w:szCs w:val="24"/>
          <w:u w:val="single"/>
        </w:rPr>
        <w:t>WHAT IS PUBLIC POLICY?</w:t>
      </w:r>
    </w:p>
    <w:p w:rsidR="00082142" w:rsidRPr="005D6206" w:rsidRDefault="00082142" w:rsidP="005D6206">
      <w:pPr>
        <w:spacing w:after="0" w:line="360" w:lineRule="auto"/>
        <w:jc w:val="both"/>
        <w:rPr>
          <w:rFonts w:ascii="Times New Roman" w:hAnsi="Times New Roman" w:cs="Times New Roman"/>
          <w:sz w:val="24"/>
          <w:szCs w:val="24"/>
        </w:rPr>
      </w:pPr>
      <w:r w:rsidRPr="005D6206">
        <w:rPr>
          <w:rFonts w:ascii="Times New Roman" w:hAnsi="Times New Roman" w:cs="Times New Roman"/>
          <w:sz w:val="24"/>
          <w:szCs w:val="24"/>
        </w:rPr>
        <w:t>An agreement is unlawful if the court regards it as opposed to public policy. The term “public policy” in its broadest sense means that sometimes the court will, on consideration of public interest, refuse to enforce a contract.</w:t>
      </w:r>
      <w:r w:rsidRPr="005D6206">
        <w:rPr>
          <w:rStyle w:val="FootnoteReference"/>
          <w:rFonts w:ascii="Times New Roman" w:hAnsi="Times New Roman" w:cs="Times New Roman"/>
          <w:sz w:val="24"/>
          <w:szCs w:val="24"/>
        </w:rPr>
        <w:footnoteReference w:id="4"/>
      </w:r>
      <w:r w:rsidRPr="005D6206">
        <w:rPr>
          <w:rFonts w:ascii="Times New Roman" w:hAnsi="Times New Roman" w:cs="Times New Roman"/>
          <w:sz w:val="24"/>
          <w:szCs w:val="24"/>
        </w:rPr>
        <w:t xml:space="preserve"> Public policy does not ambit of definition and is not easily explained. It is a variable quantity and must vary with the habits, capacitities, opportunities and economic conditions.</w:t>
      </w:r>
      <w:r w:rsidRPr="005D6206">
        <w:rPr>
          <w:rStyle w:val="FootnoteReference"/>
          <w:rFonts w:ascii="Times New Roman" w:hAnsi="Times New Roman" w:cs="Times New Roman"/>
          <w:sz w:val="24"/>
          <w:szCs w:val="24"/>
        </w:rPr>
        <w:footnoteReference w:id="5"/>
      </w:r>
      <w:r w:rsidRPr="005D6206">
        <w:rPr>
          <w:rFonts w:ascii="Times New Roman" w:hAnsi="Times New Roman" w:cs="Times New Roman"/>
          <w:sz w:val="24"/>
          <w:szCs w:val="24"/>
        </w:rPr>
        <w:t xml:space="preserve"> Public policy has been defined or interpretated by several judges and scholars in different ways. Some of the thoughts regarding the concept of public policy are as under: -</w:t>
      </w:r>
    </w:p>
    <w:p w:rsidR="00082142" w:rsidRPr="005D6206" w:rsidRDefault="00082142" w:rsidP="005D6206">
      <w:pPr>
        <w:pStyle w:val="ListParagraph"/>
        <w:numPr>
          <w:ilvl w:val="0"/>
          <w:numId w:val="2"/>
        </w:numPr>
        <w:spacing w:after="0" w:line="360" w:lineRule="auto"/>
        <w:ind w:left="851"/>
        <w:jc w:val="both"/>
        <w:rPr>
          <w:rFonts w:ascii="Times New Roman" w:hAnsi="Times New Roman" w:cs="Times New Roman"/>
          <w:sz w:val="24"/>
          <w:szCs w:val="24"/>
        </w:rPr>
      </w:pPr>
      <w:r w:rsidRPr="005D6206">
        <w:rPr>
          <w:rFonts w:ascii="Times New Roman" w:hAnsi="Times New Roman" w:cs="Times New Roman"/>
          <w:sz w:val="24"/>
          <w:szCs w:val="24"/>
        </w:rPr>
        <w:t>According to LORD DAVEY,</w:t>
      </w:r>
    </w:p>
    <w:p w:rsidR="00082142" w:rsidRPr="005D6206" w:rsidRDefault="00082142" w:rsidP="005D6206">
      <w:pPr>
        <w:pStyle w:val="ListParagraph"/>
        <w:spacing w:after="0" w:line="360" w:lineRule="auto"/>
        <w:ind w:left="1440"/>
        <w:jc w:val="both"/>
        <w:rPr>
          <w:rFonts w:ascii="Times New Roman" w:hAnsi="Times New Roman" w:cs="Times New Roman"/>
          <w:i/>
          <w:sz w:val="24"/>
          <w:szCs w:val="24"/>
        </w:rPr>
      </w:pPr>
      <w:r w:rsidRPr="005D6206">
        <w:rPr>
          <w:rFonts w:ascii="Times New Roman" w:hAnsi="Times New Roman" w:cs="Times New Roman"/>
          <w:sz w:val="24"/>
          <w:szCs w:val="24"/>
        </w:rPr>
        <w:t>“</w:t>
      </w:r>
      <w:r w:rsidRPr="005D6206">
        <w:rPr>
          <w:rFonts w:ascii="Times New Roman" w:hAnsi="Times New Roman" w:cs="Times New Roman"/>
          <w:i/>
          <w:sz w:val="24"/>
          <w:szCs w:val="24"/>
        </w:rPr>
        <w:t>Public Policy is always an unsafe and treacherous ground for legal decisions.</w:t>
      </w:r>
      <w:r w:rsidRPr="005D6206">
        <w:rPr>
          <w:rStyle w:val="FootnoteReference"/>
          <w:rFonts w:ascii="Times New Roman" w:hAnsi="Times New Roman" w:cs="Times New Roman"/>
          <w:i/>
          <w:sz w:val="24"/>
          <w:szCs w:val="24"/>
        </w:rPr>
        <w:footnoteReference w:id="6"/>
      </w:r>
      <w:r w:rsidRPr="005D6206">
        <w:rPr>
          <w:rFonts w:ascii="Times New Roman" w:hAnsi="Times New Roman" w:cs="Times New Roman"/>
          <w:i/>
          <w:sz w:val="24"/>
          <w:szCs w:val="24"/>
        </w:rPr>
        <w:t>”</w:t>
      </w:r>
    </w:p>
    <w:p w:rsidR="00082142" w:rsidRPr="005D6206" w:rsidRDefault="00082142" w:rsidP="005D6206">
      <w:pPr>
        <w:pStyle w:val="ListParagraph"/>
        <w:spacing w:after="0" w:line="360" w:lineRule="auto"/>
        <w:ind w:left="1440"/>
        <w:jc w:val="both"/>
        <w:rPr>
          <w:rFonts w:ascii="Times New Roman" w:hAnsi="Times New Roman" w:cs="Times New Roman"/>
          <w:i/>
          <w:sz w:val="24"/>
          <w:szCs w:val="24"/>
        </w:rPr>
      </w:pPr>
    </w:p>
    <w:p w:rsidR="00082142" w:rsidRPr="005D6206" w:rsidRDefault="00082142" w:rsidP="005D6206">
      <w:pPr>
        <w:pStyle w:val="ListParagraph"/>
        <w:numPr>
          <w:ilvl w:val="0"/>
          <w:numId w:val="2"/>
        </w:numPr>
        <w:spacing w:after="0" w:line="360" w:lineRule="auto"/>
        <w:ind w:left="851"/>
        <w:jc w:val="both"/>
        <w:rPr>
          <w:rFonts w:ascii="Times New Roman" w:hAnsi="Times New Roman" w:cs="Times New Roman"/>
          <w:sz w:val="24"/>
          <w:szCs w:val="24"/>
        </w:rPr>
      </w:pPr>
      <w:r w:rsidRPr="005D6206">
        <w:rPr>
          <w:rFonts w:ascii="Times New Roman" w:hAnsi="Times New Roman" w:cs="Times New Roman"/>
          <w:sz w:val="24"/>
          <w:szCs w:val="24"/>
        </w:rPr>
        <w:t>According to BURROUGH J.,</w:t>
      </w:r>
    </w:p>
    <w:p w:rsidR="00082142" w:rsidRPr="005D6206" w:rsidRDefault="00082142" w:rsidP="005D6206">
      <w:pPr>
        <w:pStyle w:val="ListParagraph"/>
        <w:spacing w:after="0" w:line="360" w:lineRule="auto"/>
        <w:ind w:left="1440"/>
        <w:jc w:val="both"/>
        <w:rPr>
          <w:rFonts w:ascii="Times New Roman" w:hAnsi="Times New Roman" w:cs="Times New Roman"/>
          <w:i/>
          <w:sz w:val="24"/>
          <w:szCs w:val="24"/>
        </w:rPr>
      </w:pPr>
      <w:r w:rsidRPr="005D6206">
        <w:rPr>
          <w:rFonts w:ascii="Times New Roman" w:hAnsi="Times New Roman" w:cs="Times New Roman"/>
          <w:sz w:val="24"/>
          <w:szCs w:val="24"/>
        </w:rPr>
        <w:t>“</w:t>
      </w:r>
      <w:r w:rsidRPr="005D6206">
        <w:rPr>
          <w:rFonts w:ascii="Times New Roman" w:hAnsi="Times New Roman" w:cs="Times New Roman"/>
          <w:i/>
          <w:sz w:val="24"/>
          <w:szCs w:val="24"/>
        </w:rPr>
        <w:t>Public Policy is an unruly horse and when once you get astride by it you never know where it will carry you.</w:t>
      </w:r>
      <w:r w:rsidRPr="005D6206">
        <w:rPr>
          <w:rStyle w:val="FootnoteReference"/>
          <w:rFonts w:ascii="Times New Roman" w:hAnsi="Times New Roman" w:cs="Times New Roman"/>
          <w:i/>
          <w:sz w:val="24"/>
          <w:szCs w:val="24"/>
        </w:rPr>
        <w:footnoteReference w:id="7"/>
      </w:r>
      <w:r w:rsidRPr="005D6206">
        <w:rPr>
          <w:rFonts w:ascii="Times New Roman" w:hAnsi="Times New Roman" w:cs="Times New Roman"/>
          <w:i/>
          <w:sz w:val="24"/>
          <w:szCs w:val="24"/>
        </w:rPr>
        <w:t>”</w:t>
      </w:r>
    </w:p>
    <w:p w:rsidR="00082142" w:rsidRPr="005D6206" w:rsidRDefault="00082142" w:rsidP="005D6206">
      <w:pPr>
        <w:pStyle w:val="ListParagraph"/>
        <w:spacing w:after="0" w:line="360" w:lineRule="auto"/>
        <w:ind w:left="1440"/>
        <w:jc w:val="both"/>
        <w:rPr>
          <w:rFonts w:ascii="Times New Roman" w:hAnsi="Times New Roman" w:cs="Times New Roman"/>
          <w:sz w:val="24"/>
          <w:szCs w:val="24"/>
        </w:rPr>
      </w:pPr>
    </w:p>
    <w:p w:rsidR="00082142" w:rsidRPr="005D6206" w:rsidRDefault="00082142" w:rsidP="005D6206">
      <w:pPr>
        <w:pStyle w:val="ListParagraph"/>
        <w:numPr>
          <w:ilvl w:val="0"/>
          <w:numId w:val="2"/>
        </w:numPr>
        <w:spacing w:after="0" w:line="360" w:lineRule="auto"/>
        <w:ind w:left="851"/>
        <w:jc w:val="both"/>
        <w:rPr>
          <w:rFonts w:ascii="Times New Roman" w:hAnsi="Times New Roman" w:cs="Times New Roman"/>
          <w:sz w:val="24"/>
          <w:szCs w:val="24"/>
        </w:rPr>
      </w:pPr>
      <w:r w:rsidRPr="005D6206">
        <w:rPr>
          <w:rFonts w:ascii="Times New Roman" w:hAnsi="Times New Roman" w:cs="Times New Roman"/>
          <w:sz w:val="24"/>
          <w:szCs w:val="24"/>
        </w:rPr>
        <w:t>LORD ST. LEONARDS had described it as,</w:t>
      </w:r>
    </w:p>
    <w:p w:rsidR="00082142" w:rsidRPr="005D6206" w:rsidRDefault="00082142" w:rsidP="005D6206">
      <w:pPr>
        <w:pStyle w:val="ListParagraph"/>
        <w:spacing w:after="0" w:line="360" w:lineRule="auto"/>
        <w:ind w:left="851" w:firstLine="589"/>
        <w:jc w:val="both"/>
        <w:rPr>
          <w:rFonts w:ascii="Times New Roman" w:hAnsi="Times New Roman" w:cs="Times New Roman"/>
          <w:i/>
          <w:sz w:val="24"/>
          <w:szCs w:val="24"/>
        </w:rPr>
      </w:pPr>
      <w:r w:rsidRPr="005D6206">
        <w:rPr>
          <w:rFonts w:ascii="Times New Roman" w:hAnsi="Times New Roman" w:cs="Times New Roman"/>
          <w:i/>
          <w:sz w:val="24"/>
          <w:szCs w:val="24"/>
        </w:rPr>
        <w:t>“Public Policy may be taken to mean only that the court is to be guided by recognized principles, but it is useless to attempt a minute and exhaustive definition of the cases that may fall within them.</w:t>
      </w:r>
      <w:r w:rsidRPr="005D6206">
        <w:rPr>
          <w:rStyle w:val="FootnoteReference"/>
          <w:rFonts w:ascii="Times New Roman" w:hAnsi="Times New Roman" w:cs="Times New Roman"/>
          <w:i/>
          <w:sz w:val="24"/>
          <w:szCs w:val="24"/>
        </w:rPr>
        <w:footnoteReference w:id="8"/>
      </w:r>
      <w:r w:rsidRPr="005D6206">
        <w:rPr>
          <w:rFonts w:ascii="Times New Roman" w:hAnsi="Times New Roman" w:cs="Times New Roman"/>
          <w:i/>
          <w:sz w:val="24"/>
          <w:szCs w:val="24"/>
        </w:rPr>
        <w:t>”</w:t>
      </w:r>
    </w:p>
    <w:p w:rsidR="00082142" w:rsidRPr="005D6206" w:rsidRDefault="00082142" w:rsidP="005D6206">
      <w:pPr>
        <w:pStyle w:val="ListParagraph"/>
        <w:spacing w:after="0" w:line="360" w:lineRule="auto"/>
        <w:ind w:left="851" w:firstLine="589"/>
        <w:jc w:val="both"/>
        <w:rPr>
          <w:rFonts w:ascii="Times New Roman" w:hAnsi="Times New Roman" w:cs="Times New Roman"/>
          <w:sz w:val="24"/>
          <w:szCs w:val="24"/>
        </w:rPr>
      </w:pPr>
    </w:p>
    <w:p w:rsidR="00082142" w:rsidRPr="005D6206" w:rsidRDefault="00082142" w:rsidP="005D6206">
      <w:pPr>
        <w:pStyle w:val="ListParagraph"/>
        <w:numPr>
          <w:ilvl w:val="0"/>
          <w:numId w:val="2"/>
        </w:numPr>
        <w:spacing w:after="0" w:line="360" w:lineRule="auto"/>
        <w:ind w:left="851"/>
        <w:jc w:val="both"/>
        <w:rPr>
          <w:rFonts w:ascii="Times New Roman" w:hAnsi="Times New Roman" w:cs="Times New Roman"/>
          <w:sz w:val="24"/>
          <w:szCs w:val="24"/>
        </w:rPr>
      </w:pPr>
      <w:r w:rsidRPr="005D6206">
        <w:rPr>
          <w:rFonts w:ascii="Times New Roman" w:hAnsi="Times New Roman" w:cs="Times New Roman"/>
          <w:sz w:val="24"/>
          <w:szCs w:val="24"/>
        </w:rPr>
        <w:t>In our country, SUBBA RAO J. Observed that,</w:t>
      </w:r>
    </w:p>
    <w:p w:rsidR="00082142" w:rsidRPr="005D6206" w:rsidRDefault="00082142" w:rsidP="005D6206">
      <w:pPr>
        <w:pStyle w:val="ListParagraph"/>
        <w:spacing w:after="0" w:line="360" w:lineRule="auto"/>
        <w:ind w:left="1440"/>
        <w:jc w:val="both"/>
        <w:rPr>
          <w:rFonts w:ascii="Times New Roman" w:hAnsi="Times New Roman" w:cs="Times New Roman"/>
          <w:i/>
          <w:sz w:val="24"/>
          <w:szCs w:val="24"/>
        </w:rPr>
      </w:pPr>
      <w:r w:rsidRPr="005D6206">
        <w:rPr>
          <w:rFonts w:ascii="Times New Roman" w:hAnsi="Times New Roman" w:cs="Times New Roman"/>
          <w:sz w:val="24"/>
          <w:szCs w:val="24"/>
        </w:rPr>
        <w:t>“</w:t>
      </w:r>
      <w:r w:rsidRPr="005D6206">
        <w:rPr>
          <w:rFonts w:ascii="Times New Roman" w:hAnsi="Times New Roman" w:cs="Times New Roman"/>
          <w:i/>
          <w:sz w:val="24"/>
          <w:szCs w:val="24"/>
        </w:rPr>
        <w:t>Public Policy or policy of law is an illusive concept; it has to be described as ‘untrustworthy guide, variable quality, uncertain one, unruly horse, etc.</w:t>
      </w:r>
      <w:r w:rsidRPr="005D6206">
        <w:rPr>
          <w:rStyle w:val="FootnoteReference"/>
          <w:rFonts w:ascii="Times New Roman" w:hAnsi="Times New Roman" w:cs="Times New Roman"/>
          <w:i/>
          <w:sz w:val="24"/>
          <w:szCs w:val="24"/>
        </w:rPr>
        <w:footnoteReference w:id="9"/>
      </w:r>
      <w:r w:rsidRPr="005D6206">
        <w:rPr>
          <w:rFonts w:ascii="Times New Roman" w:hAnsi="Times New Roman" w:cs="Times New Roman"/>
          <w:i/>
          <w:sz w:val="24"/>
          <w:szCs w:val="24"/>
        </w:rPr>
        <w:t xml:space="preserve">” </w:t>
      </w:r>
    </w:p>
    <w:p w:rsidR="00082142" w:rsidRPr="005D6206" w:rsidRDefault="00082142" w:rsidP="005D6206">
      <w:pPr>
        <w:spacing w:line="360" w:lineRule="auto"/>
        <w:jc w:val="both"/>
        <w:rPr>
          <w:rFonts w:ascii="Times New Roman" w:hAnsi="Times New Roman" w:cs="Times New Roman"/>
          <w:sz w:val="24"/>
          <w:szCs w:val="24"/>
        </w:rPr>
      </w:pPr>
      <w:r w:rsidRPr="005D6206">
        <w:rPr>
          <w:rFonts w:ascii="Times New Roman" w:hAnsi="Times New Roman" w:cs="Times New Roman"/>
          <w:sz w:val="24"/>
          <w:szCs w:val="24"/>
        </w:rPr>
        <w:lastRenderedPageBreak/>
        <w:t>It connotes some matter which concerns the public good and the public interest. As new concepts take place, old transactions which were once considered against public policy are now being upheld by the courts. If a contract be made contrary to public policy, performance cannot be enforced either at law or in equity. Reference to public policy requires taking into account the interest of persons other than the parties.</w:t>
      </w:r>
    </w:p>
    <w:p w:rsidR="00082142" w:rsidRPr="005D6206" w:rsidRDefault="00082142" w:rsidP="005D6206">
      <w:pPr>
        <w:spacing w:after="0" w:line="360" w:lineRule="auto"/>
        <w:jc w:val="both"/>
        <w:rPr>
          <w:rFonts w:ascii="Times New Roman" w:hAnsi="Times New Roman" w:cs="Times New Roman"/>
          <w:sz w:val="24"/>
          <w:szCs w:val="24"/>
        </w:rPr>
      </w:pPr>
      <w:r w:rsidRPr="005D6206">
        <w:rPr>
          <w:rFonts w:ascii="Times New Roman" w:hAnsi="Times New Roman" w:cs="Times New Roman"/>
          <w:b/>
          <w:sz w:val="24"/>
          <w:szCs w:val="24"/>
          <w:u w:val="single"/>
        </w:rPr>
        <w:t>OBSERVATIONS IN ENGLISH LAW ABOUT PUBLIC POLICY</w:t>
      </w:r>
    </w:p>
    <w:p w:rsidR="00082142" w:rsidRPr="005D6206" w:rsidRDefault="00082142" w:rsidP="005D6206">
      <w:pPr>
        <w:spacing w:after="0" w:line="360" w:lineRule="auto"/>
        <w:jc w:val="both"/>
        <w:rPr>
          <w:rFonts w:ascii="Times New Roman" w:hAnsi="Times New Roman" w:cs="Times New Roman"/>
          <w:sz w:val="24"/>
          <w:szCs w:val="24"/>
        </w:rPr>
      </w:pPr>
      <w:r w:rsidRPr="005D6206">
        <w:rPr>
          <w:rFonts w:ascii="Times New Roman" w:hAnsi="Times New Roman" w:cs="Times New Roman"/>
          <w:sz w:val="24"/>
          <w:szCs w:val="24"/>
        </w:rPr>
        <w:t>The circumstances in which a contract is likely to be struck down as one opposed to public policy are fairly well established in English Law. “...so a contract of marriage brokerage, the creation of perpetuity, a contract in restraint of trade, a gaming or wagering agreement, or assisting of the King’s enemies, are all unlawful things” on the grounds of public policy”.</w:t>
      </w:r>
      <w:r w:rsidRPr="005D6206">
        <w:rPr>
          <w:rStyle w:val="FootnoteReference"/>
          <w:rFonts w:ascii="Times New Roman" w:hAnsi="Times New Roman" w:cs="Times New Roman"/>
          <w:sz w:val="24"/>
          <w:szCs w:val="24"/>
        </w:rPr>
        <w:footnoteReference w:id="10"/>
      </w:r>
      <w:r w:rsidRPr="005D6206">
        <w:rPr>
          <w:rFonts w:ascii="Times New Roman" w:hAnsi="Times New Roman" w:cs="Times New Roman"/>
          <w:sz w:val="24"/>
          <w:szCs w:val="24"/>
        </w:rPr>
        <w:t xml:space="preserve"> If the contract in question fits into one or the other of these pigeon-holes, it may be declared void.</w:t>
      </w:r>
      <w:r w:rsidRPr="005D6206">
        <w:rPr>
          <w:rStyle w:val="FootnoteReference"/>
          <w:rFonts w:ascii="Times New Roman" w:hAnsi="Times New Roman" w:cs="Times New Roman"/>
          <w:sz w:val="24"/>
          <w:szCs w:val="24"/>
        </w:rPr>
        <w:footnoteReference w:id="11"/>
      </w:r>
      <w:r w:rsidRPr="005D6206">
        <w:rPr>
          <w:rFonts w:ascii="Times New Roman" w:hAnsi="Times New Roman" w:cs="Times New Roman"/>
          <w:sz w:val="24"/>
          <w:szCs w:val="24"/>
        </w:rPr>
        <w:t xml:space="preserve"> In English law, there are well settled heads of public policy laid down through precedents. According to LORD HALSBURY, any court can invent the new head of public policy.</w:t>
      </w:r>
      <w:r w:rsidRPr="005D6206">
        <w:rPr>
          <w:rFonts w:ascii="Times New Roman" w:hAnsi="Times New Roman" w:cs="Times New Roman"/>
          <w:sz w:val="24"/>
          <w:szCs w:val="24"/>
          <w:vertAlign w:val="superscript"/>
        </w:rPr>
        <w:t xml:space="preserve"> </w:t>
      </w:r>
      <w:r w:rsidRPr="005D6206">
        <w:rPr>
          <w:rFonts w:ascii="Times New Roman" w:hAnsi="Times New Roman" w:cs="Times New Roman"/>
          <w:sz w:val="24"/>
          <w:szCs w:val="24"/>
        </w:rPr>
        <w:t>So in English law, the concept of public policy is not static but a dynamic concept.</w:t>
      </w:r>
    </w:p>
    <w:p w:rsidR="00082142" w:rsidRPr="005D6206" w:rsidRDefault="00082142" w:rsidP="005D6206">
      <w:pPr>
        <w:spacing w:after="0" w:line="360" w:lineRule="auto"/>
        <w:jc w:val="both"/>
        <w:rPr>
          <w:rFonts w:ascii="Times New Roman" w:hAnsi="Times New Roman" w:cs="Times New Roman"/>
          <w:sz w:val="24"/>
          <w:szCs w:val="24"/>
        </w:rPr>
      </w:pPr>
    </w:p>
    <w:p w:rsidR="00082142" w:rsidRPr="005D6206" w:rsidRDefault="00082142" w:rsidP="005D6206">
      <w:pPr>
        <w:spacing w:after="0" w:line="360" w:lineRule="auto"/>
        <w:jc w:val="both"/>
        <w:rPr>
          <w:rFonts w:ascii="Times New Roman" w:hAnsi="Times New Roman" w:cs="Times New Roman"/>
          <w:sz w:val="24"/>
          <w:szCs w:val="24"/>
        </w:rPr>
      </w:pPr>
      <w:r w:rsidRPr="005D6206">
        <w:rPr>
          <w:rFonts w:ascii="Times New Roman" w:hAnsi="Times New Roman" w:cs="Times New Roman"/>
          <w:b/>
          <w:sz w:val="24"/>
          <w:szCs w:val="24"/>
          <w:u w:val="single"/>
        </w:rPr>
        <w:t>OBESERVATIONS IN INDIAN LAW ABOUT PUBLIC POLICY</w:t>
      </w:r>
    </w:p>
    <w:p w:rsidR="00082142" w:rsidRPr="005D6206" w:rsidRDefault="00082142" w:rsidP="005D6206">
      <w:pPr>
        <w:spacing w:after="0" w:line="360" w:lineRule="auto"/>
        <w:jc w:val="both"/>
        <w:rPr>
          <w:rFonts w:ascii="Times New Roman" w:hAnsi="Times New Roman" w:cs="Times New Roman"/>
          <w:sz w:val="24"/>
          <w:szCs w:val="24"/>
        </w:rPr>
      </w:pPr>
      <w:r w:rsidRPr="005D6206">
        <w:rPr>
          <w:rFonts w:ascii="Times New Roman" w:hAnsi="Times New Roman" w:cs="Times New Roman"/>
          <w:sz w:val="24"/>
          <w:szCs w:val="24"/>
        </w:rPr>
        <w:t>The Indian Contract Act</w:t>
      </w:r>
      <w:r w:rsidRPr="005D6206">
        <w:rPr>
          <w:rStyle w:val="FootnoteReference"/>
          <w:rFonts w:ascii="Times New Roman" w:hAnsi="Times New Roman" w:cs="Times New Roman"/>
          <w:sz w:val="24"/>
          <w:szCs w:val="24"/>
        </w:rPr>
        <w:footnoteReference w:id="12"/>
      </w:r>
      <w:r w:rsidRPr="005D6206">
        <w:rPr>
          <w:rFonts w:ascii="Times New Roman" w:hAnsi="Times New Roman" w:cs="Times New Roman"/>
          <w:sz w:val="24"/>
          <w:szCs w:val="24"/>
          <w:vertAlign w:val="superscript"/>
        </w:rPr>
        <w:t xml:space="preserve"> </w:t>
      </w:r>
      <w:r w:rsidRPr="005D6206">
        <w:rPr>
          <w:rFonts w:ascii="Times New Roman" w:hAnsi="Times New Roman" w:cs="Times New Roman"/>
          <w:sz w:val="24"/>
          <w:szCs w:val="24"/>
        </w:rPr>
        <w:t xml:space="preserve">doesn’t define the expression “public policy” or “opposed to public policy”. From the very nature of the things the expression “public policy” or “opposed to public policy” or “contrary to public policy” are incapable of precise definition. Public policy is however, is not the policy of a particular government. </w:t>
      </w:r>
    </w:p>
    <w:p w:rsidR="00082142" w:rsidRPr="005D6206" w:rsidRDefault="00082142" w:rsidP="005D6206">
      <w:pPr>
        <w:spacing w:after="0" w:line="360" w:lineRule="auto"/>
        <w:jc w:val="both"/>
        <w:rPr>
          <w:rFonts w:ascii="Times New Roman" w:hAnsi="Times New Roman" w:cs="Times New Roman"/>
          <w:sz w:val="24"/>
          <w:szCs w:val="24"/>
          <w:lang w:val="en-US"/>
        </w:rPr>
      </w:pPr>
    </w:p>
    <w:p w:rsidR="00082142" w:rsidRPr="005D6206" w:rsidRDefault="00082142" w:rsidP="005D6206">
      <w:pPr>
        <w:spacing w:after="0" w:line="360" w:lineRule="auto"/>
        <w:jc w:val="both"/>
        <w:rPr>
          <w:rFonts w:ascii="Times New Roman" w:hAnsi="Times New Roman" w:cs="Times New Roman"/>
          <w:sz w:val="24"/>
          <w:szCs w:val="24"/>
        </w:rPr>
      </w:pPr>
      <w:r w:rsidRPr="005D6206">
        <w:rPr>
          <w:rFonts w:ascii="Times New Roman" w:hAnsi="Times New Roman" w:cs="Times New Roman"/>
          <w:sz w:val="24"/>
          <w:szCs w:val="24"/>
          <w:lang w:val="en-US"/>
        </w:rPr>
        <w:t>According to section 23 of Indian Contract Act, 1872: -</w:t>
      </w:r>
    </w:p>
    <w:p w:rsidR="00082142" w:rsidRPr="005D6206" w:rsidRDefault="00082142" w:rsidP="005D6206">
      <w:pPr>
        <w:spacing w:after="0" w:line="360" w:lineRule="auto"/>
        <w:jc w:val="both"/>
        <w:rPr>
          <w:rFonts w:ascii="Times New Roman" w:hAnsi="Times New Roman" w:cs="Times New Roman"/>
          <w:sz w:val="24"/>
          <w:szCs w:val="24"/>
        </w:rPr>
      </w:pPr>
      <w:r w:rsidRPr="005D6206">
        <w:rPr>
          <w:rFonts w:ascii="Times New Roman" w:hAnsi="Times New Roman" w:cs="Times New Roman"/>
          <w:sz w:val="24"/>
          <w:szCs w:val="24"/>
          <w:lang w:val="en-US"/>
        </w:rPr>
        <w:tab/>
        <w:t xml:space="preserve"> “</w:t>
      </w:r>
      <w:r w:rsidRPr="005D6206">
        <w:rPr>
          <w:rFonts w:ascii="Times New Roman" w:hAnsi="Times New Roman" w:cs="Times New Roman"/>
          <w:bCs/>
          <w:i/>
          <w:iCs/>
          <w:sz w:val="24"/>
          <w:szCs w:val="24"/>
          <w:lang w:val="en-US"/>
        </w:rPr>
        <w:t>The consideration or the object is lawful, unless-</w:t>
      </w:r>
    </w:p>
    <w:p w:rsidR="00082142" w:rsidRPr="005D6206" w:rsidRDefault="00082142" w:rsidP="005D6206">
      <w:pPr>
        <w:numPr>
          <w:ilvl w:val="3"/>
          <w:numId w:val="3"/>
        </w:numPr>
        <w:tabs>
          <w:tab w:val="clear" w:pos="2880"/>
          <w:tab w:val="num" w:pos="2410"/>
        </w:tabs>
        <w:spacing w:after="0" w:line="360" w:lineRule="auto"/>
        <w:ind w:left="1418"/>
        <w:jc w:val="both"/>
        <w:rPr>
          <w:rFonts w:ascii="Times New Roman" w:hAnsi="Times New Roman" w:cs="Times New Roman"/>
          <w:sz w:val="24"/>
          <w:szCs w:val="24"/>
        </w:rPr>
      </w:pPr>
      <w:r w:rsidRPr="005D6206">
        <w:rPr>
          <w:rFonts w:ascii="Times New Roman" w:hAnsi="Times New Roman" w:cs="Times New Roman"/>
          <w:bCs/>
          <w:i/>
          <w:iCs/>
          <w:sz w:val="24"/>
          <w:szCs w:val="24"/>
          <w:lang w:val="en-US"/>
        </w:rPr>
        <w:t xml:space="preserve">  it is forbidden by law, or</w:t>
      </w:r>
    </w:p>
    <w:p w:rsidR="00082142" w:rsidRPr="005D6206" w:rsidRDefault="00082142" w:rsidP="005D6206">
      <w:pPr>
        <w:numPr>
          <w:ilvl w:val="3"/>
          <w:numId w:val="3"/>
        </w:numPr>
        <w:tabs>
          <w:tab w:val="clear" w:pos="2880"/>
          <w:tab w:val="num" w:pos="2127"/>
        </w:tabs>
        <w:spacing w:after="0" w:line="360" w:lineRule="auto"/>
        <w:ind w:left="1560" w:hanging="502"/>
        <w:jc w:val="both"/>
        <w:rPr>
          <w:rFonts w:ascii="Times New Roman" w:hAnsi="Times New Roman" w:cs="Times New Roman"/>
          <w:sz w:val="24"/>
          <w:szCs w:val="24"/>
        </w:rPr>
      </w:pPr>
      <w:r w:rsidRPr="005D6206">
        <w:rPr>
          <w:rFonts w:ascii="Times New Roman" w:hAnsi="Times New Roman" w:cs="Times New Roman"/>
          <w:bCs/>
          <w:i/>
          <w:iCs/>
          <w:sz w:val="24"/>
          <w:szCs w:val="24"/>
          <w:lang w:val="en-US"/>
        </w:rPr>
        <w:t xml:space="preserve"> is of such nature that, if permitted , it would defeat the     </w:t>
      </w:r>
      <w:r w:rsidRPr="005D6206">
        <w:rPr>
          <w:rFonts w:ascii="Times New Roman" w:hAnsi="Times New Roman" w:cs="Times New Roman"/>
          <w:bCs/>
          <w:i/>
          <w:iCs/>
          <w:sz w:val="24"/>
          <w:szCs w:val="24"/>
          <w:lang w:val="en-US"/>
        </w:rPr>
        <w:tab/>
        <w:t>provisions of any    law, or is fraudulent; or</w:t>
      </w:r>
    </w:p>
    <w:p w:rsidR="00082142" w:rsidRPr="005D6206" w:rsidRDefault="00082142" w:rsidP="005D6206">
      <w:pPr>
        <w:numPr>
          <w:ilvl w:val="3"/>
          <w:numId w:val="3"/>
        </w:numPr>
        <w:tabs>
          <w:tab w:val="clear" w:pos="2880"/>
          <w:tab w:val="num" w:pos="1418"/>
        </w:tabs>
        <w:spacing w:after="0" w:line="360" w:lineRule="auto"/>
        <w:ind w:left="1418"/>
        <w:jc w:val="both"/>
        <w:rPr>
          <w:rFonts w:ascii="Times New Roman" w:hAnsi="Times New Roman" w:cs="Times New Roman"/>
          <w:sz w:val="24"/>
          <w:szCs w:val="24"/>
        </w:rPr>
      </w:pPr>
      <w:r w:rsidRPr="005D6206">
        <w:rPr>
          <w:rFonts w:ascii="Times New Roman" w:hAnsi="Times New Roman" w:cs="Times New Roman"/>
          <w:bCs/>
          <w:i/>
          <w:iCs/>
          <w:sz w:val="24"/>
          <w:szCs w:val="24"/>
          <w:lang w:val="en-US"/>
        </w:rPr>
        <w:t xml:space="preserve">  involves or implies, injury to the person or property of </w:t>
      </w:r>
      <w:r w:rsidRPr="005D6206">
        <w:rPr>
          <w:rFonts w:ascii="Times New Roman" w:hAnsi="Times New Roman" w:cs="Times New Roman"/>
          <w:bCs/>
          <w:i/>
          <w:iCs/>
          <w:sz w:val="24"/>
          <w:szCs w:val="24"/>
          <w:lang w:val="en-US"/>
        </w:rPr>
        <w:tab/>
        <w:t>another; or</w:t>
      </w:r>
    </w:p>
    <w:p w:rsidR="00082142" w:rsidRPr="005D6206" w:rsidRDefault="00082142" w:rsidP="005D6206">
      <w:pPr>
        <w:numPr>
          <w:ilvl w:val="3"/>
          <w:numId w:val="3"/>
        </w:numPr>
        <w:tabs>
          <w:tab w:val="clear" w:pos="2880"/>
          <w:tab w:val="num" w:pos="2552"/>
        </w:tabs>
        <w:spacing w:after="0" w:line="360" w:lineRule="auto"/>
        <w:ind w:left="1418"/>
        <w:jc w:val="both"/>
        <w:rPr>
          <w:rFonts w:ascii="Times New Roman" w:hAnsi="Times New Roman" w:cs="Times New Roman"/>
          <w:b/>
          <w:sz w:val="24"/>
          <w:szCs w:val="24"/>
        </w:rPr>
      </w:pPr>
      <w:r w:rsidRPr="005D6206">
        <w:rPr>
          <w:rFonts w:ascii="Times New Roman" w:hAnsi="Times New Roman" w:cs="Times New Roman"/>
          <w:bCs/>
          <w:i/>
          <w:iCs/>
          <w:sz w:val="24"/>
          <w:szCs w:val="24"/>
          <w:lang w:val="en-US"/>
        </w:rPr>
        <w:t xml:space="preserve">  the court regards it as immoral, or </w:t>
      </w:r>
      <w:r w:rsidRPr="005D6206">
        <w:rPr>
          <w:rFonts w:ascii="Times New Roman" w:hAnsi="Times New Roman" w:cs="Times New Roman"/>
          <w:b/>
          <w:bCs/>
          <w:sz w:val="24"/>
          <w:szCs w:val="24"/>
          <w:u w:val="single"/>
          <w:lang w:val="en-US"/>
        </w:rPr>
        <w:t xml:space="preserve">opposed to public policy.” </w:t>
      </w:r>
    </w:p>
    <w:p w:rsidR="00082142" w:rsidRPr="005D6206" w:rsidRDefault="00082142" w:rsidP="005D6206">
      <w:pPr>
        <w:spacing w:after="0" w:line="360" w:lineRule="auto"/>
        <w:jc w:val="both"/>
        <w:rPr>
          <w:rFonts w:ascii="Times New Roman" w:hAnsi="Times New Roman" w:cs="Times New Roman"/>
          <w:sz w:val="24"/>
          <w:szCs w:val="24"/>
        </w:rPr>
      </w:pPr>
      <w:r w:rsidRPr="005D6206">
        <w:rPr>
          <w:rFonts w:ascii="Times New Roman" w:hAnsi="Times New Roman" w:cs="Times New Roman"/>
          <w:sz w:val="24"/>
          <w:szCs w:val="24"/>
        </w:rPr>
        <w:lastRenderedPageBreak/>
        <w:t xml:space="preserve">Though the meaning of public policy is ambiguous, there have been many efforts to remove this difficulty of understanding the meaning of public policy. In India, the concept which is followed by English law is used. SUBBA RAO J in </w:t>
      </w:r>
      <w:r w:rsidRPr="005D6206">
        <w:rPr>
          <w:rFonts w:ascii="Times New Roman" w:hAnsi="Times New Roman" w:cs="Times New Roman"/>
          <w:i/>
          <w:sz w:val="24"/>
          <w:szCs w:val="24"/>
        </w:rPr>
        <w:t>Gherulal v. Mahadeodas</w:t>
      </w:r>
      <w:r w:rsidRPr="005D6206">
        <w:rPr>
          <w:rStyle w:val="FootnoteReference"/>
          <w:rFonts w:ascii="Times New Roman" w:hAnsi="Times New Roman" w:cs="Times New Roman"/>
          <w:i/>
          <w:sz w:val="24"/>
          <w:szCs w:val="24"/>
        </w:rPr>
        <w:footnoteReference w:id="13"/>
      </w:r>
      <w:r w:rsidRPr="005D6206">
        <w:rPr>
          <w:rFonts w:ascii="Times New Roman" w:hAnsi="Times New Roman" w:cs="Times New Roman"/>
          <w:sz w:val="24"/>
          <w:szCs w:val="24"/>
        </w:rPr>
        <w:t xml:space="preserve"> enshrined the position of public policy in India. He described it as illusive concept. The primary duty of the court is to enforce a promise which the parties have made and to uphold the sanctity of contract which forms the basis of the society; but in certain cases, the court may relieve them of their duty on a rule founded on what is called the public policy. </w:t>
      </w:r>
      <w:r w:rsidRPr="005D6206">
        <w:rPr>
          <w:rFonts w:ascii="Times New Roman" w:hAnsi="Times New Roman" w:cs="Times New Roman"/>
          <w:iCs/>
          <w:sz w:val="24"/>
          <w:szCs w:val="24"/>
          <w:lang w:val="en-US"/>
        </w:rPr>
        <w:t>W</w:t>
      </w:r>
      <w:r w:rsidRPr="005D6206">
        <w:rPr>
          <w:rFonts w:ascii="Times New Roman" w:hAnsi="Times New Roman" w:cs="Times New Roman"/>
          <w:sz w:val="24"/>
          <w:szCs w:val="24"/>
          <w:lang w:val="en-US"/>
        </w:rPr>
        <w:t>hether   enforcing      a contract will be contrary to public policy appears to depend on all the surrounding circumstances of a case. It can take account of the moral blameworthiness of the parties. It thus allows sufficient flexibility to do justice, but it does not promote certainty and consistency</w:t>
      </w:r>
      <w:r w:rsidRPr="005D6206">
        <w:rPr>
          <w:rFonts w:ascii="Times New Roman" w:hAnsi="Times New Roman" w:cs="Times New Roman"/>
          <w:sz w:val="24"/>
          <w:szCs w:val="24"/>
        </w:rPr>
        <w:t>.</w:t>
      </w:r>
    </w:p>
    <w:p w:rsidR="00082142" w:rsidRPr="005D6206" w:rsidRDefault="00082142" w:rsidP="005D6206">
      <w:pPr>
        <w:spacing w:after="0" w:line="360" w:lineRule="auto"/>
        <w:jc w:val="both"/>
        <w:rPr>
          <w:rFonts w:ascii="Times New Roman" w:hAnsi="Times New Roman" w:cs="Times New Roman"/>
          <w:sz w:val="24"/>
          <w:szCs w:val="24"/>
        </w:rPr>
      </w:pPr>
      <w:r w:rsidRPr="005D6206">
        <w:rPr>
          <w:rFonts w:ascii="Times New Roman" w:hAnsi="Times New Roman" w:cs="Times New Roman"/>
          <w:b/>
          <w:sz w:val="24"/>
          <w:szCs w:val="24"/>
          <w:u w:val="single"/>
        </w:rPr>
        <w:t>PUBLIC POLICY AND FREEDOM OF CONTRACT</w:t>
      </w:r>
    </w:p>
    <w:p w:rsidR="00082142" w:rsidRPr="005D6206" w:rsidRDefault="00082142" w:rsidP="005D6206">
      <w:pPr>
        <w:spacing w:after="0" w:line="360" w:lineRule="auto"/>
        <w:jc w:val="both"/>
        <w:rPr>
          <w:rFonts w:ascii="Times New Roman" w:hAnsi="Times New Roman" w:cs="Times New Roman"/>
          <w:sz w:val="24"/>
          <w:szCs w:val="24"/>
        </w:rPr>
      </w:pPr>
      <w:r w:rsidRPr="005D6206">
        <w:rPr>
          <w:rFonts w:ascii="Times New Roman" w:hAnsi="Times New Roman" w:cs="Times New Roman"/>
          <w:sz w:val="24"/>
          <w:szCs w:val="24"/>
        </w:rPr>
        <w:t>If a contract is prejudicial to social or economic interest of the community, it will be against public policy to enforce such an agreement. On the one hand, a person’s right of contractual freedom should be maintained. On the other hand, if the contract is against public policy, the law must not allow them that to be enforced. The concept of freedom of contract has been considered to be of great significance and therefore if the courts are given freedom to interfere with contracts on their own notions on public policy, this may be unjust. The court’s power to recognize new heads of public policy has been doubted. The task of a judge has been considered to be “to expound law and not to expand law”.</w:t>
      </w:r>
      <w:r w:rsidRPr="005D6206">
        <w:rPr>
          <w:rStyle w:val="FootnoteReference"/>
          <w:rFonts w:ascii="Times New Roman" w:hAnsi="Times New Roman" w:cs="Times New Roman"/>
          <w:sz w:val="24"/>
          <w:szCs w:val="24"/>
        </w:rPr>
        <w:footnoteReference w:id="14"/>
      </w:r>
      <w:r w:rsidRPr="005D6206">
        <w:rPr>
          <w:rFonts w:ascii="Times New Roman" w:hAnsi="Times New Roman" w:cs="Times New Roman"/>
          <w:sz w:val="24"/>
          <w:szCs w:val="24"/>
        </w:rPr>
        <w:t xml:space="preserve"> It is a matter of public policy that contractual freedom must be fostered, it is also an equally important principle of law that if the parties have an unequal bargaining power, the dominant party should not make an unconscionable bargain, or without any justification exclude its responsibility under the contract. With the changing times the public policy demanded due protection to the weaker party. For public interest, the courts and the legislature have imposed several restrictions on freedom of contract. In short, public policy is the limitation upon the freedom of contract.</w:t>
      </w:r>
    </w:p>
    <w:p w:rsidR="00082142" w:rsidRPr="005D6206" w:rsidRDefault="00082142" w:rsidP="005D6206">
      <w:pPr>
        <w:spacing w:after="0" w:line="360" w:lineRule="auto"/>
        <w:jc w:val="both"/>
        <w:rPr>
          <w:rFonts w:ascii="Times New Roman" w:hAnsi="Times New Roman" w:cs="Times New Roman"/>
          <w:sz w:val="24"/>
          <w:szCs w:val="24"/>
        </w:rPr>
      </w:pPr>
    </w:p>
    <w:p w:rsidR="00082142" w:rsidRPr="005D6206" w:rsidRDefault="00082142" w:rsidP="005D6206">
      <w:pPr>
        <w:spacing w:after="0" w:line="360" w:lineRule="auto"/>
        <w:jc w:val="both"/>
        <w:rPr>
          <w:rFonts w:ascii="Times New Roman" w:hAnsi="Times New Roman" w:cs="Times New Roman"/>
          <w:sz w:val="24"/>
          <w:szCs w:val="24"/>
        </w:rPr>
      </w:pPr>
      <w:r w:rsidRPr="005D6206">
        <w:rPr>
          <w:rFonts w:ascii="Times New Roman" w:hAnsi="Times New Roman" w:cs="Times New Roman"/>
          <w:b/>
          <w:sz w:val="24"/>
          <w:szCs w:val="24"/>
          <w:u w:val="single"/>
        </w:rPr>
        <w:t>PUBLIC POLICY AND IMMORALITY</w:t>
      </w:r>
    </w:p>
    <w:p w:rsidR="00082142" w:rsidRPr="005D6206" w:rsidRDefault="00082142" w:rsidP="005D6206">
      <w:pPr>
        <w:spacing w:after="0" w:line="360" w:lineRule="auto"/>
        <w:jc w:val="both"/>
        <w:rPr>
          <w:rFonts w:ascii="Times New Roman" w:hAnsi="Times New Roman" w:cs="Times New Roman"/>
          <w:sz w:val="24"/>
          <w:szCs w:val="24"/>
        </w:rPr>
      </w:pPr>
      <w:r w:rsidRPr="005D6206">
        <w:rPr>
          <w:rFonts w:ascii="Times New Roman" w:hAnsi="Times New Roman" w:cs="Times New Roman"/>
          <w:sz w:val="24"/>
          <w:szCs w:val="24"/>
        </w:rPr>
        <w:t xml:space="preserve">The courts exercise wide powers of restraining individual freedom on grounds of general utility, and it is impossible to provide in terms for this discretion without laying down that all objects are </w:t>
      </w:r>
      <w:r w:rsidRPr="005D6206">
        <w:rPr>
          <w:rFonts w:ascii="Times New Roman" w:hAnsi="Times New Roman" w:cs="Times New Roman"/>
          <w:sz w:val="24"/>
          <w:szCs w:val="24"/>
        </w:rPr>
        <w:lastRenderedPageBreak/>
        <w:t>unlawful which the court regards as immoral or opposed to public policy.</w:t>
      </w:r>
      <w:r w:rsidRPr="005D6206">
        <w:rPr>
          <w:rStyle w:val="FootnoteReference"/>
          <w:rFonts w:ascii="Times New Roman" w:hAnsi="Times New Roman" w:cs="Times New Roman"/>
          <w:sz w:val="24"/>
          <w:szCs w:val="24"/>
        </w:rPr>
        <w:footnoteReference w:id="15"/>
      </w:r>
      <w:r w:rsidRPr="005D6206">
        <w:rPr>
          <w:rFonts w:ascii="Times New Roman" w:hAnsi="Times New Roman" w:cs="Times New Roman"/>
          <w:sz w:val="24"/>
          <w:szCs w:val="24"/>
        </w:rPr>
        <w:t xml:space="preserve"> What is immoral depends upon the standards of morality prevailing at a particular time and as approved by the courts. The limitation on the word ‘immorality ‘imposed by the statue, namely, ‘the court regards it as immoral’ shows that immorality is also a branch of the common law like the doctrine of public policy. Likewise immorality is also decided according to the standards of morality approved by the courts.</w:t>
      </w:r>
    </w:p>
    <w:p w:rsidR="005D6206" w:rsidRDefault="005D6206" w:rsidP="005D6206">
      <w:pPr>
        <w:pStyle w:val="Title"/>
        <w:pBdr>
          <w:bottom w:val="none" w:sz="0" w:space="0" w:color="auto"/>
        </w:pBdr>
        <w:spacing w:line="360" w:lineRule="auto"/>
        <w:jc w:val="both"/>
        <w:rPr>
          <w:rFonts w:ascii="Times New Roman" w:hAnsi="Times New Roman" w:cs="Times New Roman"/>
          <w:sz w:val="24"/>
          <w:szCs w:val="24"/>
        </w:rPr>
      </w:pPr>
    </w:p>
    <w:p w:rsidR="005D6206" w:rsidRDefault="005D6206" w:rsidP="005D6206">
      <w:pPr>
        <w:pStyle w:val="Title"/>
        <w:pBdr>
          <w:bottom w:val="none" w:sz="0" w:space="0" w:color="auto"/>
        </w:pBdr>
        <w:spacing w:line="360" w:lineRule="auto"/>
        <w:jc w:val="both"/>
        <w:rPr>
          <w:rFonts w:ascii="Times New Roman" w:hAnsi="Times New Roman" w:cs="Times New Roman"/>
          <w:sz w:val="24"/>
          <w:szCs w:val="24"/>
        </w:rPr>
      </w:pPr>
    </w:p>
    <w:p w:rsidR="00082142" w:rsidRPr="005D6206" w:rsidRDefault="005D6206" w:rsidP="005D6206">
      <w:pPr>
        <w:rPr>
          <w:rFonts w:ascii="Times New Roman" w:hAnsi="Times New Roman" w:cs="Times New Roman"/>
          <w:b/>
          <w:sz w:val="24"/>
          <w:u w:val="single"/>
        </w:rPr>
      </w:pPr>
      <w:r>
        <w:rPr>
          <w:rFonts w:ascii="Times New Roman" w:hAnsi="Times New Roman" w:cs="Times New Roman"/>
          <w:b/>
          <w:sz w:val="24"/>
          <w:u w:val="single"/>
        </w:rPr>
        <w:t xml:space="preserve">CONTRACTS </w:t>
      </w:r>
      <w:r w:rsidR="00082142" w:rsidRPr="005D6206">
        <w:rPr>
          <w:rFonts w:ascii="Times New Roman" w:hAnsi="Times New Roman" w:cs="Times New Roman"/>
          <w:b/>
          <w:sz w:val="24"/>
          <w:u w:val="single"/>
        </w:rPr>
        <w:t>OPPOSED TO PUBLIC POLICY</w:t>
      </w:r>
    </w:p>
    <w:p w:rsidR="00082142" w:rsidRPr="005D6206" w:rsidRDefault="00082142" w:rsidP="005D6206">
      <w:pPr>
        <w:spacing w:line="360" w:lineRule="auto"/>
        <w:jc w:val="both"/>
        <w:rPr>
          <w:rFonts w:ascii="Times New Roman" w:hAnsi="Times New Roman" w:cs="Times New Roman"/>
          <w:sz w:val="24"/>
          <w:szCs w:val="24"/>
        </w:rPr>
      </w:pPr>
      <w:r w:rsidRPr="005D6206">
        <w:rPr>
          <w:rFonts w:ascii="Times New Roman" w:hAnsi="Times New Roman" w:cs="Times New Roman"/>
          <w:sz w:val="24"/>
          <w:szCs w:val="24"/>
        </w:rPr>
        <w:t>A contract which has the tendency to injure public interest or public welfare is one against public policy. What constitutes an injury to public interest or welfare would depend upon times and the climes. Notions could vary from country to country and time to time. The social milieu in which the contract is sought to be enforced would decide the factum, the nature and the degree of the injury. The concept of public policy is not immutable, since it must vary with the changing needs of the society.</w:t>
      </w:r>
      <w:r w:rsidRPr="005D6206">
        <w:rPr>
          <w:rStyle w:val="FootnoteReference"/>
          <w:rFonts w:ascii="Times New Roman" w:hAnsi="Times New Roman" w:cs="Times New Roman"/>
          <w:sz w:val="24"/>
          <w:szCs w:val="24"/>
        </w:rPr>
        <w:footnoteReference w:id="16"/>
      </w:r>
      <w:r w:rsidRPr="005D6206">
        <w:rPr>
          <w:rFonts w:ascii="Times New Roman" w:hAnsi="Times New Roman" w:cs="Times New Roman"/>
          <w:sz w:val="24"/>
          <w:szCs w:val="24"/>
        </w:rPr>
        <w:t xml:space="preserve"> These values may sometimes get incorporated in the legislation, but sometimes they may not. The legislature often fails to keep pace with the changing needs and values nor is it realistic to except that it will have provided for all contingencies and eventualities. But the courts should use extreme reserve in holding a contract as void against public policy, and should do so only when the contract is incontestable and on any view inimical to public interest. The doctrine should be invoked only in clear cases in which harm to the public in substantially incontestable and does not depend upon idiosyncratic inferences of a few judicial minds.</w:t>
      </w:r>
    </w:p>
    <w:p w:rsidR="00082142" w:rsidRPr="005D6206" w:rsidRDefault="00082142" w:rsidP="005D6206">
      <w:pPr>
        <w:spacing w:line="360" w:lineRule="auto"/>
        <w:jc w:val="both"/>
        <w:rPr>
          <w:rFonts w:ascii="Times New Roman" w:hAnsi="Times New Roman" w:cs="Times New Roman"/>
          <w:sz w:val="24"/>
          <w:szCs w:val="24"/>
        </w:rPr>
      </w:pPr>
      <w:r w:rsidRPr="005D6206">
        <w:rPr>
          <w:rFonts w:ascii="Times New Roman" w:hAnsi="Times New Roman" w:cs="Times New Roman"/>
          <w:sz w:val="24"/>
          <w:szCs w:val="24"/>
        </w:rPr>
        <w:t xml:space="preserve">The rule is very wide and the public interests which are to be protected may be innumerable and heterogeneous. The discretion is vested upon the courts to decide which contract is opposed to public policy. Judges are more to be trusted as interpreters of the law than as expounder of public policy. Therefore, it is sometimes said that public policy is not a safe guide in determining the validity of a contract. The House of Lords in one case said that public policy is always unsafe and treacherous ground for legal decision. However, the wide ambit of the doctrine has already </w:t>
      </w:r>
      <w:r w:rsidRPr="005D6206">
        <w:rPr>
          <w:rFonts w:ascii="Times New Roman" w:hAnsi="Times New Roman" w:cs="Times New Roman"/>
          <w:sz w:val="24"/>
          <w:szCs w:val="24"/>
        </w:rPr>
        <w:lastRenderedPageBreak/>
        <w:t>been curtailed as heads of public policy are already settled by precedents. The doctrine of public policy is part of common law and its principles have been crystallised under various heads, but they are not closed and it is permissible to evolve a new head under exceptional circumstances of changing world. The following agreements are held to be opposed to public policy: -</w:t>
      </w:r>
    </w:p>
    <w:p w:rsidR="00082142" w:rsidRPr="001354D7" w:rsidRDefault="00082142" w:rsidP="001354D7">
      <w:pPr>
        <w:pStyle w:val="ListParagraph"/>
        <w:numPr>
          <w:ilvl w:val="0"/>
          <w:numId w:val="6"/>
        </w:numPr>
        <w:spacing w:after="0" w:line="360" w:lineRule="auto"/>
        <w:jc w:val="both"/>
        <w:rPr>
          <w:rFonts w:ascii="Times New Roman" w:hAnsi="Times New Roman" w:cs="Times New Roman"/>
          <w:b/>
          <w:sz w:val="24"/>
          <w:szCs w:val="24"/>
          <w:u w:val="single"/>
        </w:rPr>
      </w:pPr>
      <w:r w:rsidRPr="001354D7">
        <w:rPr>
          <w:rFonts w:ascii="Times New Roman" w:hAnsi="Times New Roman" w:cs="Times New Roman"/>
          <w:b/>
          <w:sz w:val="24"/>
          <w:szCs w:val="24"/>
          <w:u w:val="single"/>
        </w:rPr>
        <w:t>INTERFERANCE WITH ADMINISTRATION OF JUSTICE</w:t>
      </w:r>
    </w:p>
    <w:p w:rsidR="00082142" w:rsidRPr="005D6206" w:rsidRDefault="00082142" w:rsidP="005D6206">
      <w:pPr>
        <w:spacing w:line="360" w:lineRule="auto"/>
        <w:jc w:val="both"/>
        <w:rPr>
          <w:rFonts w:ascii="Times New Roman" w:hAnsi="Times New Roman" w:cs="Times New Roman"/>
          <w:sz w:val="24"/>
          <w:szCs w:val="24"/>
        </w:rPr>
      </w:pPr>
      <w:r w:rsidRPr="005D6206">
        <w:rPr>
          <w:rFonts w:ascii="Times New Roman" w:hAnsi="Times New Roman" w:cs="Times New Roman"/>
          <w:sz w:val="24"/>
          <w:szCs w:val="24"/>
        </w:rPr>
        <w:t xml:space="preserve">A contract, the object of which is to interfere with the administration of justice, is obviously opposed to public policy. It may take any of the following forms: - </w:t>
      </w:r>
    </w:p>
    <w:p w:rsidR="00ED71E3" w:rsidRPr="001354D7" w:rsidRDefault="00082142" w:rsidP="001354D7">
      <w:pPr>
        <w:pStyle w:val="ListParagraph"/>
        <w:numPr>
          <w:ilvl w:val="2"/>
          <w:numId w:val="7"/>
        </w:numPr>
        <w:spacing w:line="360" w:lineRule="auto"/>
        <w:jc w:val="both"/>
        <w:rPr>
          <w:rFonts w:ascii="Times New Roman" w:hAnsi="Times New Roman" w:cs="Times New Roman"/>
          <w:sz w:val="24"/>
          <w:szCs w:val="24"/>
        </w:rPr>
      </w:pPr>
      <w:r w:rsidRPr="001354D7">
        <w:rPr>
          <w:rFonts w:ascii="Times New Roman" w:hAnsi="Times New Roman" w:cs="Times New Roman"/>
          <w:i/>
          <w:sz w:val="24"/>
          <w:szCs w:val="24"/>
        </w:rPr>
        <w:t>INTERFERANCE WITH THE COURCE OF JUSTICE:</w:t>
      </w:r>
      <w:r w:rsidRPr="001354D7">
        <w:rPr>
          <w:rFonts w:ascii="Times New Roman" w:hAnsi="Times New Roman" w:cs="Times New Roman"/>
          <w:sz w:val="24"/>
          <w:szCs w:val="24"/>
        </w:rPr>
        <w:t xml:space="preserve"> - Any agreement which </w:t>
      </w:r>
      <w:r w:rsidR="00ED71E3" w:rsidRPr="001354D7">
        <w:rPr>
          <w:rFonts w:ascii="Times New Roman" w:hAnsi="Times New Roman" w:cs="Times New Roman"/>
          <w:sz w:val="24"/>
          <w:szCs w:val="24"/>
        </w:rPr>
        <w:t>obstructs the ordinary process of justice is void.</w:t>
      </w:r>
      <w:r w:rsidR="00ED71E3" w:rsidRPr="005D6206">
        <w:rPr>
          <w:rStyle w:val="FootnoteReference"/>
          <w:rFonts w:ascii="Times New Roman" w:hAnsi="Times New Roman" w:cs="Times New Roman"/>
          <w:sz w:val="24"/>
          <w:szCs w:val="24"/>
        </w:rPr>
        <w:footnoteReference w:id="17"/>
      </w:r>
      <w:r w:rsidR="00ED71E3" w:rsidRPr="001354D7">
        <w:rPr>
          <w:rFonts w:ascii="Times New Roman" w:hAnsi="Times New Roman" w:cs="Times New Roman"/>
          <w:sz w:val="24"/>
          <w:szCs w:val="24"/>
        </w:rPr>
        <w:t xml:space="preserve"> An agreement for the purpose of using improper influence of any kind with judges or officers of court is void. Bribing a judge to induce him to decide in a party’s favour is also against public policy.</w:t>
      </w:r>
    </w:p>
    <w:p w:rsidR="00ED71E3" w:rsidRPr="001354D7" w:rsidRDefault="00ED71E3" w:rsidP="001354D7">
      <w:pPr>
        <w:pStyle w:val="ListParagraph"/>
        <w:numPr>
          <w:ilvl w:val="2"/>
          <w:numId w:val="7"/>
        </w:numPr>
        <w:spacing w:line="360" w:lineRule="auto"/>
        <w:jc w:val="both"/>
        <w:rPr>
          <w:rFonts w:ascii="Times New Roman" w:hAnsi="Times New Roman" w:cs="Times New Roman"/>
          <w:sz w:val="24"/>
          <w:szCs w:val="24"/>
        </w:rPr>
      </w:pPr>
      <w:r w:rsidRPr="001354D7">
        <w:rPr>
          <w:rFonts w:ascii="Times New Roman" w:hAnsi="Times New Roman" w:cs="Times New Roman"/>
          <w:i/>
          <w:sz w:val="24"/>
          <w:szCs w:val="24"/>
        </w:rPr>
        <w:t xml:space="preserve">STIFLING PROSECUTION: - </w:t>
      </w:r>
      <w:r w:rsidRPr="001354D7">
        <w:rPr>
          <w:rFonts w:ascii="Times New Roman" w:hAnsi="Times New Roman" w:cs="Times New Roman"/>
          <w:sz w:val="24"/>
          <w:szCs w:val="24"/>
        </w:rPr>
        <w:t>It is in public interest that criminals should be prosecuted and punished. Hence, an agreement not to prosecute an offender or to withdraw a pending prosecution is void if offence is of public nature. Such agreements are called agreements to stifle prosecution. For example, if A promises B to drop a prosecution which he has instituted against B for robbery, and B promises to restore the value of the things taken, the agreement is void, as its object is unlawful.</w:t>
      </w:r>
      <w:r w:rsidRPr="005D6206">
        <w:rPr>
          <w:rStyle w:val="FootnoteReference"/>
          <w:rFonts w:ascii="Times New Roman" w:hAnsi="Times New Roman" w:cs="Times New Roman"/>
          <w:sz w:val="24"/>
          <w:szCs w:val="24"/>
        </w:rPr>
        <w:footnoteReference w:id="18"/>
      </w:r>
    </w:p>
    <w:p w:rsidR="00ED71E3" w:rsidRPr="001354D7" w:rsidRDefault="00ED71E3" w:rsidP="001354D7">
      <w:pPr>
        <w:pStyle w:val="ListParagraph"/>
        <w:numPr>
          <w:ilvl w:val="2"/>
          <w:numId w:val="7"/>
        </w:numPr>
        <w:spacing w:line="360" w:lineRule="auto"/>
        <w:jc w:val="both"/>
        <w:rPr>
          <w:rFonts w:ascii="Times New Roman" w:hAnsi="Times New Roman" w:cs="Times New Roman"/>
          <w:sz w:val="24"/>
          <w:szCs w:val="24"/>
        </w:rPr>
      </w:pPr>
      <w:r w:rsidRPr="001354D7">
        <w:rPr>
          <w:rFonts w:ascii="Times New Roman" w:hAnsi="Times New Roman" w:cs="Times New Roman"/>
          <w:i/>
          <w:sz w:val="24"/>
          <w:szCs w:val="24"/>
        </w:rPr>
        <w:t>MAINTENANCE AND CHAMPERTY: -</w:t>
      </w:r>
      <w:r w:rsidRPr="001354D7">
        <w:rPr>
          <w:rFonts w:ascii="Times New Roman" w:hAnsi="Times New Roman" w:cs="Times New Roman"/>
          <w:sz w:val="24"/>
          <w:szCs w:val="24"/>
        </w:rPr>
        <w:t xml:space="preserve"> Maintenance and champerty are the names given to agreements which may contravene the policy against encouragement of speculative litigation. Maintenance occurs where a person supports litigation in which he has no legitimate concern without just cause or excuse. Champerty occurs where it is agreed that the person who maintains another’s litigation is to receive a share of the proceeds of the litigation.</w:t>
      </w:r>
      <w:r w:rsidR="00191E3D" w:rsidRPr="005D6206">
        <w:rPr>
          <w:rStyle w:val="FootnoteReference"/>
          <w:rFonts w:ascii="Times New Roman" w:hAnsi="Times New Roman" w:cs="Times New Roman"/>
          <w:sz w:val="24"/>
          <w:szCs w:val="24"/>
        </w:rPr>
        <w:footnoteReference w:id="19"/>
      </w:r>
      <w:r w:rsidRPr="001354D7">
        <w:rPr>
          <w:rFonts w:ascii="Times New Roman" w:hAnsi="Times New Roman" w:cs="Times New Roman"/>
          <w:sz w:val="24"/>
          <w:szCs w:val="24"/>
        </w:rPr>
        <w:t xml:space="preserve"> </w:t>
      </w:r>
    </w:p>
    <w:p w:rsidR="00ED71E3" w:rsidRPr="001354D7" w:rsidRDefault="00ED71E3" w:rsidP="001354D7">
      <w:pPr>
        <w:pStyle w:val="ListParagraph"/>
        <w:numPr>
          <w:ilvl w:val="0"/>
          <w:numId w:val="6"/>
        </w:numPr>
        <w:spacing w:line="360" w:lineRule="auto"/>
        <w:jc w:val="both"/>
        <w:rPr>
          <w:rFonts w:ascii="Times New Roman" w:hAnsi="Times New Roman" w:cs="Times New Roman"/>
          <w:sz w:val="24"/>
          <w:szCs w:val="24"/>
        </w:rPr>
      </w:pPr>
      <w:r w:rsidRPr="001354D7">
        <w:rPr>
          <w:rFonts w:ascii="Times New Roman" w:hAnsi="Times New Roman" w:cs="Times New Roman"/>
          <w:b/>
          <w:sz w:val="24"/>
          <w:szCs w:val="24"/>
          <w:u w:val="single"/>
        </w:rPr>
        <w:t>AGREEMENT TO TRADE WITH ENEMY</w:t>
      </w:r>
    </w:p>
    <w:p w:rsidR="00ED71E3" w:rsidRPr="005D6206" w:rsidRDefault="00ED71E3" w:rsidP="005D6206">
      <w:pPr>
        <w:spacing w:line="360" w:lineRule="auto"/>
        <w:jc w:val="both"/>
        <w:rPr>
          <w:rFonts w:ascii="Times New Roman" w:hAnsi="Times New Roman" w:cs="Times New Roman"/>
          <w:sz w:val="24"/>
          <w:szCs w:val="24"/>
        </w:rPr>
      </w:pPr>
      <w:r w:rsidRPr="005D6206">
        <w:rPr>
          <w:rFonts w:ascii="Times New Roman" w:hAnsi="Times New Roman" w:cs="Times New Roman"/>
          <w:sz w:val="24"/>
          <w:szCs w:val="24"/>
        </w:rPr>
        <w:t xml:space="preserve">Agreement with alien enemies would injure the State in relation with other states. It is unlawful to enter into a contract with a foreign enemy, during war of to perform such a contract entered </w:t>
      </w:r>
      <w:r w:rsidRPr="005D6206">
        <w:rPr>
          <w:rFonts w:ascii="Times New Roman" w:hAnsi="Times New Roman" w:cs="Times New Roman"/>
          <w:sz w:val="24"/>
          <w:szCs w:val="24"/>
        </w:rPr>
        <w:lastRenderedPageBreak/>
        <w:t>into before the war. Agreement which contemplate action hostile to a friendly state is unlawful and can’t be enforced.</w:t>
      </w:r>
      <w:r w:rsidR="0073405D" w:rsidRPr="005D6206">
        <w:rPr>
          <w:rStyle w:val="FootnoteReference"/>
          <w:rFonts w:ascii="Times New Roman" w:hAnsi="Times New Roman" w:cs="Times New Roman"/>
          <w:sz w:val="24"/>
          <w:szCs w:val="24"/>
        </w:rPr>
        <w:footnoteReference w:id="20"/>
      </w:r>
    </w:p>
    <w:p w:rsidR="00ED71E3" w:rsidRPr="001354D7" w:rsidRDefault="00ED71E3" w:rsidP="001354D7">
      <w:pPr>
        <w:pStyle w:val="ListParagraph"/>
        <w:numPr>
          <w:ilvl w:val="0"/>
          <w:numId w:val="6"/>
        </w:numPr>
        <w:spacing w:line="360" w:lineRule="auto"/>
        <w:jc w:val="both"/>
        <w:rPr>
          <w:rFonts w:ascii="Times New Roman" w:hAnsi="Times New Roman" w:cs="Times New Roman"/>
          <w:sz w:val="24"/>
          <w:szCs w:val="24"/>
        </w:rPr>
      </w:pPr>
      <w:r w:rsidRPr="001354D7">
        <w:rPr>
          <w:rFonts w:ascii="Times New Roman" w:hAnsi="Times New Roman" w:cs="Times New Roman"/>
          <w:b/>
          <w:sz w:val="24"/>
          <w:szCs w:val="24"/>
          <w:u w:val="single"/>
        </w:rPr>
        <w:t>MARRIAGE BROKERAGE CONTRACTS</w:t>
      </w:r>
    </w:p>
    <w:p w:rsidR="0073405D" w:rsidRPr="005D6206" w:rsidRDefault="00ED71E3" w:rsidP="005D6206">
      <w:pPr>
        <w:spacing w:line="360" w:lineRule="auto"/>
        <w:jc w:val="both"/>
        <w:rPr>
          <w:rFonts w:ascii="Times New Roman" w:hAnsi="Times New Roman" w:cs="Times New Roman"/>
          <w:sz w:val="24"/>
          <w:szCs w:val="24"/>
        </w:rPr>
      </w:pPr>
      <w:r w:rsidRPr="005D6206">
        <w:rPr>
          <w:rFonts w:ascii="Times New Roman" w:hAnsi="Times New Roman" w:cs="Times New Roman"/>
          <w:sz w:val="24"/>
          <w:szCs w:val="24"/>
        </w:rPr>
        <w:t>Agreements to procure marriages for reward are void on the ground that marriage ought to proceed from the free and voluntary decision of the parties. English law holds it bad or void not for the sake of the particular person but for the public that marriages may be on a proper foundation.</w:t>
      </w:r>
      <w:r w:rsidR="0073405D" w:rsidRPr="005D6206">
        <w:rPr>
          <w:rStyle w:val="FootnoteReference"/>
          <w:rFonts w:ascii="Times New Roman" w:hAnsi="Times New Roman" w:cs="Times New Roman"/>
          <w:sz w:val="24"/>
          <w:szCs w:val="24"/>
        </w:rPr>
        <w:footnoteReference w:id="21"/>
      </w:r>
      <w:r w:rsidRPr="005D6206">
        <w:rPr>
          <w:rFonts w:ascii="Times New Roman" w:hAnsi="Times New Roman" w:cs="Times New Roman"/>
          <w:sz w:val="24"/>
          <w:szCs w:val="24"/>
        </w:rPr>
        <w:t xml:space="preserve"> The views of Indian High Courts are different. One view is that every agreement to pay money to the father/guardian of a girl in consideration of his consent to her marriage is not necessarily unlawful, and each case must be judged by its own circumstances. </w:t>
      </w:r>
      <w:r w:rsidR="0073405D" w:rsidRPr="005D6206">
        <w:rPr>
          <w:rFonts w:ascii="Times New Roman" w:hAnsi="Times New Roman" w:cs="Times New Roman"/>
          <w:sz w:val="24"/>
          <w:szCs w:val="24"/>
        </w:rPr>
        <w:t xml:space="preserve">Such an agreement would be opposed to public policy only if parents are not seeking the welfare of the girl, but are giving her an ineligible husband. The other view is that such agreement is </w:t>
      </w:r>
      <w:r w:rsidR="0073405D" w:rsidRPr="005D6206">
        <w:rPr>
          <w:rFonts w:ascii="Times New Roman" w:hAnsi="Times New Roman" w:cs="Times New Roman"/>
          <w:i/>
          <w:sz w:val="24"/>
          <w:szCs w:val="24"/>
        </w:rPr>
        <w:t>per se</w:t>
      </w:r>
      <w:r w:rsidR="0073405D" w:rsidRPr="005D6206">
        <w:rPr>
          <w:rFonts w:ascii="Times New Roman" w:hAnsi="Times New Roman" w:cs="Times New Roman"/>
          <w:sz w:val="24"/>
          <w:szCs w:val="24"/>
        </w:rPr>
        <w:t xml:space="preserve"> opposed to public policy. The Law Commission of India, in its Thirteenth Report, recommended that such an agreement must be expressly declared unlawful and void.</w:t>
      </w:r>
      <w:r w:rsidR="0073405D" w:rsidRPr="005D6206">
        <w:rPr>
          <w:rStyle w:val="FootnoteReference"/>
          <w:rFonts w:ascii="Times New Roman" w:hAnsi="Times New Roman" w:cs="Times New Roman"/>
          <w:sz w:val="24"/>
          <w:szCs w:val="24"/>
        </w:rPr>
        <w:footnoteReference w:id="22"/>
      </w:r>
    </w:p>
    <w:p w:rsidR="0073405D" w:rsidRPr="005D6206" w:rsidRDefault="0073405D" w:rsidP="005D6206">
      <w:pPr>
        <w:spacing w:after="0" w:line="360" w:lineRule="auto"/>
        <w:ind w:firstLine="709"/>
        <w:jc w:val="both"/>
        <w:rPr>
          <w:rFonts w:ascii="Times New Roman" w:hAnsi="Times New Roman" w:cs="Times New Roman"/>
          <w:sz w:val="24"/>
          <w:szCs w:val="24"/>
        </w:rPr>
      </w:pPr>
    </w:p>
    <w:p w:rsidR="0073405D" w:rsidRPr="001354D7" w:rsidRDefault="0073405D" w:rsidP="001354D7">
      <w:pPr>
        <w:pStyle w:val="ListParagraph"/>
        <w:numPr>
          <w:ilvl w:val="0"/>
          <w:numId w:val="6"/>
        </w:numPr>
        <w:spacing w:line="360" w:lineRule="auto"/>
        <w:jc w:val="both"/>
        <w:rPr>
          <w:rFonts w:ascii="Times New Roman" w:hAnsi="Times New Roman" w:cs="Times New Roman"/>
          <w:sz w:val="24"/>
          <w:szCs w:val="24"/>
        </w:rPr>
      </w:pPr>
      <w:r w:rsidRPr="001354D7">
        <w:rPr>
          <w:rFonts w:ascii="Times New Roman" w:hAnsi="Times New Roman" w:cs="Times New Roman"/>
          <w:b/>
          <w:sz w:val="24"/>
          <w:szCs w:val="24"/>
          <w:u w:val="single"/>
        </w:rPr>
        <w:t>AGREEMENT TENDING TO INJURE THE PUBLIC SERVICE</w:t>
      </w:r>
    </w:p>
    <w:p w:rsidR="0073405D" w:rsidRPr="005D6206" w:rsidRDefault="0073405D" w:rsidP="005D6206">
      <w:pPr>
        <w:spacing w:line="360" w:lineRule="auto"/>
        <w:jc w:val="both"/>
        <w:rPr>
          <w:rFonts w:ascii="Times New Roman" w:hAnsi="Times New Roman" w:cs="Times New Roman"/>
          <w:sz w:val="24"/>
          <w:szCs w:val="24"/>
        </w:rPr>
      </w:pPr>
      <w:r w:rsidRPr="005D6206">
        <w:rPr>
          <w:rFonts w:ascii="Times New Roman" w:hAnsi="Times New Roman" w:cs="Times New Roman"/>
          <w:sz w:val="24"/>
          <w:szCs w:val="24"/>
        </w:rPr>
        <w:t>The public has an interest in the proper performance of their duty by public servants, and is entitled to be served by the fittest persons procurable. Contracts which have for their object the sale of public offices are illegal.</w:t>
      </w:r>
      <w:r w:rsidRPr="005D6206">
        <w:rPr>
          <w:rStyle w:val="FootnoteReference"/>
          <w:rFonts w:ascii="Times New Roman" w:hAnsi="Times New Roman" w:cs="Times New Roman"/>
          <w:sz w:val="24"/>
          <w:szCs w:val="24"/>
        </w:rPr>
        <w:footnoteReference w:id="23"/>
      </w:r>
      <w:r w:rsidRPr="005D6206">
        <w:rPr>
          <w:rFonts w:ascii="Times New Roman" w:hAnsi="Times New Roman" w:cs="Times New Roman"/>
          <w:sz w:val="24"/>
          <w:szCs w:val="24"/>
        </w:rPr>
        <w:t xml:space="preserve"> An agreement, the object of which is to use the influence with the ministers of government to obtain a favourable decision, is destructive of sound and good administration. It showed a tendency to corrupt public servants to give favourable decisions otherwise than on their own merits. Such an agreement is opposed to public policy.</w:t>
      </w:r>
      <w:r w:rsidRPr="005D6206">
        <w:rPr>
          <w:rStyle w:val="FootnoteReference"/>
          <w:rFonts w:ascii="Times New Roman" w:hAnsi="Times New Roman" w:cs="Times New Roman"/>
          <w:sz w:val="24"/>
          <w:szCs w:val="24"/>
        </w:rPr>
        <w:footnoteReference w:id="24"/>
      </w:r>
    </w:p>
    <w:p w:rsidR="00323710" w:rsidRDefault="00323710" w:rsidP="001354D7">
      <w:pPr>
        <w:rPr>
          <w:rFonts w:ascii="Times New Roman" w:hAnsi="Times New Roman" w:cs="Times New Roman"/>
          <w:b/>
          <w:sz w:val="24"/>
          <w:u w:val="single"/>
        </w:rPr>
      </w:pPr>
    </w:p>
    <w:p w:rsidR="0073405D" w:rsidRPr="001354D7" w:rsidRDefault="0073405D" w:rsidP="001354D7">
      <w:pPr>
        <w:rPr>
          <w:rFonts w:ascii="Times New Roman" w:hAnsi="Times New Roman" w:cs="Times New Roman"/>
          <w:b/>
          <w:sz w:val="24"/>
          <w:u w:val="single"/>
        </w:rPr>
      </w:pPr>
      <w:r w:rsidRPr="001354D7">
        <w:rPr>
          <w:rFonts w:ascii="Times New Roman" w:hAnsi="Times New Roman" w:cs="Times New Roman"/>
          <w:b/>
          <w:sz w:val="24"/>
          <w:u w:val="single"/>
        </w:rPr>
        <w:lastRenderedPageBreak/>
        <w:t>PRINCIPLES OF PUBLIC POLICY</w:t>
      </w:r>
    </w:p>
    <w:p w:rsidR="0073405D" w:rsidRPr="005D6206" w:rsidRDefault="0073405D" w:rsidP="005D6206">
      <w:pPr>
        <w:spacing w:line="360" w:lineRule="auto"/>
        <w:jc w:val="both"/>
        <w:rPr>
          <w:rFonts w:ascii="Times New Roman" w:hAnsi="Times New Roman" w:cs="Times New Roman"/>
          <w:sz w:val="24"/>
          <w:szCs w:val="24"/>
          <w:lang w:val="en-US"/>
        </w:rPr>
      </w:pPr>
      <w:r w:rsidRPr="005D6206">
        <w:rPr>
          <w:rFonts w:ascii="Times New Roman" w:hAnsi="Times New Roman" w:cs="Times New Roman"/>
          <w:sz w:val="24"/>
          <w:szCs w:val="24"/>
          <w:lang w:val="en-US"/>
        </w:rPr>
        <w:t>The principles governing Public Policy must be and are capable of expansion or modification. Practices which were considered perfectly normal at one time have today become obnoxious and oppressive to public conscience.</w:t>
      </w:r>
    </w:p>
    <w:p w:rsidR="0073405D" w:rsidRPr="005D6206" w:rsidRDefault="0073405D" w:rsidP="005D6206">
      <w:pPr>
        <w:spacing w:after="0" w:line="360" w:lineRule="auto"/>
        <w:jc w:val="both"/>
        <w:rPr>
          <w:rFonts w:ascii="Times New Roman" w:hAnsi="Times New Roman" w:cs="Times New Roman"/>
          <w:sz w:val="24"/>
          <w:szCs w:val="24"/>
          <w:lang w:val="en-US"/>
        </w:rPr>
      </w:pPr>
      <w:r w:rsidRPr="005D6206">
        <w:rPr>
          <w:rFonts w:ascii="Times New Roman" w:hAnsi="Times New Roman" w:cs="Times New Roman"/>
          <w:sz w:val="24"/>
          <w:szCs w:val="24"/>
          <w:lang w:val="en-US"/>
        </w:rPr>
        <w:t>The Doctrine of public policy is only a branch of common law and, just like any other branch of common law; it is governed by the precedents. The principles have been crystallized under different heads, and though it is permissible for courts to apply them to different situations, the doctrine should only be evoked in clear and incontestable cases of harm to the public. Though the heads are not closed, and though theoretically it may be permissible to evolve a new head under exceptional circumstances of a dynamic world, it is advisable in the interest of stability of society not to make any attempt to discover new heads in these days. The court is not the legislator; it cannot initiate the principle; it can only state or formulate it if it already exists.</w:t>
      </w:r>
      <w:r w:rsidRPr="005D6206">
        <w:rPr>
          <w:rStyle w:val="FootnoteReference"/>
          <w:rFonts w:ascii="Times New Roman" w:hAnsi="Times New Roman" w:cs="Times New Roman"/>
          <w:sz w:val="24"/>
          <w:szCs w:val="24"/>
          <w:lang w:val="en-US"/>
        </w:rPr>
        <w:footnoteReference w:id="25"/>
      </w:r>
      <w:r w:rsidRPr="005D6206">
        <w:rPr>
          <w:rFonts w:ascii="Times New Roman" w:hAnsi="Times New Roman" w:cs="Times New Roman"/>
          <w:sz w:val="24"/>
          <w:szCs w:val="24"/>
          <w:lang w:val="en-US"/>
        </w:rPr>
        <w:t xml:space="preserve"> The principles governing public policy are capable on occasion, of expansion or modification. If there is no head of public policy, which covers a particular case, then a court must </w:t>
      </w:r>
      <w:r w:rsidRPr="005D6206">
        <w:rPr>
          <w:rFonts w:ascii="Times New Roman" w:hAnsi="Times New Roman" w:cs="Times New Roman"/>
          <w:b/>
          <w:bCs/>
          <w:i/>
          <w:iCs/>
          <w:sz w:val="24"/>
          <w:szCs w:val="24"/>
          <w:lang w:val="en-US"/>
        </w:rPr>
        <w:t>in consonance with public conscience</w:t>
      </w:r>
      <w:r w:rsidRPr="005D6206">
        <w:rPr>
          <w:rFonts w:ascii="Times New Roman" w:hAnsi="Times New Roman" w:cs="Times New Roman"/>
          <w:sz w:val="24"/>
          <w:szCs w:val="24"/>
          <w:lang w:val="en-US"/>
        </w:rPr>
        <w:t xml:space="preserve"> and in keeping with public good and public interest declare such practice which were considered normal at one time, but have become obnoxious and oppressive to public conscience, to be opposed to public policy. It is to be judged by dominant opinions of the judges for the interest of the society as a whole. Sometimes, such case may come before the court which cannot be decided precisely by the use of precedents in form of different public policy heads. If there are no precedents which can be applied on particular case, then the court decides the case by the guidance of </w:t>
      </w:r>
      <w:r w:rsidRPr="005D6206">
        <w:rPr>
          <w:rFonts w:ascii="Times New Roman" w:hAnsi="Times New Roman" w:cs="Times New Roman"/>
          <w:b/>
          <w:bCs/>
          <w:i/>
          <w:iCs/>
          <w:sz w:val="24"/>
          <w:szCs w:val="24"/>
          <w:lang w:val="en-US"/>
        </w:rPr>
        <w:t xml:space="preserve">Fundamental Rights, Directive Principles of State Policy and in the light of Preamble to the Constitution of India. </w:t>
      </w:r>
    </w:p>
    <w:p w:rsidR="0073405D" w:rsidRPr="005D6206" w:rsidRDefault="0073405D" w:rsidP="005D6206">
      <w:pPr>
        <w:spacing w:after="0" w:line="360" w:lineRule="auto"/>
        <w:jc w:val="both"/>
        <w:rPr>
          <w:rFonts w:ascii="Times New Roman" w:hAnsi="Times New Roman" w:cs="Times New Roman"/>
          <w:bCs/>
          <w:iCs/>
          <w:sz w:val="24"/>
          <w:szCs w:val="24"/>
          <w:lang w:val="en-US"/>
        </w:rPr>
      </w:pPr>
      <w:r w:rsidRPr="005D6206">
        <w:rPr>
          <w:rFonts w:ascii="Times New Roman" w:hAnsi="Times New Roman" w:cs="Times New Roman"/>
          <w:bCs/>
          <w:iCs/>
          <w:sz w:val="24"/>
          <w:szCs w:val="24"/>
          <w:lang w:val="en-US"/>
        </w:rPr>
        <w:t>A contract which is “opposed to public policy” is a defense under s.23 of the Contract Act. While deciding the validity of the contract the court will consider the following:</w:t>
      </w:r>
    </w:p>
    <w:p w:rsidR="0073405D" w:rsidRPr="005D6206" w:rsidRDefault="0073405D" w:rsidP="005D6206">
      <w:pPr>
        <w:pStyle w:val="ListParagraph"/>
        <w:numPr>
          <w:ilvl w:val="0"/>
          <w:numId w:val="4"/>
        </w:numPr>
        <w:spacing w:after="0" w:line="360" w:lineRule="auto"/>
        <w:ind w:left="1134"/>
        <w:jc w:val="both"/>
        <w:rPr>
          <w:rFonts w:ascii="Times New Roman" w:hAnsi="Times New Roman" w:cs="Times New Roman"/>
          <w:sz w:val="24"/>
          <w:szCs w:val="24"/>
        </w:rPr>
      </w:pPr>
      <w:r w:rsidRPr="005D6206">
        <w:rPr>
          <w:rFonts w:ascii="Times New Roman" w:hAnsi="Times New Roman" w:cs="Times New Roman"/>
          <w:sz w:val="24"/>
          <w:szCs w:val="24"/>
        </w:rPr>
        <w:t>Pleadings in terms of Or. 6, r. 1, CPC;</w:t>
      </w:r>
    </w:p>
    <w:p w:rsidR="0073405D" w:rsidRPr="005D6206" w:rsidRDefault="0073405D" w:rsidP="005D6206">
      <w:pPr>
        <w:pStyle w:val="ListParagraph"/>
        <w:numPr>
          <w:ilvl w:val="0"/>
          <w:numId w:val="4"/>
        </w:numPr>
        <w:spacing w:after="0" w:line="360" w:lineRule="auto"/>
        <w:ind w:left="1134"/>
        <w:jc w:val="both"/>
        <w:rPr>
          <w:rFonts w:ascii="Times New Roman" w:hAnsi="Times New Roman" w:cs="Times New Roman"/>
          <w:sz w:val="24"/>
          <w:szCs w:val="24"/>
        </w:rPr>
      </w:pPr>
      <w:r w:rsidRPr="005D6206">
        <w:rPr>
          <w:rFonts w:ascii="Times New Roman" w:hAnsi="Times New Roman" w:cs="Times New Roman"/>
          <w:sz w:val="24"/>
          <w:szCs w:val="24"/>
        </w:rPr>
        <w:t>Statue governing the case;</w:t>
      </w:r>
    </w:p>
    <w:p w:rsidR="0073405D" w:rsidRPr="005D6206" w:rsidRDefault="0073405D" w:rsidP="005D6206">
      <w:pPr>
        <w:pStyle w:val="ListParagraph"/>
        <w:numPr>
          <w:ilvl w:val="0"/>
          <w:numId w:val="4"/>
        </w:numPr>
        <w:spacing w:after="0" w:line="360" w:lineRule="auto"/>
        <w:ind w:left="1134"/>
        <w:jc w:val="both"/>
        <w:rPr>
          <w:rFonts w:ascii="Times New Roman" w:hAnsi="Times New Roman" w:cs="Times New Roman"/>
          <w:sz w:val="24"/>
          <w:szCs w:val="24"/>
        </w:rPr>
      </w:pPr>
      <w:r w:rsidRPr="005D6206">
        <w:rPr>
          <w:rFonts w:ascii="Times New Roman" w:hAnsi="Times New Roman" w:cs="Times New Roman"/>
          <w:sz w:val="24"/>
          <w:szCs w:val="24"/>
        </w:rPr>
        <w:t>Provisions of Parts III and IV of the Constitution of India;</w:t>
      </w:r>
    </w:p>
    <w:p w:rsidR="0073405D" w:rsidRPr="005D6206" w:rsidRDefault="0073405D" w:rsidP="005D6206">
      <w:pPr>
        <w:pStyle w:val="ListParagraph"/>
        <w:numPr>
          <w:ilvl w:val="0"/>
          <w:numId w:val="4"/>
        </w:numPr>
        <w:spacing w:after="0" w:line="360" w:lineRule="auto"/>
        <w:ind w:left="1134"/>
        <w:jc w:val="both"/>
        <w:rPr>
          <w:rFonts w:ascii="Times New Roman" w:hAnsi="Times New Roman" w:cs="Times New Roman"/>
          <w:sz w:val="24"/>
          <w:szCs w:val="24"/>
        </w:rPr>
      </w:pPr>
      <w:r w:rsidRPr="005D6206">
        <w:rPr>
          <w:rFonts w:ascii="Times New Roman" w:hAnsi="Times New Roman" w:cs="Times New Roman"/>
          <w:sz w:val="24"/>
          <w:szCs w:val="24"/>
        </w:rPr>
        <w:t>Expert evidence, if any;</w:t>
      </w:r>
    </w:p>
    <w:p w:rsidR="0073405D" w:rsidRDefault="0073405D" w:rsidP="005D6206">
      <w:pPr>
        <w:pStyle w:val="ListParagraph"/>
        <w:numPr>
          <w:ilvl w:val="0"/>
          <w:numId w:val="4"/>
        </w:numPr>
        <w:spacing w:after="0" w:line="360" w:lineRule="auto"/>
        <w:ind w:left="1134"/>
        <w:jc w:val="both"/>
        <w:rPr>
          <w:rFonts w:ascii="Times New Roman" w:hAnsi="Times New Roman" w:cs="Times New Roman"/>
          <w:sz w:val="24"/>
          <w:szCs w:val="24"/>
        </w:rPr>
      </w:pPr>
      <w:r w:rsidRPr="005D6206">
        <w:rPr>
          <w:rFonts w:ascii="Times New Roman" w:hAnsi="Times New Roman" w:cs="Times New Roman"/>
          <w:sz w:val="24"/>
          <w:szCs w:val="24"/>
        </w:rPr>
        <w:t xml:space="preserve">Other relevant factors, if any. </w:t>
      </w:r>
    </w:p>
    <w:p w:rsidR="009F7A83" w:rsidRDefault="009F7A83" w:rsidP="009F7A83">
      <w:pPr>
        <w:spacing w:after="0" w:line="360" w:lineRule="auto"/>
        <w:jc w:val="both"/>
        <w:rPr>
          <w:rFonts w:ascii="Times New Roman" w:hAnsi="Times New Roman" w:cs="Times New Roman"/>
          <w:sz w:val="24"/>
          <w:szCs w:val="24"/>
        </w:rPr>
      </w:pPr>
      <w:r>
        <w:rPr>
          <w:rFonts w:ascii="Times New Roman" w:hAnsi="Times New Roman" w:cs="Times New Roman"/>
          <w:b/>
          <w:sz w:val="24"/>
          <w:szCs w:val="24"/>
          <w:u w:val="single"/>
        </w:rPr>
        <w:lastRenderedPageBreak/>
        <w:t>JUDICIAL INTERPRETATION</w:t>
      </w:r>
    </w:p>
    <w:p w:rsidR="009F7A83" w:rsidRPr="00BE5FE7" w:rsidRDefault="009F7A83" w:rsidP="009F7A83">
      <w:pPr>
        <w:spacing w:after="0" w:line="360" w:lineRule="auto"/>
        <w:jc w:val="both"/>
        <w:rPr>
          <w:rFonts w:ascii="Times New Roman" w:hAnsi="Times New Roman" w:cs="Times New Roman"/>
          <w:sz w:val="24"/>
        </w:rPr>
      </w:pPr>
      <w:r>
        <w:rPr>
          <w:rFonts w:ascii="Times New Roman" w:hAnsi="Times New Roman" w:cs="Times New Roman"/>
          <w:sz w:val="24"/>
          <w:szCs w:val="24"/>
        </w:rPr>
        <w:t xml:space="preserve">The landmark case with regards to public policy in India is </w:t>
      </w:r>
      <w:r w:rsidRPr="009F7A83">
        <w:rPr>
          <w:rFonts w:ascii="Times New Roman" w:hAnsi="Times New Roman" w:cs="Times New Roman"/>
          <w:sz w:val="24"/>
          <w:szCs w:val="24"/>
        </w:rPr>
        <w:t>Central Inland Water Transport Corp. Ltd.</w:t>
      </w:r>
      <w:r>
        <w:rPr>
          <w:rFonts w:ascii="Times New Roman" w:hAnsi="Times New Roman" w:cs="Times New Roman"/>
          <w:sz w:val="24"/>
          <w:szCs w:val="24"/>
        </w:rPr>
        <w:t>v</w:t>
      </w:r>
      <w:r w:rsidRPr="009F7A83">
        <w:rPr>
          <w:rFonts w:ascii="Times New Roman" w:hAnsi="Times New Roman" w:cs="Times New Roman"/>
          <w:sz w:val="24"/>
          <w:szCs w:val="24"/>
        </w:rPr>
        <w:t>.</w:t>
      </w:r>
      <w:r>
        <w:rPr>
          <w:rFonts w:ascii="Times New Roman" w:hAnsi="Times New Roman" w:cs="Times New Roman"/>
          <w:sz w:val="24"/>
          <w:szCs w:val="24"/>
        </w:rPr>
        <w:t xml:space="preserve"> </w:t>
      </w:r>
      <w:r w:rsidRPr="009F7A83">
        <w:rPr>
          <w:rFonts w:ascii="Times New Roman" w:hAnsi="Times New Roman" w:cs="Times New Roman"/>
          <w:sz w:val="24"/>
          <w:szCs w:val="24"/>
        </w:rPr>
        <w:t>Brojo Nath Ganguly</w:t>
      </w:r>
      <w:r>
        <w:rPr>
          <w:rFonts w:ascii="Times New Roman" w:hAnsi="Times New Roman" w:cs="Times New Roman"/>
          <w:sz w:val="24"/>
          <w:szCs w:val="24"/>
        </w:rPr>
        <w:t xml:space="preserve">. </w:t>
      </w:r>
      <w:r>
        <w:rPr>
          <w:rFonts w:ascii="Times New Roman" w:hAnsi="Times New Roman" w:cs="Times New Roman"/>
          <w:sz w:val="24"/>
        </w:rPr>
        <w:t xml:space="preserve">In this case, Brojo Nath Ganguly and Tarun Kanti Sengupta had been working in Rivers Steam Navigation Company. A scheme of arrangement was entered into between the said company and the appellant corporation, whereby the company was taken over by the corporation. The services of the two respondents were also taken over by the appellant corporation. The letters of appointment to the two respondents stated that the respondents were subject to the service rules and regulations including the conduct rules framed by corporation. The respondents had no choice but to accept those service conditions, otherwise their service would have been terminated. According to one of the rules, viz., Rule 9 clause (i), the services of a permanent employee could be terminated by the corporation by giving a 3months’ notice or paying a salary for the notice period. The said clause also empowered the employee to resign the job by giving 3 months’ notice. The services of the two respondents were terminated by giving the notice under the above mentioned rule. Along with the notice was sent a cheque for the salary of 3 months to each of these employees in lieu of the notice period. The main issue which come before the SC was </w:t>
      </w:r>
      <w:r>
        <w:rPr>
          <w:rFonts w:ascii="Times New Roman" w:hAnsi="Times New Roman" w:cs="Times New Roman"/>
          <w:sz w:val="24"/>
          <w:lang w:val="en-IN"/>
        </w:rPr>
        <w:t>w</w:t>
      </w:r>
      <w:r w:rsidRPr="00161EA3">
        <w:rPr>
          <w:rFonts w:ascii="Times New Roman" w:hAnsi="Times New Roman" w:cs="Times New Roman"/>
          <w:sz w:val="24"/>
          <w:lang w:val="en-IN"/>
        </w:rPr>
        <w:t xml:space="preserve">hether an unconscionable term in a contract of employment is void under </w:t>
      </w:r>
      <w:r w:rsidRPr="009F7A83">
        <w:rPr>
          <w:rFonts w:ascii="Times New Roman" w:hAnsi="Times New Roman" w:cs="Times New Roman"/>
          <w:sz w:val="24"/>
          <w:lang w:val="en-IN"/>
        </w:rPr>
        <w:t xml:space="preserve">Section </w:t>
      </w:r>
      <w:hyperlink r:id="rId7" w:history="1">
        <w:r w:rsidRPr="009F7A83">
          <w:rPr>
            <w:rStyle w:val="Hyperlink"/>
            <w:rFonts w:ascii="Times New Roman" w:hAnsi="Times New Roman" w:cs="Times New Roman"/>
            <w:color w:val="auto"/>
            <w:sz w:val="24"/>
            <w:u w:val="none"/>
            <w:lang w:val="en-IN"/>
          </w:rPr>
          <w:t>23</w:t>
        </w:r>
      </w:hyperlink>
      <w:r w:rsidRPr="009F7A83">
        <w:rPr>
          <w:rFonts w:ascii="Times New Roman" w:hAnsi="Times New Roman" w:cs="Times New Roman"/>
          <w:sz w:val="24"/>
          <w:lang w:val="en-IN"/>
        </w:rPr>
        <w:t xml:space="preserve"> of the Indian Contract Act, 1872, as being </w:t>
      </w:r>
      <w:r w:rsidRPr="009F7A83">
        <w:rPr>
          <w:rFonts w:ascii="Times New Roman" w:hAnsi="Times New Roman" w:cs="Times New Roman"/>
          <w:b/>
          <w:i/>
          <w:sz w:val="24"/>
          <w:lang w:val="en-IN"/>
        </w:rPr>
        <w:t>opposed to public policy</w:t>
      </w:r>
      <w:r w:rsidRPr="009F7A83">
        <w:rPr>
          <w:rFonts w:ascii="Times New Roman" w:hAnsi="Times New Roman" w:cs="Times New Roman"/>
          <w:sz w:val="24"/>
          <w:lang w:val="en-IN"/>
        </w:rPr>
        <w:t xml:space="preserve"> and, when such a term is contained in a contract of employment entered into with a Government company, is also void as infringing Article </w:t>
      </w:r>
      <w:hyperlink r:id="rId8" w:history="1">
        <w:r w:rsidRPr="009F7A83">
          <w:rPr>
            <w:rStyle w:val="Hyperlink"/>
            <w:rFonts w:ascii="Times New Roman" w:hAnsi="Times New Roman" w:cs="Times New Roman"/>
            <w:color w:val="auto"/>
            <w:sz w:val="24"/>
            <w:u w:val="none"/>
            <w:lang w:val="en-IN"/>
          </w:rPr>
          <w:t>14</w:t>
        </w:r>
      </w:hyperlink>
      <w:r w:rsidRPr="009F7A83">
        <w:rPr>
          <w:rFonts w:ascii="Times New Roman" w:hAnsi="Times New Roman" w:cs="Times New Roman"/>
          <w:sz w:val="24"/>
          <w:lang w:val="en-IN"/>
        </w:rPr>
        <w:t xml:space="preserve"> of the Constitution in case a Government company is "the State" under Article </w:t>
      </w:r>
      <w:hyperlink r:id="rId9" w:history="1">
        <w:r w:rsidRPr="009F7A83">
          <w:rPr>
            <w:rStyle w:val="Hyperlink"/>
            <w:rFonts w:ascii="Times New Roman" w:hAnsi="Times New Roman" w:cs="Times New Roman"/>
            <w:color w:val="auto"/>
            <w:sz w:val="24"/>
            <w:u w:val="none"/>
            <w:lang w:val="en-IN"/>
          </w:rPr>
          <w:t>12</w:t>
        </w:r>
      </w:hyperlink>
      <w:r w:rsidRPr="009F7A83">
        <w:rPr>
          <w:rFonts w:ascii="Times New Roman" w:hAnsi="Times New Roman" w:cs="Times New Roman"/>
          <w:sz w:val="24"/>
          <w:lang w:val="en-IN"/>
        </w:rPr>
        <w:t xml:space="preserve"> of the Constitution?</w:t>
      </w:r>
      <w:r w:rsidRPr="00161EA3">
        <w:rPr>
          <w:rFonts w:ascii="Times New Roman" w:hAnsi="Times New Roman" w:cs="Times New Roman"/>
          <w:sz w:val="24"/>
          <w:lang w:val="en-IN"/>
        </w:rPr>
        <w:t xml:space="preserve"> </w:t>
      </w:r>
      <w:r w:rsidRPr="00BE5FE7">
        <w:rPr>
          <w:rFonts w:ascii="Times New Roman" w:hAnsi="Times New Roman" w:cs="Times New Roman"/>
          <w:sz w:val="24"/>
          <w:lang w:val="en-US"/>
        </w:rPr>
        <w:t>The court held that the rule for simple termination was opposed to public policy under section 23 of the Indian Contract Act and hence void.</w:t>
      </w:r>
      <w:r>
        <w:rPr>
          <w:rFonts w:ascii="Times New Roman" w:hAnsi="Times New Roman" w:cs="Times New Roman"/>
          <w:sz w:val="24"/>
          <w:lang w:val="en-US"/>
        </w:rPr>
        <w:t xml:space="preserve"> </w:t>
      </w:r>
      <w:r w:rsidRPr="00BE5FE7">
        <w:rPr>
          <w:rFonts w:ascii="Times New Roman" w:hAnsi="Times New Roman" w:cs="Times New Roman"/>
          <w:sz w:val="24"/>
          <w:lang w:val="en-US"/>
        </w:rPr>
        <w:t>Court said that these types of contracts tend to create a sense of insecurity in the minds of those to whom it applies and consequently, it is against public good. Such a clause, therefore, is opposed to public policy, and being opposed to public policy, it is void under s.23 of the Indian Contract Act.</w:t>
      </w:r>
      <w:r>
        <w:rPr>
          <w:rFonts w:ascii="Times New Roman" w:hAnsi="Times New Roman" w:cs="Times New Roman"/>
          <w:sz w:val="24"/>
        </w:rPr>
        <w:t xml:space="preserve"> </w:t>
      </w:r>
      <w:r w:rsidRPr="00BE5FE7">
        <w:rPr>
          <w:rFonts w:ascii="Times New Roman" w:hAnsi="Times New Roman" w:cs="Times New Roman"/>
          <w:sz w:val="24"/>
          <w:lang w:val="en-US"/>
        </w:rPr>
        <w:t>Court in this case evolved a principle that “a term in a contract which threatens job security of many employees is opposed to public policy when such contract is entered between the parties with gross inequality in bargaining power.”</w:t>
      </w:r>
    </w:p>
    <w:p w:rsidR="0073405D" w:rsidRPr="001354D7" w:rsidRDefault="0073405D" w:rsidP="001354D7">
      <w:pPr>
        <w:rPr>
          <w:rFonts w:ascii="Times New Roman" w:hAnsi="Times New Roman" w:cs="Times New Roman"/>
          <w:b/>
          <w:sz w:val="24"/>
          <w:u w:val="single"/>
        </w:rPr>
      </w:pPr>
      <w:r w:rsidRPr="001354D7">
        <w:rPr>
          <w:rFonts w:ascii="Times New Roman" w:hAnsi="Times New Roman" w:cs="Times New Roman"/>
          <w:b/>
          <w:sz w:val="24"/>
          <w:u w:val="single"/>
        </w:rPr>
        <w:t>CRITICAL ANALYSIS</w:t>
      </w:r>
      <w:r w:rsidR="009F7A83">
        <w:rPr>
          <w:rFonts w:ascii="Times New Roman" w:hAnsi="Times New Roman" w:cs="Times New Roman"/>
          <w:b/>
          <w:sz w:val="24"/>
          <w:u w:val="single"/>
        </w:rPr>
        <w:t xml:space="preserve"> OF CONCEPT </w:t>
      </w:r>
    </w:p>
    <w:p w:rsidR="008E3409" w:rsidRPr="005D6206" w:rsidRDefault="0073405D" w:rsidP="005D6206">
      <w:pPr>
        <w:spacing w:line="360" w:lineRule="auto"/>
        <w:jc w:val="both"/>
        <w:rPr>
          <w:rFonts w:ascii="Times New Roman" w:hAnsi="Times New Roman" w:cs="Times New Roman"/>
          <w:sz w:val="24"/>
          <w:szCs w:val="24"/>
        </w:rPr>
      </w:pPr>
      <w:r w:rsidRPr="005D6206">
        <w:rPr>
          <w:rFonts w:ascii="Times New Roman" w:hAnsi="Times New Roman" w:cs="Times New Roman"/>
          <w:sz w:val="24"/>
          <w:szCs w:val="24"/>
        </w:rPr>
        <w:t xml:space="preserve">Public policy is a variable notion, depending on changing manners, morals and economic conditions. In theory, this flexibility of the doctrine of public policy could provide a judge with an excuse for invalidating any contract which he violently disliked. With this danger in mind </w:t>
      </w:r>
      <w:r w:rsidRPr="005D6206">
        <w:rPr>
          <w:rFonts w:ascii="Times New Roman" w:hAnsi="Times New Roman" w:cs="Times New Roman"/>
          <w:sz w:val="24"/>
          <w:szCs w:val="24"/>
        </w:rPr>
        <w:lastRenderedPageBreak/>
        <w:t>judges have sometimes criticized the doctrine of public policy. In 1824, Burrough J. described it as “a very unruly horse and when once you get astride it you never know where it will carry you. It may lead you from the sound law”.</w:t>
      </w:r>
      <w:r w:rsidRPr="005D6206">
        <w:rPr>
          <w:rStyle w:val="FootnoteReference"/>
          <w:rFonts w:ascii="Times New Roman" w:hAnsi="Times New Roman" w:cs="Times New Roman"/>
          <w:sz w:val="24"/>
          <w:szCs w:val="24"/>
        </w:rPr>
        <w:footnoteReference w:id="26"/>
      </w:r>
      <w:r w:rsidRPr="005D6206">
        <w:rPr>
          <w:rFonts w:ascii="Times New Roman" w:hAnsi="Times New Roman" w:cs="Times New Roman"/>
          <w:sz w:val="24"/>
          <w:szCs w:val="24"/>
        </w:rPr>
        <w:t xml:space="preserve"> And Lord Halsbury has denied that the court could “invent a new head of public policy”.</w:t>
      </w:r>
      <w:r w:rsidRPr="005D6206">
        <w:rPr>
          <w:rStyle w:val="FootnoteReference"/>
          <w:rFonts w:ascii="Times New Roman" w:hAnsi="Times New Roman" w:cs="Times New Roman"/>
          <w:sz w:val="24"/>
          <w:szCs w:val="24"/>
        </w:rPr>
        <w:footnoteReference w:id="27"/>
      </w:r>
      <w:r w:rsidRPr="005D6206">
        <w:rPr>
          <w:rFonts w:ascii="Times New Roman" w:hAnsi="Times New Roman" w:cs="Times New Roman"/>
          <w:sz w:val="24"/>
          <w:szCs w:val="24"/>
        </w:rPr>
        <w:t xml:space="preserve"> On the other hand, the law does not adapt itself to changes in economic and social conditions, as can be seen particularly from the development of the rules as to contracts in restraint of trade. This point has often been recognized judicially. Thus Lord Haldane has said: “What the law recognises as contrary to public policy turns out to vary greatly from time to time”.</w:t>
      </w:r>
      <w:r w:rsidRPr="005D6206">
        <w:rPr>
          <w:rStyle w:val="FootnoteReference"/>
          <w:rFonts w:ascii="Times New Roman" w:hAnsi="Times New Roman" w:cs="Times New Roman"/>
          <w:sz w:val="24"/>
          <w:szCs w:val="24"/>
        </w:rPr>
        <w:footnoteReference w:id="28"/>
      </w:r>
      <w:r w:rsidRPr="005D6206">
        <w:rPr>
          <w:rFonts w:ascii="Times New Roman" w:hAnsi="Times New Roman" w:cs="Times New Roman"/>
          <w:sz w:val="24"/>
          <w:szCs w:val="24"/>
        </w:rPr>
        <w:t xml:space="preserve"> And Lord Denning has put a similar point of view: “With a good man in the saddle, the unruly horse can be kept in control. It can jump over obstacles”.</w:t>
      </w:r>
      <w:r w:rsidRPr="005D6206">
        <w:rPr>
          <w:rStyle w:val="FootnoteReference"/>
          <w:rFonts w:ascii="Times New Roman" w:hAnsi="Times New Roman" w:cs="Times New Roman"/>
          <w:sz w:val="24"/>
          <w:szCs w:val="24"/>
        </w:rPr>
        <w:footnoteReference w:id="29"/>
      </w:r>
      <w:r w:rsidRPr="005D6206">
        <w:rPr>
          <w:rFonts w:ascii="Times New Roman" w:hAnsi="Times New Roman" w:cs="Times New Roman"/>
          <w:sz w:val="24"/>
          <w:szCs w:val="24"/>
        </w:rPr>
        <w:t xml:space="preserve"> The present attitude of the courts represents a compromise between the flexibility inherent in the notion of public policy and the need for certainty in commercial affairs.</w:t>
      </w:r>
      <w:r w:rsidR="007E4DD4" w:rsidRPr="005D6206">
        <w:rPr>
          <w:rFonts w:ascii="Times New Roman" w:hAnsi="Times New Roman" w:cs="Times New Roman"/>
          <w:sz w:val="24"/>
          <w:szCs w:val="24"/>
        </w:rPr>
        <w:t xml:space="preserve"> </w:t>
      </w:r>
      <w:r w:rsidR="007E4DD4" w:rsidRPr="005D6206">
        <w:rPr>
          <w:rFonts w:ascii="Times New Roman" w:hAnsi="Times New Roman" w:cs="Times New Roman"/>
          <w:iCs/>
          <w:sz w:val="24"/>
          <w:szCs w:val="24"/>
          <w:lang w:val="en-US"/>
        </w:rPr>
        <w:t>Where prohibited activity takes place during the performance of a contract which is not itself expressly or impliedly prohibited by the statute, the question whether the contract is unenforceable in the light of public policy must still be relevant. In applying the public policy test, courts should seek ways of increasing certainty and consistency. In short, public policy all depends on its holding- how it is taken and interpretated. It can be taken to new horizons. The unruly horse, “public policy”, can be ridden over a new path. How safe and peaceful the ride will be, overcoming the hurdles, is a question that depends on the efficiency and expertise of the future judicial equestrians, holding the reins of the “unruly horse”.</w:t>
      </w:r>
      <w:r w:rsidR="007E4DD4" w:rsidRPr="005D6206">
        <w:rPr>
          <w:rFonts w:ascii="Times New Roman" w:hAnsi="Times New Roman" w:cs="Times New Roman"/>
          <w:sz w:val="24"/>
          <w:szCs w:val="24"/>
          <w:lang w:val="en-US"/>
        </w:rPr>
        <w:t xml:space="preserve"> I would like to conclude with the words of </w:t>
      </w:r>
      <w:r w:rsidR="007E4DD4" w:rsidRPr="005D6206">
        <w:rPr>
          <w:rFonts w:ascii="Times New Roman" w:hAnsi="Times New Roman" w:cs="Times New Roman"/>
          <w:bCs/>
          <w:sz w:val="24"/>
          <w:szCs w:val="24"/>
          <w:lang w:val="en-US"/>
        </w:rPr>
        <w:t>LORD DENNING:</w:t>
      </w:r>
      <w:r w:rsidR="007E4DD4" w:rsidRPr="005D6206">
        <w:rPr>
          <w:rFonts w:ascii="Times New Roman" w:hAnsi="Times New Roman" w:cs="Times New Roman"/>
          <w:i/>
          <w:sz w:val="24"/>
          <w:szCs w:val="24"/>
          <w:lang w:val="en-US"/>
        </w:rPr>
        <w:t xml:space="preserve"> “</w:t>
      </w:r>
      <w:r w:rsidR="007E4DD4" w:rsidRPr="005D6206">
        <w:rPr>
          <w:rFonts w:ascii="Times New Roman" w:hAnsi="Times New Roman" w:cs="Times New Roman"/>
          <w:bCs/>
          <w:i/>
          <w:sz w:val="24"/>
          <w:szCs w:val="24"/>
          <w:lang w:val="en-US"/>
        </w:rPr>
        <w:t>With a good man in saddle this unruly horse of public policy can be kept under control and be managed to jump over all obstacles.”</w:t>
      </w:r>
    </w:p>
    <w:sectPr w:rsidR="008E3409" w:rsidRPr="005D6206" w:rsidSect="008E340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20B16" w:rsidRDefault="00F20B16" w:rsidP="00082142">
      <w:pPr>
        <w:spacing w:after="0" w:line="240" w:lineRule="auto"/>
      </w:pPr>
      <w:r>
        <w:separator/>
      </w:r>
    </w:p>
  </w:endnote>
  <w:endnote w:type="continuationSeparator" w:id="1">
    <w:p w:rsidR="00F20B16" w:rsidRDefault="00F20B16" w:rsidP="0008214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20B16" w:rsidRDefault="00F20B16" w:rsidP="00082142">
      <w:pPr>
        <w:spacing w:after="0" w:line="240" w:lineRule="auto"/>
      </w:pPr>
      <w:r>
        <w:separator/>
      </w:r>
    </w:p>
  </w:footnote>
  <w:footnote w:type="continuationSeparator" w:id="1">
    <w:p w:rsidR="00F20B16" w:rsidRDefault="00F20B16" w:rsidP="00082142">
      <w:pPr>
        <w:spacing w:after="0" w:line="240" w:lineRule="auto"/>
      </w:pPr>
      <w:r>
        <w:continuationSeparator/>
      </w:r>
    </w:p>
  </w:footnote>
  <w:footnote w:id="2">
    <w:p w:rsidR="00082142" w:rsidRPr="00082142" w:rsidRDefault="00082142" w:rsidP="00A153C6">
      <w:pPr>
        <w:pStyle w:val="FootnoteText"/>
        <w:jc w:val="both"/>
        <w:rPr>
          <w:lang w:val="en-US"/>
        </w:rPr>
      </w:pPr>
      <w:r>
        <w:rPr>
          <w:rStyle w:val="FootnoteReference"/>
        </w:rPr>
        <w:footnoteRef/>
      </w:r>
      <w:r>
        <w:t xml:space="preserve">  </w:t>
      </w:r>
      <w:r w:rsidRPr="00082142">
        <w:rPr>
          <w:rFonts w:ascii="Times New Roman" w:hAnsi="Times New Roman" w:cs="Times New Roman"/>
          <w:i/>
        </w:rPr>
        <w:t>See</w:t>
      </w:r>
      <w:r w:rsidRPr="00407755">
        <w:rPr>
          <w:rFonts w:ascii="Times New Roman" w:hAnsi="Times New Roman" w:cs="Times New Roman"/>
        </w:rPr>
        <w:t xml:space="preserve"> </w:t>
      </w:r>
      <w:r w:rsidR="00191E3D">
        <w:rPr>
          <w:rFonts w:ascii="Times New Roman" w:hAnsi="Times New Roman" w:cs="Times New Roman"/>
        </w:rPr>
        <w:t xml:space="preserve"> </w:t>
      </w:r>
      <w:r w:rsidR="00191E3D" w:rsidRPr="00191E3D">
        <w:rPr>
          <w:rFonts w:ascii="Times New Roman" w:hAnsi="Times New Roman" w:cs="Times New Roman"/>
        </w:rPr>
        <w:t xml:space="preserve">SAHARAY H.K., </w:t>
      </w:r>
      <w:r w:rsidR="00191E3D" w:rsidRPr="00A153C6">
        <w:rPr>
          <w:rFonts w:ascii="Times New Roman" w:hAnsi="Times New Roman" w:cs="Times New Roman"/>
          <w:i/>
        </w:rPr>
        <w:t>Dutt on Contract</w:t>
      </w:r>
      <w:r w:rsidR="00191E3D" w:rsidRPr="00191E3D">
        <w:rPr>
          <w:rFonts w:ascii="Times New Roman" w:hAnsi="Times New Roman" w:cs="Times New Roman"/>
        </w:rPr>
        <w:t>, 10th Edition, Eastern Law House, 2006</w:t>
      </w:r>
      <w:r w:rsidR="00191E3D">
        <w:rPr>
          <w:rFonts w:ascii="Times New Roman" w:hAnsi="Times New Roman" w:cs="Times New Roman"/>
        </w:rPr>
        <w:t>, p</w:t>
      </w:r>
      <w:r w:rsidRPr="00407755">
        <w:rPr>
          <w:rFonts w:ascii="Times New Roman" w:hAnsi="Times New Roman" w:cs="Times New Roman"/>
        </w:rPr>
        <w:t>. 281</w:t>
      </w:r>
      <w:r w:rsidR="00191E3D">
        <w:rPr>
          <w:rFonts w:ascii="Times New Roman" w:hAnsi="Times New Roman" w:cs="Times New Roman"/>
        </w:rPr>
        <w:t>.</w:t>
      </w:r>
    </w:p>
  </w:footnote>
  <w:footnote w:id="3">
    <w:p w:rsidR="00082142" w:rsidRPr="00082142" w:rsidRDefault="00082142" w:rsidP="00A153C6">
      <w:pPr>
        <w:pStyle w:val="FootnoteText"/>
        <w:jc w:val="both"/>
        <w:rPr>
          <w:lang w:val="en-US"/>
        </w:rPr>
      </w:pPr>
      <w:r>
        <w:rPr>
          <w:rStyle w:val="FootnoteReference"/>
        </w:rPr>
        <w:footnoteRef/>
      </w:r>
      <w:r>
        <w:t xml:space="preserve"> </w:t>
      </w:r>
      <w:r w:rsidRPr="00A153C6">
        <w:rPr>
          <w:rFonts w:ascii="Times New Roman" w:hAnsi="Times New Roman" w:cs="Times New Roman"/>
          <w:i/>
        </w:rPr>
        <w:t>Black’s Law dictionary</w:t>
      </w:r>
      <w:r>
        <w:rPr>
          <w:rFonts w:ascii="Times New Roman" w:hAnsi="Times New Roman" w:cs="Times New Roman"/>
        </w:rPr>
        <w:t>, 7</w:t>
      </w:r>
      <w:r w:rsidRPr="009602DB">
        <w:rPr>
          <w:rFonts w:ascii="Times New Roman" w:hAnsi="Times New Roman" w:cs="Times New Roman"/>
          <w:vertAlign w:val="superscript"/>
        </w:rPr>
        <w:t>th</w:t>
      </w:r>
      <w:r w:rsidR="00191E3D">
        <w:rPr>
          <w:rFonts w:ascii="Times New Roman" w:hAnsi="Times New Roman" w:cs="Times New Roman"/>
        </w:rPr>
        <w:t xml:space="preserve"> edition, 1999, p.</w:t>
      </w:r>
      <w:r>
        <w:rPr>
          <w:rFonts w:ascii="Times New Roman" w:hAnsi="Times New Roman" w:cs="Times New Roman"/>
        </w:rPr>
        <w:t xml:space="preserve"> 1245</w:t>
      </w:r>
      <w:r w:rsidR="00191E3D">
        <w:rPr>
          <w:rFonts w:ascii="Times New Roman" w:hAnsi="Times New Roman" w:cs="Times New Roman"/>
        </w:rPr>
        <w:t>.</w:t>
      </w:r>
    </w:p>
  </w:footnote>
  <w:footnote w:id="4">
    <w:p w:rsidR="00082142" w:rsidRPr="00082142" w:rsidRDefault="00082142" w:rsidP="00A153C6">
      <w:pPr>
        <w:pStyle w:val="FootnoteText"/>
        <w:jc w:val="both"/>
        <w:rPr>
          <w:lang w:val="en-US"/>
        </w:rPr>
      </w:pPr>
      <w:r>
        <w:rPr>
          <w:rStyle w:val="FootnoteReference"/>
        </w:rPr>
        <w:footnoteRef/>
      </w:r>
      <w:r>
        <w:t xml:space="preserve"> </w:t>
      </w:r>
      <w:r w:rsidRPr="00A153C6">
        <w:rPr>
          <w:rFonts w:ascii="Times New Roman" w:hAnsi="Times New Roman" w:cs="Times New Roman"/>
          <w:i/>
        </w:rPr>
        <w:t>See</w:t>
      </w:r>
      <w:r>
        <w:rPr>
          <w:rFonts w:ascii="Times New Roman" w:hAnsi="Times New Roman" w:cs="Times New Roman"/>
        </w:rPr>
        <w:t xml:space="preserve"> </w:t>
      </w:r>
      <w:r w:rsidR="00A153C6" w:rsidRPr="00191E3D">
        <w:rPr>
          <w:rFonts w:ascii="Times New Roman" w:hAnsi="Times New Roman" w:cs="Times New Roman"/>
        </w:rPr>
        <w:t>Singh Avtar</w:t>
      </w:r>
      <w:r w:rsidR="00A153C6">
        <w:rPr>
          <w:rFonts w:ascii="Times New Roman" w:hAnsi="Times New Roman" w:cs="Times New Roman"/>
        </w:rPr>
        <w:t xml:space="preserve">, </w:t>
      </w:r>
      <w:r w:rsidR="00191E3D" w:rsidRPr="00A153C6">
        <w:rPr>
          <w:rFonts w:ascii="Times New Roman" w:hAnsi="Times New Roman" w:cs="Times New Roman"/>
          <w:i/>
        </w:rPr>
        <w:t>Law Of Contract &amp; Specific Relief</w:t>
      </w:r>
      <w:r w:rsidR="00191E3D" w:rsidRPr="00191E3D">
        <w:rPr>
          <w:rFonts w:ascii="Times New Roman" w:hAnsi="Times New Roman" w:cs="Times New Roman"/>
        </w:rPr>
        <w:t>, 9th Edition, Luck</w:t>
      </w:r>
      <w:r w:rsidR="00191E3D">
        <w:rPr>
          <w:rFonts w:ascii="Times New Roman" w:hAnsi="Times New Roman" w:cs="Times New Roman"/>
        </w:rPr>
        <w:t xml:space="preserve">now, Eastern Book Co., 2008, </w:t>
      </w:r>
      <w:r>
        <w:rPr>
          <w:rFonts w:ascii="Times New Roman" w:hAnsi="Times New Roman" w:cs="Times New Roman"/>
        </w:rPr>
        <w:t>p.239.</w:t>
      </w:r>
    </w:p>
  </w:footnote>
  <w:footnote w:id="5">
    <w:p w:rsidR="00082142" w:rsidRPr="00191E3D" w:rsidRDefault="00082142" w:rsidP="00A153C6">
      <w:pPr>
        <w:pStyle w:val="FootnoteText"/>
        <w:jc w:val="both"/>
        <w:rPr>
          <w:lang w:val="en-US"/>
        </w:rPr>
      </w:pPr>
      <w:r>
        <w:rPr>
          <w:rStyle w:val="FootnoteReference"/>
        </w:rPr>
        <w:footnoteRef/>
      </w:r>
      <w:r>
        <w:t xml:space="preserve"> </w:t>
      </w:r>
      <w:r w:rsidR="00191E3D">
        <w:rPr>
          <w:rFonts w:ascii="Times New Roman" w:hAnsi="Times New Roman" w:cs="Times New Roman"/>
          <w:i/>
        </w:rPr>
        <w:t xml:space="preserve">Supra note </w:t>
      </w:r>
      <w:r w:rsidR="00191E3D">
        <w:rPr>
          <w:rFonts w:ascii="Times New Roman" w:hAnsi="Times New Roman" w:cs="Times New Roman"/>
        </w:rPr>
        <w:t>1.</w:t>
      </w:r>
    </w:p>
  </w:footnote>
  <w:footnote w:id="6">
    <w:p w:rsidR="00082142" w:rsidRPr="00082142" w:rsidRDefault="00082142" w:rsidP="00A153C6">
      <w:pPr>
        <w:pStyle w:val="FootnoteText"/>
        <w:jc w:val="both"/>
        <w:rPr>
          <w:lang w:val="en-US"/>
        </w:rPr>
      </w:pPr>
      <w:r>
        <w:rPr>
          <w:rStyle w:val="FootnoteReference"/>
        </w:rPr>
        <w:footnoteRef/>
      </w:r>
      <w:r>
        <w:t xml:space="preserve"> </w:t>
      </w:r>
      <w:r w:rsidRPr="00A70D10">
        <w:rPr>
          <w:rFonts w:ascii="Times New Roman" w:hAnsi="Times New Roman" w:cs="Times New Roman"/>
          <w:i/>
        </w:rPr>
        <w:t>Johnson v. Driefontein Mines Ltd.,</w:t>
      </w:r>
      <w:r>
        <w:rPr>
          <w:rFonts w:ascii="Times New Roman" w:hAnsi="Times New Roman" w:cs="Times New Roman"/>
        </w:rPr>
        <w:t xml:space="preserve"> [1902] AC 484.</w:t>
      </w:r>
    </w:p>
  </w:footnote>
  <w:footnote w:id="7">
    <w:p w:rsidR="00082142" w:rsidRPr="00082142" w:rsidRDefault="00082142" w:rsidP="00A153C6">
      <w:pPr>
        <w:pStyle w:val="FootnoteText"/>
        <w:jc w:val="both"/>
        <w:rPr>
          <w:lang w:val="en-US"/>
        </w:rPr>
      </w:pPr>
      <w:r>
        <w:rPr>
          <w:rStyle w:val="FootnoteReference"/>
        </w:rPr>
        <w:footnoteRef/>
      </w:r>
      <w:r>
        <w:t xml:space="preserve"> </w:t>
      </w:r>
      <w:r w:rsidRPr="00A70D10">
        <w:rPr>
          <w:rFonts w:ascii="Times New Roman" w:hAnsi="Times New Roman" w:cs="Times New Roman"/>
          <w:i/>
        </w:rPr>
        <w:t>Richardson v. Mellish</w:t>
      </w:r>
      <w:r w:rsidRPr="00AF0366">
        <w:rPr>
          <w:rFonts w:ascii="Times New Roman" w:hAnsi="Times New Roman" w:cs="Times New Roman"/>
        </w:rPr>
        <w:t>, 2Bing 229(252); 1824-1834 All E.R. 258</w:t>
      </w:r>
      <w:r w:rsidR="00A153C6">
        <w:rPr>
          <w:rFonts w:ascii="Times New Roman" w:hAnsi="Times New Roman" w:cs="Times New Roman"/>
        </w:rPr>
        <w:t>.</w:t>
      </w:r>
    </w:p>
  </w:footnote>
  <w:footnote w:id="8">
    <w:p w:rsidR="00082142" w:rsidRPr="00082142" w:rsidRDefault="00082142" w:rsidP="00A153C6">
      <w:pPr>
        <w:pStyle w:val="FootnoteText"/>
        <w:jc w:val="both"/>
        <w:rPr>
          <w:lang w:val="en-US"/>
        </w:rPr>
      </w:pPr>
      <w:r>
        <w:rPr>
          <w:rStyle w:val="FootnoteReference"/>
        </w:rPr>
        <w:footnoteRef/>
      </w:r>
      <w:r>
        <w:t xml:space="preserve"> </w:t>
      </w:r>
      <w:r w:rsidRPr="00A70D10">
        <w:rPr>
          <w:rFonts w:ascii="Times New Roman" w:hAnsi="Times New Roman" w:cs="Times New Roman"/>
          <w:i/>
        </w:rPr>
        <w:t>Egerton v. Earl Brownlow</w:t>
      </w:r>
      <w:r>
        <w:rPr>
          <w:rFonts w:ascii="Times New Roman" w:hAnsi="Times New Roman" w:cs="Times New Roman"/>
        </w:rPr>
        <w:t>, [1853]4 HL CAS 1</w:t>
      </w:r>
      <w:r w:rsidR="00A153C6">
        <w:rPr>
          <w:rFonts w:ascii="Times New Roman" w:hAnsi="Times New Roman" w:cs="Times New Roman"/>
        </w:rPr>
        <w:t>.</w:t>
      </w:r>
    </w:p>
  </w:footnote>
  <w:footnote w:id="9">
    <w:p w:rsidR="00082142" w:rsidRPr="00082142" w:rsidRDefault="00082142" w:rsidP="00A153C6">
      <w:pPr>
        <w:pStyle w:val="FootnoteText"/>
        <w:jc w:val="both"/>
        <w:rPr>
          <w:lang w:val="en-US"/>
        </w:rPr>
      </w:pPr>
      <w:r>
        <w:rPr>
          <w:rStyle w:val="FootnoteReference"/>
        </w:rPr>
        <w:footnoteRef/>
      </w:r>
      <w:r>
        <w:t xml:space="preserve"> </w:t>
      </w:r>
      <w:r w:rsidRPr="00A70D10">
        <w:rPr>
          <w:rFonts w:ascii="Times New Roman" w:hAnsi="Times New Roman" w:cs="Times New Roman"/>
          <w:i/>
        </w:rPr>
        <w:t>Gherulal v. Mahadeodas</w:t>
      </w:r>
      <w:r>
        <w:rPr>
          <w:rFonts w:ascii="Times New Roman" w:hAnsi="Times New Roman" w:cs="Times New Roman"/>
        </w:rPr>
        <w:t>, [1959] Supp 2 SCR 406; AIR 1953 SC 781.</w:t>
      </w:r>
    </w:p>
  </w:footnote>
  <w:footnote w:id="10">
    <w:p w:rsidR="00082142" w:rsidRPr="00082142" w:rsidRDefault="00082142" w:rsidP="00A153C6">
      <w:pPr>
        <w:pStyle w:val="FootnoteText"/>
        <w:jc w:val="both"/>
        <w:rPr>
          <w:lang w:val="en-US"/>
        </w:rPr>
      </w:pPr>
      <w:r>
        <w:rPr>
          <w:rStyle w:val="FootnoteReference"/>
        </w:rPr>
        <w:footnoteRef/>
      </w:r>
      <w:r>
        <w:t xml:space="preserve"> </w:t>
      </w:r>
      <w:r>
        <w:rPr>
          <w:rFonts w:ascii="Times New Roman" w:hAnsi="Times New Roman" w:cs="Times New Roman"/>
          <w:szCs w:val="24"/>
        </w:rPr>
        <w:t xml:space="preserve">Earl of HALSBURY LC in </w:t>
      </w:r>
      <w:r w:rsidRPr="00691467">
        <w:rPr>
          <w:rFonts w:ascii="Times New Roman" w:hAnsi="Times New Roman" w:cs="Times New Roman"/>
          <w:i/>
          <w:szCs w:val="24"/>
        </w:rPr>
        <w:t>Janson v Driefontein</w:t>
      </w:r>
      <w:r>
        <w:rPr>
          <w:rFonts w:ascii="Times New Roman" w:hAnsi="Times New Roman" w:cs="Times New Roman"/>
          <w:szCs w:val="24"/>
        </w:rPr>
        <w:t xml:space="preserve"> </w:t>
      </w:r>
      <w:r w:rsidRPr="00691467">
        <w:rPr>
          <w:rFonts w:ascii="Times New Roman" w:hAnsi="Times New Roman" w:cs="Times New Roman"/>
          <w:i/>
          <w:szCs w:val="24"/>
        </w:rPr>
        <w:t>Consolidated Mines Ltd</w:t>
      </w:r>
      <w:r>
        <w:rPr>
          <w:rFonts w:ascii="Times New Roman" w:hAnsi="Times New Roman" w:cs="Times New Roman"/>
          <w:szCs w:val="24"/>
        </w:rPr>
        <w:t>, (1902) AC 484</w:t>
      </w:r>
      <w:r w:rsidR="00A153C6">
        <w:rPr>
          <w:rFonts w:ascii="Times New Roman" w:hAnsi="Times New Roman" w:cs="Times New Roman"/>
          <w:szCs w:val="24"/>
        </w:rPr>
        <w:t>.</w:t>
      </w:r>
    </w:p>
  </w:footnote>
  <w:footnote w:id="11">
    <w:p w:rsidR="00082142" w:rsidRPr="00082142" w:rsidRDefault="00082142" w:rsidP="00A153C6">
      <w:pPr>
        <w:pStyle w:val="FootnoteText"/>
        <w:jc w:val="both"/>
        <w:rPr>
          <w:lang w:val="en-US"/>
        </w:rPr>
      </w:pPr>
      <w:r>
        <w:rPr>
          <w:rStyle w:val="FootnoteReference"/>
        </w:rPr>
        <w:footnoteRef/>
      </w:r>
      <w:r>
        <w:t xml:space="preserve"> </w:t>
      </w:r>
      <w:r>
        <w:rPr>
          <w:rFonts w:ascii="Times New Roman" w:hAnsi="Times New Roman" w:cs="Times New Roman"/>
          <w:szCs w:val="24"/>
        </w:rPr>
        <w:t>ASQUITH J</w:t>
      </w:r>
      <w:r w:rsidR="00691467">
        <w:rPr>
          <w:rFonts w:ascii="Times New Roman" w:hAnsi="Times New Roman" w:cs="Times New Roman"/>
          <w:szCs w:val="24"/>
        </w:rPr>
        <w:t>.</w:t>
      </w:r>
      <w:r>
        <w:rPr>
          <w:rFonts w:ascii="Times New Roman" w:hAnsi="Times New Roman" w:cs="Times New Roman"/>
          <w:szCs w:val="24"/>
        </w:rPr>
        <w:t xml:space="preserve"> in </w:t>
      </w:r>
      <w:r w:rsidRPr="00691467">
        <w:rPr>
          <w:rFonts w:ascii="Times New Roman" w:hAnsi="Times New Roman" w:cs="Times New Roman"/>
          <w:i/>
          <w:szCs w:val="24"/>
        </w:rPr>
        <w:t>Monkland v Jack Barclay Ltd</w:t>
      </w:r>
      <w:r>
        <w:rPr>
          <w:rFonts w:ascii="Times New Roman" w:hAnsi="Times New Roman" w:cs="Times New Roman"/>
          <w:szCs w:val="24"/>
        </w:rPr>
        <w:t>, (1951) All ER 714, 723.</w:t>
      </w:r>
    </w:p>
  </w:footnote>
  <w:footnote w:id="12">
    <w:p w:rsidR="00082142" w:rsidRPr="00082142" w:rsidRDefault="00082142" w:rsidP="00A153C6">
      <w:pPr>
        <w:pStyle w:val="FootnoteText"/>
        <w:jc w:val="both"/>
        <w:rPr>
          <w:lang w:val="en-US"/>
        </w:rPr>
      </w:pPr>
      <w:r>
        <w:rPr>
          <w:rStyle w:val="FootnoteReference"/>
        </w:rPr>
        <w:footnoteRef/>
      </w:r>
      <w:r>
        <w:t xml:space="preserve"> </w:t>
      </w:r>
      <w:r w:rsidRPr="00A153C6">
        <w:rPr>
          <w:i/>
        </w:rPr>
        <w:t>See</w:t>
      </w:r>
      <w:r>
        <w:t xml:space="preserve"> Sec. 23, </w:t>
      </w:r>
      <w:r>
        <w:rPr>
          <w:rFonts w:ascii="Times New Roman" w:hAnsi="Times New Roman" w:cs="Times New Roman"/>
          <w:szCs w:val="24"/>
        </w:rPr>
        <w:t>Indian Contract Act, 1872.</w:t>
      </w:r>
    </w:p>
  </w:footnote>
  <w:footnote w:id="13">
    <w:p w:rsidR="00082142" w:rsidRPr="00082142" w:rsidRDefault="00082142" w:rsidP="00A153C6">
      <w:pPr>
        <w:pStyle w:val="FootnoteText"/>
        <w:jc w:val="both"/>
        <w:rPr>
          <w:lang w:val="en-US"/>
        </w:rPr>
      </w:pPr>
      <w:r>
        <w:rPr>
          <w:rStyle w:val="FootnoteReference"/>
        </w:rPr>
        <w:footnoteRef/>
      </w:r>
      <w:r>
        <w:t xml:space="preserve"> </w:t>
      </w:r>
      <w:r>
        <w:rPr>
          <w:rFonts w:ascii="Times New Roman" w:hAnsi="Times New Roman" w:cs="Times New Roman"/>
          <w:szCs w:val="24"/>
        </w:rPr>
        <w:t>AIR 1959 SC 781; (1959) 2 SCA 342, 370</w:t>
      </w:r>
      <w:r w:rsidR="00691467">
        <w:rPr>
          <w:rFonts w:ascii="Times New Roman" w:hAnsi="Times New Roman" w:cs="Times New Roman"/>
          <w:szCs w:val="24"/>
        </w:rPr>
        <w:t>.</w:t>
      </w:r>
    </w:p>
  </w:footnote>
  <w:footnote w:id="14">
    <w:p w:rsidR="00082142" w:rsidRPr="00A153C6" w:rsidRDefault="00082142" w:rsidP="00A153C6">
      <w:pPr>
        <w:spacing w:after="0"/>
        <w:jc w:val="both"/>
        <w:rPr>
          <w:rFonts w:ascii="Times New Roman" w:hAnsi="Times New Roman" w:cs="Times New Roman"/>
          <w:sz w:val="20"/>
          <w:szCs w:val="24"/>
        </w:rPr>
      </w:pPr>
      <w:r>
        <w:rPr>
          <w:rStyle w:val="FootnoteReference"/>
        </w:rPr>
        <w:footnoteRef/>
      </w:r>
      <w:r>
        <w:t xml:space="preserve"> </w:t>
      </w:r>
      <w:r w:rsidRPr="00691467">
        <w:rPr>
          <w:rFonts w:ascii="Times New Roman" w:hAnsi="Times New Roman" w:cs="Times New Roman"/>
          <w:i/>
          <w:sz w:val="20"/>
          <w:szCs w:val="24"/>
        </w:rPr>
        <w:t>Feder v. John Mildmay,</w:t>
      </w:r>
      <w:r>
        <w:rPr>
          <w:rFonts w:ascii="Times New Roman" w:hAnsi="Times New Roman" w:cs="Times New Roman"/>
          <w:sz w:val="20"/>
          <w:szCs w:val="24"/>
        </w:rPr>
        <w:t xml:space="preserve"> (1938) A.C., at pg. 23, per Lord Thankerton</w:t>
      </w:r>
      <w:r w:rsidR="00691467">
        <w:rPr>
          <w:rFonts w:ascii="Times New Roman" w:hAnsi="Times New Roman" w:cs="Times New Roman"/>
          <w:sz w:val="20"/>
          <w:szCs w:val="24"/>
        </w:rPr>
        <w:t>.</w:t>
      </w:r>
    </w:p>
  </w:footnote>
  <w:footnote w:id="15">
    <w:p w:rsidR="00082142" w:rsidRPr="00082142" w:rsidRDefault="00082142" w:rsidP="00A153C6">
      <w:pPr>
        <w:pStyle w:val="FootnoteText"/>
        <w:jc w:val="both"/>
        <w:rPr>
          <w:lang w:val="en-US"/>
        </w:rPr>
      </w:pPr>
      <w:r>
        <w:rPr>
          <w:rStyle w:val="FootnoteReference"/>
        </w:rPr>
        <w:footnoteRef/>
      </w:r>
      <w:r>
        <w:t xml:space="preserve"> </w:t>
      </w:r>
      <w:r>
        <w:rPr>
          <w:rFonts w:ascii="Times New Roman" w:hAnsi="Times New Roman" w:cs="Times New Roman"/>
          <w:szCs w:val="24"/>
        </w:rPr>
        <w:t>Pandia</w:t>
      </w:r>
      <w:r w:rsidR="00691467">
        <w:rPr>
          <w:rFonts w:ascii="Times New Roman" w:hAnsi="Times New Roman" w:cs="Times New Roman"/>
          <w:szCs w:val="24"/>
        </w:rPr>
        <w:t xml:space="preserve"> R.G.</w:t>
      </w:r>
      <w:r>
        <w:rPr>
          <w:rFonts w:ascii="Times New Roman" w:hAnsi="Times New Roman" w:cs="Times New Roman"/>
          <w:szCs w:val="24"/>
        </w:rPr>
        <w:t xml:space="preserve">, </w:t>
      </w:r>
      <w:r w:rsidRPr="00A153C6">
        <w:rPr>
          <w:rFonts w:ascii="Times New Roman" w:hAnsi="Times New Roman" w:cs="Times New Roman"/>
          <w:i/>
          <w:szCs w:val="24"/>
        </w:rPr>
        <w:t>Mullah’s Indian Contract and Specific Relief Acts</w:t>
      </w:r>
      <w:r>
        <w:rPr>
          <w:rFonts w:ascii="Times New Roman" w:hAnsi="Times New Roman" w:cs="Times New Roman"/>
          <w:szCs w:val="24"/>
        </w:rPr>
        <w:t>, 13</w:t>
      </w:r>
      <w:r w:rsidRPr="00E81BE4">
        <w:rPr>
          <w:rFonts w:ascii="Times New Roman" w:hAnsi="Times New Roman" w:cs="Times New Roman"/>
          <w:szCs w:val="24"/>
          <w:vertAlign w:val="superscript"/>
        </w:rPr>
        <w:t>th</w:t>
      </w:r>
      <w:r w:rsidR="00A153C6">
        <w:rPr>
          <w:rFonts w:ascii="Times New Roman" w:hAnsi="Times New Roman" w:cs="Times New Roman"/>
          <w:szCs w:val="24"/>
        </w:rPr>
        <w:t xml:space="preserve"> Ed., Vol 1, 2007, p.1</w:t>
      </w:r>
      <w:r>
        <w:rPr>
          <w:rFonts w:ascii="Times New Roman" w:hAnsi="Times New Roman" w:cs="Times New Roman"/>
          <w:szCs w:val="24"/>
        </w:rPr>
        <w:t>687</w:t>
      </w:r>
      <w:r w:rsidR="00A153C6">
        <w:rPr>
          <w:rFonts w:ascii="Times New Roman" w:hAnsi="Times New Roman" w:cs="Times New Roman"/>
          <w:szCs w:val="24"/>
        </w:rPr>
        <w:t>.</w:t>
      </w:r>
    </w:p>
  </w:footnote>
  <w:footnote w:id="16">
    <w:p w:rsidR="00082142" w:rsidRPr="00082142" w:rsidRDefault="00082142" w:rsidP="00A153C6">
      <w:pPr>
        <w:jc w:val="both"/>
        <w:rPr>
          <w:lang w:val="en-US"/>
        </w:rPr>
      </w:pPr>
      <w:r>
        <w:rPr>
          <w:rStyle w:val="FootnoteReference"/>
        </w:rPr>
        <w:footnoteRef/>
      </w:r>
      <w:r>
        <w:t xml:space="preserve"> </w:t>
      </w:r>
      <w:r w:rsidRPr="00691467">
        <w:rPr>
          <w:rFonts w:ascii="Times New Roman" w:hAnsi="Times New Roman" w:cs="Times New Roman"/>
          <w:i/>
          <w:sz w:val="20"/>
        </w:rPr>
        <w:t>Bhagwant Genuji Girme v. Gangabisan Ramgopal</w:t>
      </w:r>
      <w:r>
        <w:rPr>
          <w:rFonts w:ascii="Times New Roman" w:hAnsi="Times New Roman" w:cs="Times New Roman"/>
          <w:sz w:val="20"/>
        </w:rPr>
        <w:t xml:space="preserve"> AIR 1940 Bom 369</w:t>
      </w:r>
    </w:p>
  </w:footnote>
  <w:footnote w:id="17">
    <w:p w:rsidR="00ED71E3" w:rsidRPr="00ED71E3" w:rsidRDefault="00ED71E3" w:rsidP="00A153C6">
      <w:pPr>
        <w:spacing w:after="0"/>
        <w:jc w:val="both"/>
        <w:rPr>
          <w:lang w:val="en-US"/>
        </w:rPr>
      </w:pPr>
      <w:r>
        <w:rPr>
          <w:rStyle w:val="FootnoteReference"/>
        </w:rPr>
        <w:footnoteRef/>
      </w:r>
      <w:r>
        <w:t xml:space="preserve"> </w:t>
      </w:r>
      <w:r>
        <w:rPr>
          <w:rFonts w:ascii="Times New Roman" w:hAnsi="Times New Roman" w:cs="Times New Roman"/>
          <w:sz w:val="20"/>
        </w:rPr>
        <w:t xml:space="preserve">FRY LJ remarked in </w:t>
      </w:r>
      <w:r w:rsidRPr="00A153C6">
        <w:rPr>
          <w:rFonts w:ascii="Times New Roman" w:hAnsi="Times New Roman" w:cs="Times New Roman"/>
          <w:i/>
          <w:sz w:val="20"/>
        </w:rPr>
        <w:t>Windhill Local Board of Health v. Vint</w:t>
      </w:r>
      <w:r>
        <w:rPr>
          <w:rFonts w:ascii="Times New Roman" w:hAnsi="Times New Roman" w:cs="Times New Roman"/>
          <w:sz w:val="20"/>
        </w:rPr>
        <w:t>, (1890) 45 Ch D 351</w:t>
      </w:r>
      <w:r w:rsidR="00A153C6">
        <w:rPr>
          <w:rFonts w:ascii="Times New Roman" w:hAnsi="Times New Roman" w:cs="Times New Roman"/>
          <w:sz w:val="20"/>
        </w:rPr>
        <w:t>.</w:t>
      </w:r>
    </w:p>
  </w:footnote>
  <w:footnote w:id="18">
    <w:p w:rsidR="00ED71E3" w:rsidRPr="00ED71E3" w:rsidRDefault="00ED71E3" w:rsidP="00A153C6">
      <w:pPr>
        <w:pStyle w:val="FootnoteText"/>
        <w:jc w:val="both"/>
        <w:rPr>
          <w:lang w:val="en-US"/>
        </w:rPr>
      </w:pPr>
      <w:r>
        <w:rPr>
          <w:rStyle w:val="FootnoteReference"/>
        </w:rPr>
        <w:footnoteRef/>
      </w:r>
      <w:r>
        <w:t xml:space="preserve"> </w:t>
      </w:r>
      <w:r>
        <w:rPr>
          <w:rFonts w:ascii="Times New Roman" w:hAnsi="Times New Roman" w:cs="Times New Roman"/>
        </w:rPr>
        <w:t>Illustration (h) to sec. 23</w:t>
      </w:r>
      <w:r w:rsidR="00503C25">
        <w:rPr>
          <w:rFonts w:ascii="Times New Roman" w:hAnsi="Times New Roman" w:cs="Times New Roman"/>
        </w:rPr>
        <w:t>, Indian Contract Act, 1872.</w:t>
      </w:r>
    </w:p>
  </w:footnote>
  <w:footnote w:id="19">
    <w:p w:rsidR="00191E3D" w:rsidRPr="00191E3D" w:rsidRDefault="00191E3D" w:rsidP="00A153C6">
      <w:pPr>
        <w:pStyle w:val="FootnoteText"/>
        <w:jc w:val="both"/>
        <w:rPr>
          <w:lang w:val="en-US"/>
        </w:rPr>
      </w:pPr>
      <w:r>
        <w:rPr>
          <w:rStyle w:val="FootnoteReference"/>
        </w:rPr>
        <w:footnoteRef/>
      </w:r>
      <w:r>
        <w:t xml:space="preserve"> </w:t>
      </w:r>
      <w:r w:rsidR="00503C25" w:rsidRPr="00191E3D">
        <w:t>Furmstone Michael, “Cheshire, Fifoot &amp; Furmston’s Law Of Contract”, 15th Edition, Oxford University Press, 2007</w:t>
      </w:r>
      <w:r w:rsidR="00503C25">
        <w:t>.</w:t>
      </w:r>
    </w:p>
  </w:footnote>
  <w:footnote w:id="20">
    <w:p w:rsidR="0073405D" w:rsidRPr="0073405D" w:rsidRDefault="0073405D" w:rsidP="00A153C6">
      <w:pPr>
        <w:spacing w:after="0"/>
        <w:jc w:val="both"/>
        <w:rPr>
          <w:lang w:val="en-US"/>
        </w:rPr>
      </w:pPr>
      <w:r>
        <w:rPr>
          <w:rStyle w:val="FootnoteReference"/>
        </w:rPr>
        <w:footnoteRef/>
      </w:r>
      <w:r>
        <w:t xml:space="preserve"> </w:t>
      </w:r>
      <w:r w:rsidR="00A153C6">
        <w:rPr>
          <w:rFonts w:ascii="Times New Roman" w:hAnsi="Times New Roman" w:cs="Times New Roman"/>
          <w:sz w:val="20"/>
        </w:rPr>
        <w:t xml:space="preserve">BEATSON  J., </w:t>
      </w:r>
      <w:r w:rsidR="00A153C6" w:rsidRPr="00A153C6">
        <w:rPr>
          <w:rFonts w:ascii="Times New Roman" w:hAnsi="Times New Roman" w:cs="Times New Roman"/>
          <w:i/>
          <w:sz w:val="20"/>
        </w:rPr>
        <w:t>ANSON’S Law Of Contract</w:t>
      </w:r>
      <w:r w:rsidR="00A153C6" w:rsidRPr="00A153C6">
        <w:rPr>
          <w:rFonts w:ascii="Times New Roman" w:hAnsi="Times New Roman" w:cs="Times New Roman"/>
          <w:sz w:val="20"/>
        </w:rPr>
        <w:t>, 28th Edition , Oxford University Press, 2002</w:t>
      </w:r>
      <w:r w:rsidR="00A153C6">
        <w:rPr>
          <w:rFonts w:ascii="Times New Roman" w:hAnsi="Times New Roman" w:cs="Times New Roman"/>
          <w:sz w:val="20"/>
        </w:rPr>
        <w:t>,</w:t>
      </w:r>
      <w:r w:rsidR="00A153C6" w:rsidRPr="00A153C6">
        <w:rPr>
          <w:rFonts w:ascii="Times New Roman" w:hAnsi="Times New Roman" w:cs="Times New Roman"/>
          <w:sz w:val="20"/>
        </w:rPr>
        <w:t xml:space="preserve"> </w:t>
      </w:r>
      <w:r w:rsidR="00A153C6">
        <w:rPr>
          <w:rFonts w:ascii="Times New Roman" w:hAnsi="Times New Roman" w:cs="Times New Roman"/>
          <w:sz w:val="20"/>
        </w:rPr>
        <w:t xml:space="preserve">p. </w:t>
      </w:r>
      <w:r>
        <w:rPr>
          <w:rFonts w:ascii="Times New Roman" w:hAnsi="Times New Roman" w:cs="Times New Roman"/>
          <w:sz w:val="20"/>
        </w:rPr>
        <w:t>355</w:t>
      </w:r>
      <w:r w:rsidR="00A153C6">
        <w:rPr>
          <w:rFonts w:ascii="Times New Roman" w:hAnsi="Times New Roman" w:cs="Times New Roman"/>
          <w:sz w:val="20"/>
        </w:rPr>
        <w:t>.</w:t>
      </w:r>
    </w:p>
  </w:footnote>
  <w:footnote w:id="21">
    <w:p w:rsidR="0073405D" w:rsidRPr="0073405D" w:rsidRDefault="0073405D" w:rsidP="00A153C6">
      <w:pPr>
        <w:pStyle w:val="FootnoteText"/>
        <w:jc w:val="both"/>
        <w:rPr>
          <w:lang w:val="en-US"/>
        </w:rPr>
      </w:pPr>
      <w:r>
        <w:rPr>
          <w:rStyle w:val="FootnoteReference"/>
        </w:rPr>
        <w:footnoteRef/>
      </w:r>
      <w:r>
        <w:t xml:space="preserve"> </w:t>
      </w:r>
      <w:r>
        <w:rPr>
          <w:rFonts w:ascii="Times New Roman" w:hAnsi="Times New Roman" w:cs="Times New Roman"/>
        </w:rPr>
        <w:t>M.Kr</w:t>
      </w:r>
      <w:r w:rsidR="00A153C6">
        <w:rPr>
          <w:rFonts w:ascii="Times New Roman" w:hAnsi="Times New Roman" w:cs="Times New Roman"/>
        </w:rPr>
        <w:t xml:space="preserve">ishna Nair’s </w:t>
      </w:r>
      <w:r w:rsidR="00A153C6" w:rsidRPr="001953AF">
        <w:rPr>
          <w:rFonts w:ascii="Times New Roman" w:hAnsi="Times New Roman" w:cs="Times New Roman"/>
          <w:i/>
        </w:rPr>
        <w:t>Law of Contract</w:t>
      </w:r>
      <w:r w:rsidR="00A153C6">
        <w:rPr>
          <w:rFonts w:ascii="Times New Roman" w:hAnsi="Times New Roman" w:cs="Times New Roman"/>
        </w:rPr>
        <w:t>, p</w:t>
      </w:r>
      <w:r>
        <w:rPr>
          <w:rFonts w:ascii="Times New Roman" w:hAnsi="Times New Roman" w:cs="Times New Roman"/>
        </w:rPr>
        <w:t>. 147</w:t>
      </w:r>
    </w:p>
  </w:footnote>
  <w:footnote w:id="22">
    <w:p w:rsidR="0073405D" w:rsidRDefault="0073405D" w:rsidP="00A153C6">
      <w:pPr>
        <w:spacing w:after="0"/>
        <w:jc w:val="both"/>
        <w:rPr>
          <w:rFonts w:ascii="Times New Roman" w:hAnsi="Times New Roman" w:cs="Times New Roman"/>
          <w:sz w:val="20"/>
        </w:rPr>
      </w:pPr>
      <w:r>
        <w:rPr>
          <w:rStyle w:val="FootnoteReference"/>
        </w:rPr>
        <w:footnoteRef/>
      </w:r>
      <w:r>
        <w:t xml:space="preserve"> </w:t>
      </w:r>
      <w:r w:rsidRPr="00A153C6">
        <w:rPr>
          <w:rFonts w:ascii="Times New Roman" w:hAnsi="Times New Roman" w:cs="Times New Roman"/>
          <w:i/>
          <w:sz w:val="20"/>
        </w:rPr>
        <w:t xml:space="preserve">The Law Commission of India in its Thirteenth Report, 1958 </w:t>
      </w:r>
      <w:r>
        <w:rPr>
          <w:rFonts w:ascii="Times New Roman" w:hAnsi="Times New Roman" w:cs="Times New Roman"/>
          <w:sz w:val="20"/>
        </w:rPr>
        <w:t>recommended adding sec. 23A to the act:</w:t>
      </w:r>
    </w:p>
    <w:p w:rsidR="0073405D" w:rsidRPr="0073405D" w:rsidRDefault="0073405D" w:rsidP="00A153C6">
      <w:pPr>
        <w:spacing w:after="0"/>
        <w:jc w:val="both"/>
        <w:rPr>
          <w:rFonts w:ascii="Times New Roman" w:hAnsi="Times New Roman" w:cs="Times New Roman"/>
          <w:b/>
          <w:sz w:val="20"/>
        </w:rPr>
      </w:pPr>
      <w:r w:rsidRPr="00CE5D6E">
        <w:rPr>
          <w:rFonts w:ascii="Times New Roman" w:hAnsi="Times New Roman" w:cs="Times New Roman"/>
          <w:b/>
          <w:sz w:val="20"/>
        </w:rPr>
        <w:t>23A. Agreements to procure marriage or pay money in consideration thereof.</w:t>
      </w:r>
      <w:r>
        <w:rPr>
          <w:rFonts w:ascii="Times New Roman" w:hAnsi="Times New Roman" w:cs="Times New Roman"/>
          <w:sz w:val="20"/>
        </w:rPr>
        <w:t>The following agreements are unlawful within the meaning of section 23-</w:t>
      </w:r>
    </w:p>
    <w:p w:rsidR="0073405D" w:rsidRDefault="0073405D" w:rsidP="00A153C6">
      <w:pPr>
        <w:spacing w:after="0"/>
        <w:jc w:val="both"/>
        <w:rPr>
          <w:rFonts w:ascii="Times New Roman" w:hAnsi="Times New Roman" w:cs="Times New Roman"/>
          <w:sz w:val="20"/>
        </w:rPr>
      </w:pPr>
      <w:r>
        <w:rPr>
          <w:rFonts w:ascii="Times New Roman" w:hAnsi="Times New Roman" w:cs="Times New Roman"/>
          <w:sz w:val="20"/>
        </w:rPr>
        <w:t>(a) An agreement to procure the marriage of any person for reward;</w:t>
      </w:r>
    </w:p>
    <w:p w:rsidR="0073405D" w:rsidRPr="0073405D" w:rsidRDefault="0073405D" w:rsidP="00A153C6">
      <w:pPr>
        <w:spacing w:after="0"/>
        <w:jc w:val="both"/>
        <w:rPr>
          <w:lang w:val="en-US"/>
        </w:rPr>
      </w:pPr>
      <w:r>
        <w:rPr>
          <w:rFonts w:ascii="Times New Roman" w:hAnsi="Times New Roman" w:cs="Times New Roman"/>
          <w:sz w:val="20"/>
        </w:rPr>
        <w:t>(b) An agreement to pay money or deliver anything whose value can be expressed in terms of money to a parent or other guardian-in-marriage of any person in consideration of his consenting to the marriage of that person.</w:t>
      </w:r>
    </w:p>
  </w:footnote>
  <w:footnote w:id="23">
    <w:p w:rsidR="0073405D" w:rsidRPr="0073405D" w:rsidRDefault="0073405D" w:rsidP="00A153C6">
      <w:pPr>
        <w:pStyle w:val="FootnoteText"/>
        <w:jc w:val="both"/>
        <w:rPr>
          <w:lang w:val="en-US"/>
        </w:rPr>
      </w:pPr>
      <w:r>
        <w:rPr>
          <w:rStyle w:val="FootnoteReference"/>
        </w:rPr>
        <w:footnoteRef/>
      </w:r>
      <w:r>
        <w:t xml:space="preserve"> </w:t>
      </w:r>
      <w:r w:rsidR="00A153C6">
        <w:rPr>
          <w:rFonts w:ascii="Times New Roman" w:hAnsi="Times New Roman" w:cs="Times New Roman"/>
          <w:i/>
        </w:rPr>
        <w:t xml:space="preserve">Supra note </w:t>
      </w:r>
      <w:r w:rsidR="00A153C6">
        <w:rPr>
          <w:rFonts w:ascii="Times New Roman" w:hAnsi="Times New Roman" w:cs="Times New Roman"/>
        </w:rPr>
        <w:t>19 at p.</w:t>
      </w:r>
      <w:r>
        <w:rPr>
          <w:rFonts w:ascii="Times New Roman" w:hAnsi="Times New Roman" w:cs="Times New Roman"/>
        </w:rPr>
        <w:t xml:space="preserve"> 357</w:t>
      </w:r>
      <w:r w:rsidR="00A153C6">
        <w:rPr>
          <w:rFonts w:ascii="Times New Roman" w:hAnsi="Times New Roman" w:cs="Times New Roman"/>
        </w:rPr>
        <w:t>.</w:t>
      </w:r>
    </w:p>
  </w:footnote>
  <w:footnote w:id="24">
    <w:p w:rsidR="0073405D" w:rsidRPr="0073405D" w:rsidRDefault="0073405D" w:rsidP="00A153C6">
      <w:pPr>
        <w:pStyle w:val="FootnoteText"/>
        <w:jc w:val="both"/>
        <w:rPr>
          <w:lang w:val="en-US"/>
        </w:rPr>
      </w:pPr>
      <w:r>
        <w:rPr>
          <w:rStyle w:val="FootnoteReference"/>
        </w:rPr>
        <w:footnoteRef/>
      </w:r>
      <w:r>
        <w:t xml:space="preserve"> </w:t>
      </w:r>
      <w:r w:rsidR="001953AF">
        <w:rPr>
          <w:rFonts w:ascii="Times New Roman" w:hAnsi="Times New Roman" w:cs="Times New Roman"/>
          <w:i/>
        </w:rPr>
        <w:t xml:space="preserve">Supra note </w:t>
      </w:r>
      <w:r w:rsidR="001953AF">
        <w:rPr>
          <w:rFonts w:ascii="Times New Roman" w:hAnsi="Times New Roman" w:cs="Times New Roman"/>
        </w:rPr>
        <w:t>14 at  p.</w:t>
      </w:r>
      <w:r>
        <w:rPr>
          <w:rFonts w:ascii="Times New Roman" w:hAnsi="Times New Roman" w:cs="Times New Roman"/>
        </w:rPr>
        <w:t xml:space="preserve"> 702</w:t>
      </w:r>
      <w:r w:rsidR="001953AF">
        <w:rPr>
          <w:rFonts w:ascii="Times New Roman" w:hAnsi="Times New Roman" w:cs="Times New Roman"/>
        </w:rPr>
        <w:t>.</w:t>
      </w:r>
    </w:p>
  </w:footnote>
  <w:footnote w:id="25">
    <w:p w:rsidR="0073405D" w:rsidRPr="0073405D" w:rsidRDefault="0073405D" w:rsidP="00A153C6">
      <w:pPr>
        <w:pStyle w:val="FootnoteText"/>
        <w:jc w:val="both"/>
        <w:rPr>
          <w:lang w:val="en-US"/>
        </w:rPr>
      </w:pPr>
      <w:r>
        <w:rPr>
          <w:rStyle w:val="FootnoteReference"/>
        </w:rPr>
        <w:footnoteRef/>
      </w:r>
      <w:r>
        <w:t xml:space="preserve"> </w:t>
      </w:r>
      <w:r w:rsidRPr="001953AF">
        <w:rPr>
          <w:rFonts w:ascii="Times New Roman" w:hAnsi="Times New Roman" w:cs="Times New Roman"/>
          <w:i/>
        </w:rPr>
        <w:t>Janson v. Drienfontein Consolidated Mines Ltd</w:t>
      </w:r>
      <w:r>
        <w:rPr>
          <w:rFonts w:ascii="Times New Roman" w:hAnsi="Times New Roman" w:cs="Times New Roman"/>
        </w:rPr>
        <w:t>. [1900-03] All ER 426 (HL)</w:t>
      </w:r>
      <w:r w:rsidR="001953AF">
        <w:rPr>
          <w:rFonts w:ascii="Times New Roman" w:hAnsi="Times New Roman" w:cs="Times New Roman"/>
        </w:rPr>
        <w:t>.</w:t>
      </w:r>
    </w:p>
  </w:footnote>
  <w:footnote w:id="26">
    <w:p w:rsidR="0073405D" w:rsidRPr="0073405D" w:rsidRDefault="0073405D" w:rsidP="00A153C6">
      <w:pPr>
        <w:pStyle w:val="FootnoteText"/>
        <w:jc w:val="both"/>
        <w:rPr>
          <w:lang w:val="en-US"/>
        </w:rPr>
      </w:pPr>
      <w:r>
        <w:rPr>
          <w:rStyle w:val="FootnoteReference"/>
        </w:rPr>
        <w:footnoteRef/>
      </w:r>
      <w:r>
        <w:t xml:space="preserve"> </w:t>
      </w:r>
      <w:r w:rsidRPr="001953AF">
        <w:rPr>
          <w:rFonts w:ascii="Times New Roman" w:hAnsi="Times New Roman" w:cs="Times New Roman"/>
          <w:i/>
        </w:rPr>
        <w:t>Richardson v. Mellish,</w:t>
      </w:r>
      <w:r w:rsidRPr="00AF0366">
        <w:rPr>
          <w:rFonts w:ascii="Times New Roman" w:hAnsi="Times New Roman" w:cs="Times New Roman"/>
        </w:rPr>
        <w:t xml:space="preserve"> 2Bing 229(252); 1824-1834 All E.R. 258</w:t>
      </w:r>
      <w:r w:rsidR="00B51088">
        <w:rPr>
          <w:rFonts w:ascii="Times New Roman" w:hAnsi="Times New Roman" w:cs="Times New Roman"/>
        </w:rPr>
        <w:t>.</w:t>
      </w:r>
    </w:p>
  </w:footnote>
  <w:footnote w:id="27">
    <w:p w:rsidR="0073405D" w:rsidRPr="0073405D" w:rsidRDefault="0073405D" w:rsidP="00A153C6">
      <w:pPr>
        <w:pStyle w:val="FootnoteText"/>
        <w:jc w:val="both"/>
        <w:rPr>
          <w:lang w:val="en-US"/>
        </w:rPr>
      </w:pPr>
      <w:r>
        <w:rPr>
          <w:rStyle w:val="FootnoteReference"/>
        </w:rPr>
        <w:footnoteRef/>
      </w:r>
      <w:r>
        <w:t xml:space="preserve"> </w:t>
      </w:r>
      <w:r w:rsidR="001953AF" w:rsidRPr="001953AF">
        <w:rPr>
          <w:rFonts w:ascii="Times New Roman" w:hAnsi="Times New Roman" w:cs="Times New Roman"/>
          <w:i/>
        </w:rPr>
        <w:t xml:space="preserve">Supra </w:t>
      </w:r>
      <w:r w:rsidRPr="001953AF">
        <w:rPr>
          <w:rFonts w:ascii="Times New Roman" w:hAnsi="Times New Roman" w:cs="Times New Roman"/>
          <w:i/>
        </w:rPr>
        <w:t>note</w:t>
      </w:r>
      <w:r w:rsidR="00304A7F">
        <w:rPr>
          <w:rFonts w:ascii="Times New Roman" w:hAnsi="Times New Roman" w:cs="Times New Roman"/>
        </w:rPr>
        <w:t xml:space="preserve"> 20</w:t>
      </w:r>
      <w:r w:rsidR="001953AF">
        <w:rPr>
          <w:rFonts w:ascii="Times New Roman" w:hAnsi="Times New Roman" w:cs="Times New Roman"/>
        </w:rPr>
        <w:t>.</w:t>
      </w:r>
    </w:p>
  </w:footnote>
  <w:footnote w:id="28">
    <w:p w:rsidR="0073405D" w:rsidRPr="0073405D" w:rsidRDefault="0073405D" w:rsidP="00A153C6">
      <w:pPr>
        <w:pStyle w:val="FootnoteText"/>
        <w:jc w:val="both"/>
        <w:rPr>
          <w:lang w:val="en-US"/>
        </w:rPr>
      </w:pPr>
      <w:r>
        <w:rPr>
          <w:rStyle w:val="FootnoteReference"/>
        </w:rPr>
        <w:footnoteRef/>
      </w:r>
      <w:r>
        <w:t xml:space="preserve"> </w:t>
      </w:r>
      <w:r w:rsidRPr="00D41B11">
        <w:rPr>
          <w:rFonts w:ascii="Times New Roman" w:hAnsi="Times New Roman" w:cs="Times New Roman"/>
          <w:i/>
        </w:rPr>
        <w:t>Rodriguez v. Speyer Bros</w:t>
      </w:r>
      <w:r>
        <w:rPr>
          <w:rFonts w:ascii="Times New Roman" w:hAnsi="Times New Roman" w:cs="Times New Roman"/>
        </w:rPr>
        <w:t xml:space="preserve"> [1919] A.C. 59 at 79</w:t>
      </w:r>
      <w:r w:rsidR="00B51088">
        <w:rPr>
          <w:rFonts w:ascii="Times New Roman" w:hAnsi="Times New Roman" w:cs="Times New Roman"/>
        </w:rPr>
        <w:t>.</w:t>
      </w:r>
    </w:p>
  </w:footnote>
  <w:footnote w:id="29">
    <w:p w:rsidR="0073405D" w:rsidRPr="0073405D" w:rsidRDefault="0073405D" w:rsidP="00A153C6">
      <w:pPr>
        <w:pStyle w:val="FootnoteText"/>
        <w:jc w:val="both"/>
        <w:rPr>
          <w:lang w:val="en-US"/>
        </w:rPr>
      </w:pPr>
      <w:r>
        <w:rPr>
          <w:rStyle w:val="FootnoteReference"/>
        </w:rPr>
        <w:footnoteRef/>
      </w:r>
      <w:r>
        <w:t xml:space="preserve"> </w:t>
      </w:r>
      <w:r w:rsidRPr="00D41B11">
        <w:rPr>
          <w:rFonts w:ascii="Times New Roman" w:hAnsi="Times New Roman" w:cs="Times New Roman"/>
          <w:i/>
        </w:rPr>
        <w:t>Enderby Town FC Ltd. v. The Football Association Ltd.</w:t>
      </w:r>
      <w:r>
        <w:rPr>
          <w:rFonts w:ascii="Times New Roman" w:hAnsi="Times New Roman" w:cs="Times New Roman"/>
        </w:rPr>
        <w:t xml:space="preserve"> [ 1971] Ch. 591 at 606</w:t>
      </w:r>
      <w:r w:rsidR="00B51088">
        <w:rPr>
          <w:rFonts w:ascii="Times New Roman" w:hAnsi="Times New Roman" w:cs="Times New Roman"/>
        </w:rPr>
        <w: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726C1A"/>
    <w:multiLevelType w:val="hybridMultilevel"/>
    <w:tmpl w:val="AC2A720A"/>
    <w:lvl w:ilvl="0" w:tplc="0409000F">
      <w:start w:val="1"/>
      <w:numFmt w:val="decimal"/>
      <w:lvlText w:val="%1."/>
      <w:lvlJc w:val="left"/>
      <w:pPr>
        <w:ind w:left="3585"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CC45D8D"/>
    <w:multiLevelType w:val="hybridMultilevel"/>
    <w:tmpl w:val="1C7ABF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64E7639"/>
    <w:multiLevelType w:val="hybridMultilevel"/>
    <w:tmpl w:val="6024DC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7B77CF7"/>
    <w:multiLevelType w:val="hybridMultilevel"/>
    <w:tmpl w:val="B9DE2FF2"/>
    <w:lvl w:ilvl="0" w:tplc="D402CC88">
      <w:start w:val="1"/>
      <w:numFmt w:val="bullet"/>
      <w:lvlText w:val=""/>
      <w:lvlJc w:val="left"/>
      <w:pPr>
        <w:tabs>
          <w:tab w:val="num" w:pos="720"/>
        </w:tabs>
        <w:ind w:left="720" w:hanging="360"/>
      </w:pPr>
      <w:rPr>
        <w:rFonts w:ascii="Wingdings" w:hAnsi="Wingdings" w:hint="default"/>
      </w:rPr>
    </w:lvl>
    <w:lvl w:ilvl="1" w:tplc="1744EB1C" w:tentative="1">
      <w:start w:val="1"/>
      <w:numFmt w:val="bullet"/>
      <w:lvlText w:val=""/>
      <w:lvlJc w:val="left"/>
      <w:pPr>
        <w:tabs>
          <w:tab w:val="num" w:pos="1440"/>
        </w:tabs>
        <w:ind w:left="1440" w:hanging="360"/>
      </w:pPr>
      <w:rPr>
        <w:rFonts w:ascii="Wingdings" w:hAnsi="Wingdings" w:hint="default"/>
      </w:rPr>
    </w:lvl>
    <w:lvl w:ilvl="2" w:tplc="400ECD36" w:tentative="1">
      <w:start w:val="1"/>
      <w:numFmt w:val="bullet"/>
      <w:lvlText w:val=""/>
      <w:lvlJc w:val="left"/>
      <w:pPr>
        <w:tabs>
          <w:tab w:val="num" w:pos="2160"/>
        </w:tabs>
        <w:ind w:left="2160" w:hanging="360"/>
      </w:pPr>
      <w:rPr>
        <w:rFonts w:ascii="Wingdings" w:hAnsi="Wingdings" w:hint="default"/>
      </w:rPr>
    </w:lvl>
    <w:lvl w:ilvl="3" w:tplc="23282D58" w:tentative="1">
      <w:start w:val="1"/>
      <w:numFmt w:val="bullet"/>
      <w:lvlText w:val=""/>
      <w:lvlJc w:val="left"/>
      <w:pPr>
        <w:tabs>
          <w:tab w:val="num" w:pos="2880"/>
        </w:tabs>
        <w:ind w:left="2880" w:hanging="360"/>
      </w:pPr>
      <w:rPr>
        <w:rFonts w:ascii="Wingdings" w:hAnsi="Wingdings" w:hint="default"/>
      </w:rPr>
    </w:lvl>
    <w:lvl w:ilvl="4" w:tplc="FB22FD2E" w:tentative="1">
      <w:start w:val="1"/>
      <w:numFmt w:val="bullet"/>
      <w:lvlText w:val=""/>
      <w:lvlJc w:val="left"/>
      <w:pPr>
        <w:tabs>
          <w:tab w:val="num" w:pos="3600"/>
        </w:tabs>
        <w:ind w:left="3600" w:hanging="360"/>
      </w:pPr>
      <w:rPr>
        <w:rFonts w:ascii="Wingdings" w:hAnsi="Wingdings" w:hint="default"/>
      </w:rPr>
    </w:lvl>
    <w:lvl w:ilvl="5" w:tplc="835A926A" w:tentative="1">
      <w:start w:val="1"/>
      <w:numFmt w:val="bullet"/>
      <w:lvlText w:val=""/>
      <w:lvlJc w:val="left"/>
      <w:pPr>
        <w:tabs>
          <w:tab w:val="num" w:pos="4320"/>
        </w:tabs>
        <w:ind w:left="4320" w:hanging="360"/>
      </w:pPr>
      <w:rPr>
        <w:rFonts w:ascii="Wingdings" w:hAnsi="Wingdings" w:hint="default"/>
      </w:rPr>
    </w:lvl>
    <w:lvl w:ilvl="6" w:tplc="777425EC" w:tentative="1">
      <w:start w:val="1"/>
      <w:numFmt w:val="bullet"/>
      <w:lvlText w:val=""/>
      <w:lvlJc w:val="left"/>
      <w:pPr>
        <w:tabs>
          <w:tab w:val="num" w:pos="5040"/>
        </w:tabs>
        <w:ind w:left="5040" w:hanging="360"/>
      </w:pPr>
      <w:rPr>
        <w:rFonts w:ascii="Wingdings" w:hAnsi="Wingdings" w:hint="default"/>
      </w:rPr>
    </w:lvl>
    <w:lvl w:ilvl="7" w:tplc="3078D54E" w:tentative="1">
      <w:start w:val="1"/>
      <w:numFmt w:val="bullet"/>
      <w:lvlText w:val=""/>
      <w:lvlJc w:val="left"/>
      <w:pPr>
        <w:tabs>
          <w:tab w:val="num" w:pos="5760"/>
        </w:tabs>
        <w:ind w:left="5760" w:hanging="360"/>
      </w:pPr>
      <w:rPr>
        <w:rFonts w:ascii="Wingdings" w:hAnsi="Wingdings" w:hint="default"/>
      </w:rPr>
    </w:lvl>
    <w:lvl w:ilvl="8" w:tplc="C57A50D0" w:tentative="1">
      <w:start w:val="1"/>
      <w:numFmt w:val="bullet"/>
      <w:lvlText w:val=""/>
      <w:lvlJc w:val="left"/>
      <w:pPr>
        <w:tabs>
          <w:tab w:val="num" w:pos="6480"/>
        </w:tabs>
        <w:ind w:left="6480" w:hanging="360"/>
      </w:pPr>
      <w:rPr>
        <w:rFonts w:ascii="Wingdings" w:hAnsi="Wingdings" w:hint="default"/>
      </w:rPr>
    </w:lvl>
  </w:abstractNum>
  <w:abstractNum w:abstractNumId="4">
    <w:nsid w:val="26B05D88"/>
    <w:multiLevelType w:val="hybridMultilevel"/>
    <w:tmpl w:val="9AE0014A"/>
    <w:lvl w:ilvl="0" w:tplc="14789E8C">
      <w:start w:val="1"/>
      <w:numFmt w:val="lowerLetter"/>
      <w:lvlText w:val="(%1)"/>
      <w:lvlJc w:val="left"/>
      <w:pPr>
        <w:ind w:left="928" w:hanging="360"/>
      </w:pPr>
      <w:rPr>
        <w:rFonts w:hint="default"/>
      </w:rPr>
    </w:lvl>
    <w:lvl w:ilvl="1" w:tplc="08090019" w:tentative="1">
      <w:start w:val="1"/>
      <w:numFmt w:val="lowerLetter"/>
      <w:lvlText w:val="%2."/>
      <w:lvlJc w:val="left"/>
      <w:pPr>
        <w:ind w:left="1648" w:hanging="360"/>
      </w:pPr>
    </w:lvl>
    <w:lvl w:ilvl="2" w:tplc="0809001B" w:tentative="1">
      <w:start w:val="1"/>
      <w:numFmt w:val="lowerRoman"/>
      <w:lvlText w:val="%3."/>
      <w:lvlJc w:val="right"/>
      <w:pPr>
        <w:ind w:left="2368" w:hanging="180"/>
      </w:pPr>
    </w:lvl>
    <w:lvl w:ilvl="3" w:tplc="0809000F" w:tentative="1">
      <w:start w:val="1"/>
      <w:numFmt w:val="decimal"/>
      <w:lvlText w:val="%4."/>
      <w:lvlJc w:val="left"/>
      <w:pPr>
        <w:ind w:left="3088" w:hanging="360"/>
      </w:pPr>
    </w:lvl>
    <w:lvl w:ilvl="4" w:tplc="08090019" w:tentative="1">
      <w:start w:val="1"/>
      <w:numFmt w:val="lowerLetter"/>
      <w:lvlText w:val="%5."/>
      <w:lvlJc w:val="left"/>
      <w:pPr>
        <w:ind w:left="3808" w:hanging="360"/>
      </w:pPr>
    </w:lvl>
    <w:lvl w:ilvl="5" w:tplc="0809001B" w:tentative="1">
      <w:start w:val="1"/>
      <w:numFmt w:val="lowerRoman"/>
      <w:lvlText w:val="%6."/>
      <w:lvlJc w:val="right"/>
      <w:pPr>
        <w:ind w:left="4528" w:hanging="180"/>
      </w:pPr>
    </w:lvl>
    <w:lvl w:ilvl="6" w:tplc="0809000F" w:tentative="1">
      <w:start w:val="1"/>
      <w:numFmt w:val="decimal"/>
      <w:lvlText w:val="%7."/>
      <w:lvlJc w:val="left"/>
      <w:pPr>
        <w:ind w:left="5248" w:hanging="360"/>
      </w:pPr>
    </w:lvl>
    <w:lvl w:ilvl="7" w:tplc="08090019" w:tentative="1">
      <w:start w:val="1"/>
      <w:numFmt w:val="lowerLetter"/>
      <w:lvlText w:val="%8."/>
      <w:lvlJc w:val="left"/>
      <w:pPr>
        <w:ind w:left="5968" w:hanging="360"/>
      </w:pPr>
    </w:lvl>
    <w:lvl w:ilvl="8" w:tplc="0809001B" w:tentative="1">
      <w:start w:val="1"/>
      <w:numFmt w:val="lowerRoman"/>
      <w:lvlText w:val="%9."/>
      <w:lvlJc w:val="right"/>
      <w:pPr>
        <w:ind w:left="6688" w:hanging="180"/>
      </w:pPr>
    </w:lvl>
  </w:abstractNum>
  <w:abstractNum w:abstractNumId="5">
    <w:nsid w:val="52E56FE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531336CC"/>
    <w:multiLevelType w:val="hybridMultilevel"/>
    <w:tmpl w:val="D808235E"/>
    <w:lvl w:ilvl="0" w:tplc="2B688FBA">
      <w:start w:val="1"/>
      <w:numFmt w:val="bullet"/>
      <w:lvlText w:val="•"/>
      <w:lvlJc w:val="left"/>
      <w:pPr>
        <w:tabs>
          <w:tab w:val="num" w:pos="720"/>
        </w:tabs>
        <w:ind w:left="720" w:hanging="360"/>
      </w:pPr>
      <w:rPr>
        <w:rFonts w:ascii="Arial" w:hAnsi="Arial" w:hint="default"/>
      </w:rPr>
    </w:lvl>
    <w:lvl w:ilvl="1" w:tplc="3BEC3F84" w:tentative="1">
      <w:start w:val="1"/>
      <w:numFmt w:val="bullet"/>
      <w:lvlText w:val="•"/>
      <w:lvlJc w:val="left"/>
      <w:pPr>
        <w:tabs>
          <w:tab w:val="num" w:pos="1440"/>
        </w:tabs>
        <w:ind w:left="1440" w:hanging="360"/>
      </w:pPr>
      <w:rPr>
        <w:rFonts w:ascii="Arial" w:hAnsi="Arial" w:hint="default"/>
      </w:rPr>
    </w:lvl>
    <w:lvl w:ilvl="2" w:tplc="2B5A9F58" w:tentative="1">
      <w:start w:val="1"/>
      <w:numFmt w:val="bullet"/>
      <w:lvlText w:val="•"/>
      <w:lvlJc w:val="left"/>
      <w:pPr>
        <w:tabs>
          <w:tab w:val="num" w:pos="2160"/>
        </w:tabs>
        <w:ind w:left="2160" w:hanging="360"/>
      </w:pPr>
      <w:rPr>
        <w:rFonts w:ascii="Arial" w:hAnsi="Arial" w:hint="default"/>
      </w:rPr>
    </w:lvl>
    <w:lvl w:ilvl="3" w:tplc="5B288742">
      <w:start w:val="1"/>
      <w:numFmt w:val="bullet"/>
      <w:lvlText w:val="•"/>
      <w:lvlJc w:val="left"/>
      <w:pPr>
        <w:tabs>
          <w:tab w:val="num" w:pos="2880"/>
        </w:tabs>
        <w:ind w:left="2880" w:hanging="360"/>
      </w:pPr>
      <w:rPr>
        <w:rFonts w:ascii="Arial" w:hAnsi="Arial" w:hint="default"/>
      </w:rPr>
    </w:lvl>
    <w:lvl w:ilvl="4" w:tplc="970AED76">
      <w:start w:val="1"/>
      <w:numFmt w:val="bullet"/>
      <w:lvlText w:val="•"/>
      <w:lvlJc w:val="left"/>
      <w:pPr>
        <w:tabs>
          <w:tab w:val="num" w:pos="3600"/>
        </w:tabs>
        <w:ind w:left="3600" w:hanging="360"/>
      </w:pPr>
      <w:rPr>
        <w:rFonts w:ascii="Arial" w:hAnsi="Arial" w:hint="default"/>
      </w:rPr>
    </w:lvl>
    <w:lvl w:ilvl="5" w:tplc="4590F192" w:tentative="1">
      <w:start w:val="1"/>
      <w:numFmt w:val="bullet"/>
      <w:lvlText w:val="•"/>
      <w:lvlJc w:val="left"/>
      <w:pPr>
        <w:tabs>
          <w:tab w:val="num" w:pos="4320"/>
        </w:tabs>
        <w:ind w:left="4320" w:hanging="360"/>
      </w:pPr>
      <w:rPr>
        <w:rFonts w:ascii="Arial" w:hAnsi="Arial" w:hint="default"/>
      </w:rPr>
    </w:lvl>
    <w:lvl w:ilvl="6" w:tplc="0B38A2C0" w:tentative="1">
      <w:start w:val="1"/>
      <w:numFmt w:val="bullet"/>
      <w:lvlText w:val="•"/>
      <w:lvlJc w:val="left"/>
      <w:pPr>
        <w:tabs>
          <w:tab w:val="num" w:pos="5040"/>
        </w:tabs>
        <w:ind w:left="5040" w:hanging="360"/>
      </w:pPr>
      <w:rPr>
        <w:rFonts w:ascii="Arial" w:hAnsi="Arial" w:hint="default"/>
      </w:rPr>
    </w:lvl>
    <w:lvl w:ilvl="7" w:tplc="2248927E" w:tentative="1">
      <w:start w:val="1"/>
      <w:numFmt w:val="bullet"/>
      <w:lvlText w:val="•"/>
      <w:lvlJc w:val="left"/>
      <w:pPr>
        <w:tabs>
          <w:tab w:val="num" w:pos="5760"/>
        </w:tabs>
        <w:ind w:left="5760" w:hanging="360"/>
      </w:pPr>
      <w:rPr>
        <w:rFonts w:ascii="Arial" w:hAnsi="Arial" w:hint="default"/>
      </w:rPr>
    </w:lvl>
    <w:lvl w:ilvl="8" w:tplc="733C6008" w:tentative="1">
      <w:start w:val="1"/>
      <w:numFmt w:val="bullet"/>
      <w:lvlText w:val="•"/>
      <w:lvlJc w:val="left"/>
      <w:pPr>
        <w:tabs>
          <w:tab w:val="num" w:pos="6480"/>
        </w:tabs>
        <w:ind w:left="6480" w:hanging="360"/>
      </w:pPr>
      <w:rPr>
        <w:rFonts w:ascii="Arial" w:hAnsi="Arial" w:hint="default"/>
      </w:rPr>
    </w:lvl>
  </w:abstractNum>
  <w:num w:numId="1">
    <w:abstractNumId w:val="3"/>
  </w:num>
  <w:num w:numId="2">
    <w:abstractNumId w:val="4"/>
  </w:num>
  <w:num w:numId="3">
    <w:abstractNumId w:val="6"/>
  </w:num>
  <w:num w:numId="4">
    <w:abstractNumId w:val="0"/>
  </w:num>
  <w:num w:numId="5">
    <w:abstractNumId w:val="2"/>
  </w:num>
  <w:num w:numId="6">
    <w:abstractNumId w:val="1"/>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20"/>
  <w:characterSpacingControl w:val="doNotCompress"/>
  <w:footnotePr>
    <w:footnote w:id="0"/>
    <w:footnote w:id="1"/>
  </w:footnotePr>
  <w:endnotePr>
    <w:endnote w:id="0"/>
    <w:endnote w:id="1"/>
  </w:endnotePr>
  <w:compat/>
  <w:rsids>
    <w:rsidRoot w:val="00082142"/>
    <w:rsid w:val="00082142"/>
    <w:rsid w:val="001354D7"/>
    <w:rsid w:val="00191E3D"/>
    <w:rsid w:val="001953AF"/>
    <w:rsid w:val="00304A7F"/>
    <w:rsid w:val="00323710"/>
    <w:rsid w:val="00503C25"/>
    <w:rsid w:val="005D6206"/>
    <w:rsid w:val="00691467"/>
    <w:rsid w:val="0073405D"/>
    <w:rsid w:val="007E4DD4"/>
    <w:rsid w:val="008E3409"/>
    <w:rsid w:val="009F7A83"/>
    <w:rsid w:val="00A153C6"/>
    <w:rsid w:val="00A70D10"/>
    <w:rsid w:val="00B1732A"/>
    <w:rsid w:val="00B51088"/>
    <w:rsid w:val="00BB0974"/>
    <w:rsid w:val="00C125AC"/>
    <w:rsid w:val="00D21384"/>
    <w:rsid w:val="00D41B11"/>
    <w:rsid w:val="00ED71E3"/>
    <w:rsid w:val="00F20B1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2142"/>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08214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82142"/>
    <w:rPr>
      <w:rFonts w:asciiTheme="majorHAnsi" w:eastAsiaTheme="majorEastAsia" w:hAnsiTheme="majorHAnsi" w:cstheme="majorBidi"/>
      <w:color w:val="17365D" w:themeColor="text2" w:themeShade="BF"/>
      <w:spacing w:val="5"/>
      <w:kern w:val="28"/>
      <w:sz w:val="52"/>
      <w:szCs w:val="52"/>
      <w:lang w:val="en-GB"/>
    </w:rPr>
  </w:style>
  <w:style w:type="paragraph" w:styleId="FootnoteText">
    <w:name w:val="footnote text"/>
    <w:basedOn w:val="Normal"/>
    <w:link w:val="FootnoteTextChar"/>
    <w:uiPriority w:val="99"/>
    <w:semiHidden/>
    <w:unhideWhenUsed/>
    <w:rsid w:val="0008214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82142"/>
    <w:rPr>
      <w:sz w:val="20"/>
      <w:szCs w:val="20"/>
      <w:lang w:val="en-GB"/>
    </w:rPr>
  </w:style>
  <w:style w:type="character" w:styleId="FootnoteReference">
    <w:name w:val="footnote reference"/>
    <w:basedOn w:val="DefaultParagraphFont"/>
    <w:uiPriority w:val="99"/>
    <w:semiHidden/>
    <w:unhideWhenUsed/>
    <w:rsid w:val="00082142"/>
    <w:rPr>
      <w:vertAlign w:val="superscript"/>
    </w:rPr>
  </w:style>
  <w:style w:type="paragraph" w:styleId="ListParagraph">
    <w:name w:val="List Paragraph"/>
    <w:basedOn w:val="Normal"/>
    <w:uiPriority w:val="34"/>
    <w:qFormat/>
    <w:rsid w:val="00082142"/>
    <w:pPr>
      <w:ind w:left="720"/>
      <w:contextualSpacing/>
    </w:pPr>
  </w:style>
  <w:style w:type="character" w:styleId="Hyperlink">
    <w:name w:val="Hyperlink"/>
    <w:basedOn w:val="DefaultParagraphFont"/>
    <w:uiPriority w:val="99"/>
    <w:unhideWhenUsed/>
    <w:rsid w:val="009F7A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javascript:fnOpenGlobalPopUp('/ba/disp.asp','16910','1');" TargetMode="External"/><Relationship Id="rId3" Type="http://schemas.openxmlformats.org/officeDocument/2006/relationships/settings" Target="settings.xml"/><Relationship Id="rId7" Type="http://schemas.openxmlformats.org/officeDocument/2006/relationships/hyperlink" Target="javascript:fnOpenGlobalPopUp('/ba/disp.asp','15350','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javascript:fnOpenGlobalPopUp('/ba/disp.asp','16908','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107</TotalTime>
  <Pages>11</Pages>
  <Words>3215</Words>
  <Characters>18327</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jeet</dc:creator>
  <cp:lastModifiedBy>jeet</cp:lastModifiedBy>
  <cp:revision>15</cp:revision>
  <dcterms:created xsi:type="dcterms:W3CDTF">2009-10-30T18:34:00Z</dcterms:created>
  <dcterms:modified xsi:type="dcterms:W3CDTF">2009-10-30T20:45:00Z</dcterms:modified>
</cp:coreProperties>
</file>