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Borders>
          <w:top w:val="dotted" w:sz="6" w:space="0" w:color="E5E5E5"/>
          <w:left w:val="dotted" w:sz="6" w:space="0" w:color="E5E5E5"/>
          <w:bottom w:val="dotted" w:sz="6" w:space="0" w:color="E5E5E5"/>
          <w:right w:val="dotted" w:sz="6" w:space="0" w:color="E5E5E5"/>
        </w:tblBorders>
        <w:tblCellMar>
          <w:left w:w="0" w:type="dxa"/>
          <w:right w:w="0" w:type="dxa"/>
        </w:tblCellMar>
        <w:tblLook w:val="04A0"/>
      </w:tblPr>
      <w:tblGrid>
        <w:gridCol w:w="9360"/>
      </w:tblGrid>
      <w:tr w:rsidR="000E3F0F" w:rsidRPr="000E3F0F" w:rsidTr="000E3F0F">
        <w:tc>
          <w:tcPr>
            <w:tcW w:w="0" w:type="auto"/>
            <w:tcBorders>
              <w:top w:val="nil"/>
              <w:left w:val="nil"/>
              <w:bottom w:val="nil"/>
              <w:right w:val="nil"/>
            </w:tcBorders>
            <w:vAlign w:val="center"/>
            <w:hideMark/>
          </w:tcPr>
          <w:tbl>
            <w:tblPr>
              <w:tblW w:w="5000" w:type="pct"/>
              <w:tblBorders>
                <w:top w:val="dotted" w:sz="6" w:space="0" w:color="E5E5E5"/>
                <w:left w:val="dotted" w:sz="6" w:space="0" w:color="E5E5E5"/>
                <w:bottom w:val="dotted" w:sz="6" w:space="0" w:color="E5E5E5"/>
                <w:right w:val="dotted" w:sz="6" w:space="0" w:color="E5E5E5"/>
              </w:tblBorders>
              <w:tblCellMar>
                <w:left w:w="0" w:type="dxa"/>
                <w:right w:w="0" w:type="dxa"/>
              </w:tblCellMar>
              <w:tblLook w:val="04A0"/>
            </w:tblPr>
            <w:tblGrid>
              <w:gridCol w:w="9344"/>
            </w:tblGrid>
            <w:tr w:rsidR="000E3F0F" w:rsidRPr="000E3F0F">
              <w:tc>
                <w:tcPr>
                  <w:tcW w:w="5000" w:type="pct"/>
                  <w:tcBorders>
                    <w:top w:val="outset" w:sz="6" w:space="0" w:color="F5F5F5"/>
                    <w:left w:val="outset" w:sz="6" w:space="0" w:color="F5F5F5"/>
                    <w:bottom w:val="outset" w:sz="6" w:space="0" w:color="F5F5F5"/>
                    <w:right w:val="outset" w:sz="6" w:space="0" w:color="F5F5F5"/>
                  </w:tcBorders>
                  <w:vAlign w:val="center"/>
                  <w:hideMark/>
                </w:tcPr>
                <w:p w:rsidR="000E3F0F" w:rsidRPr="000E3F0F" w:rsidRDefault="000E3F0F" w:rsidP="000E3F0F">
                  <w:pPr>
                    <w:spacing w:before="100" w:beforeAutospacing="1" w:after="100" w:afterAutospacing="1" w:line="240" w:lineRule="auto"/>
                    <w:rPr>
                      <w:rFonts w:ascii="Arial" w:eastAsia="Times New Roman" w:hAnsi="Arial" w:cs="Arial"/>
                      <w:sz w:val="18"/>
                      <w:szCs w:val="18"/>
                    </w:rPr>
                  </w:pPr>
                  <w:r w:rsidRPr="000E3F0F">
                    <w:rPr>
                      <w:rFonts w:ascii="Arial" w:eastAsia="Times New Roman" w:hAnsi="Arial" w:cs="Arial"/>
                      <w:b/>
                      <w:bCs/>
                      <w:sz w:val="20"/>
                      <w:szCs w:val="20"/>
                    </w:rPr>
                    <w:t>This is an UNCERTIFIED copy for information/reference. For authentic copy please refer to certified copy only. In case of any mistake, please bring it to the notice of Joint Registrar(Copying).</w:t>
                  </w:r>
                </w:p>
              </w:tc>
            </w:tr>
          </w:tbl>
          <w:p w:rsidR="000E3F0F" w:rsidRPr="000E3F0F" w:rsidRDefault="000E3F0F" w:rsidP="000E3F0F">
            <w:pPr>
              <w:spacing w:after="0" w:line="240" w:lineRule="auto"/>
              <w:rPr>
                <w:rFonts w:ascii="Arial" w:eastAsia="Times New Roman" w:hAnsi="Arial" w:cs="Arial"/>
                <w:sz w:val="18"/>
                <w:szCs w:val="18"/>
              </w:rPr>
            </w:pPr>
          </w:p>
        </w:tc>
      </w:tr>
      <w:tr w:rsidR="005151F7" w:rsidRPr="000E3F0F" w:rsidTr="000E3F0F">
        <w:tc>
          <w:tcPr>
            <w:tcW w:w="0" w:type="auto"/>
            <w:tcBorders>
              <w:top w:val="nil"/>
              <w:left w:val="nil"/>
              <w:bottom w:val="nil"/>
              <w:right w:val="nil"/>
            </w:tcBorders>
            <w:vAlign w:val="center"/>
            <w:hideMark/>
          </w:tcPr>
          <w:p w:rsidR="005151F7" w:rsidRPr="000E3F0F" w:rsidRDefault="005151F7" w:rsidP="000E3F0F">
            <w:pPr>
              <w:spacing w:before="100" w:beforeAutospacing="1" w:after="100" w:afterAutospacing="1" w:line="240" w:lineRule="auto"/>
              <w:rPr>
                <w:rFonts w:ascii="Arial" w:eastAsia="Times New Roman" w:hAnsi="Arial" w:cs="Arial"/>
                <w:b/>
                <w:bCs/>
                <w:sz w:val="20"/>
                <w:szCs w:val="20"/>
              </w:rPr>
            </w:pPr>
          </w:p>
        </w:tc>
      </w:tr>
    </w:tbl>
    <w:p w:rsidR="005151F7" w:rsidRDefault="005151F7" w:rsidP="005151F7">
      <w:pPr>
        <w:rPr>
          <w:rFonts w:ascii="Arial" w:eastAsia="Times New Roman" w:hAnsi="Arial" w:cs="Arial"/>
          <w:b/>
          <w:bCs/>
          <w:sz w:val="20"/>
          <w:szCs w:val="20"/>
        </w:rPr>
      </w:pPr>
    </w:p>
    <w:p w:rsidR="007F7FB3" w:rsidRDefault="000E3F0F" w:rsidP="005151F7">
      <w:pPr>
        <w:rPr>
          <w:rFonts w:ascii="Arial" w:eastAsia="Times New Roman" w:hAnsi="Arial" w:cs="Arial"/>
          <w:sz w:val="20"/>
          <w:szCs w:val="20"/>
        </w:rPr>
      </w:pPr>
      <w:r w:rsidRPr="000E3F0F">
        <w:rPr>
          <w:rFonts w:ascii="Arial" w:eastAsia="Times New Roman" w:hAnsi="Arial" w:cs="Arial"/>
          <w:b/>
          <w:bCs/>
          <w:sz w:val="20"/>
          <w:szCs w:val="20"/>
        </w:rPr>
        <w:t xml:space="preserve">HIGH COURT OF JUDICATURE AT ALLAHABAD </w:t>
      </w:r>
      <w:r w:rsidRPr="000E3F0F">
        <w:rPr>
          <w:rFonts w:ascii="Arial" w:eastAsia="Times New Roman" w:hAnsi="Arial" w:cs="Arial"/>
          <w:sz w:val="20"/>
          <w:szCs w:val="20"/>
        </w:rPr>
        <w:br/>
      </w:r>
      <w:r w:rsidRPr="000E3F0F">
        <w:rPr>
          <w:rFonts w:ascii="Arial" w:eastAsia="Times New Roman" w:hAnsi="Arial" w:cs="Arial"/>
          <w:sz w:val="20"/>
          <w:szCs w:val="20"/>
        </w:rPr>
        <w:br/>
        <w:t xml:space="preserve">Chief Justice's Court </w:t>
      </w:r>
      <w:r w:rsidRPr="000E3F0F">
        <w:rPr>
          <w:rFonts w:ascii="Arial" w:eastAsia="Times New Roman" w:hAnsi="Arial" w:cs="Arial"/>
          <w:sz w:val="20"/>
          <w:szCs w:val="20"/>
        </w:rPr>
        <w:br/>
      </w:r>
      <w:r w:rsidRPr="000E3F0F">
        <w:rPr>
          <w:rFonts w:ascii="Arial" w:eastAsia="Times New Roman" w:hAnsi="Arial" w:cs="Arial"/>
          <w:sz w:val="20"/>
          <w:szCs w:val="20"/>
        </w:rPr>
        <w:br/>
        <w:t xml:space="preserve">Special Appeal No. 692 of 2006 </w:t>
      </w:r>
      <w:r w:rsidRPr="000E3F0F">
        <w:rPr>
          <w:rFonts w:ascii="Arial" w:eastAsia="Times New Roman" w:hAnsi="Arial" w:cs="Arial"/>
          <w:sz w:val="20"/>
          <w:szCs w:val="20"/>
        </w:rPr>
        <w:br/>
        <w:t xml:space="preserve">Vice Chancellor, Banaras Hindu University and others </w:t>
      </w:r>
      <w:r w:rsidRPr="000E3F0F">
        <w:rPr>
          <w:rFonts w:ascii="Arial" w:eastAsia="Times New Roman" w:hAnsi="Arial" w:cs="Arial"/>
          <w:sz w:val="20"/>
          <w:szCs w:val="20"/>
        </w:rPr>
        <w:br/>
        <w:t xml:space="preserve">vs. </w:t>
      </w:r>
      <w:r w:rsidRPr="000E3F0F">
        <w:rPr>
          <w:rFonts w:ascii="Arial" w:eastAsia="Times New Roman" w:hAnsi="Arial" w:cs="Arial"/>
          <w:sz w:val="20"/>
          <w:szCs w:val="20"/>
        </w:rPr>
        <w:br/>
        <w:t xml:space="preserve">Anand Kumar Rai and others </w:t>
      </w:r>
      <w:r w:rsidRPr="000E3F0F">
        <w:rPr>
          <w:rFonts w:ascii="Arial" w:eastAsia="Times New Roman" w:hAnsi="Arial" w:cs="Arial"/>
          <w:sz w:val="20"/>
          <w:szCs w:val="20"/>
        </w:rPr>
        <w:br/>
      </w:r>
      <w:r w:rsidRPr="000E3F0F">
        <w:rPr>
          <w:rFonts w:ascii="Arial" w:eastAsia="Times New Roman" w:hAnsi="Arial" w:cs="Arial"/>
          <w:sz w:val="20"/>
          <w:szCs w:val="20"/>
        </w:rPr>
        <w:br/>
        <w:t xml:space="preserve">**** </w:t>
      </w:r>
      <w:r w:rsidRPr="000E3F0F">
        <w:rPr>
          <w:rFonts w:ascii="Arial" w:eastAsia="Times New Roman" w:hAnsi="Arial" w:cs="Arial"/>
          <w:sz w:val="20"/>
          <w:szCs w:val="20"/>
        </w:rPr>
        <w:br/>
        <w:t xml:space="preserve">Counsel for the appellants: Mr. V.B. Singh (Sr. Adv) &amp; </w:t>
      </w:r>
      <w:r w:rsidRPr="000E3F0F">
        <w:rPr>
          <w:rFonts w:ascii="Arial" w:eastAsia="Times New Roman" w:hAnsi="Arial" w:cs="Arial"/>
          <w:sz w:val="20"/>
          <w:szCs w:val="20"/>
        </w:rPr>
        <w:br/>
        <w:t xml:space="preserve">Mr. Pankaj Naqvi </w:t>
      </w:r>
      <w:r w:rsidRPr="000E3F0F">
        <w:rPr>
          <w:rFonts w:ascii="Arial" w:eastAsia="Times New Roman" w:hAnsi="Arial" w:cs="Arial"/>
          <w:sz w:val="20"/>
          <w:szCs w:val="20"/>
        </w:rPr>
        <w:br/>
        <w:t xml:space="preserve">Counsel for the respondents: Mr. Shashi Nandan (Sr. Adv) &amp; </w:t>
      </w:r>
      <w:r w:rsidRPr="000E3F0F">
        <w:rPr>
          <w:rFonts w:ascii="Arial" w:eastAsia="Times New Roman" w:hAnsi="Arial" w:cs="Arial"/>
          <w:sz w:val="20"/>
          <w:szCs w:val="20"/>
        </w:rPr>
        <w:br/>
        <w:t xml:space="preserve">Mr. Arvind Srivastava </w:t>
      </w:r>
      <w:r w:rsidRPr="000E3F0F">
        <w:rPr>
          <w:rFonts w:ascii="Arial" w:eastAsia="Times New Roman" w:hAnsi="Arial" w:cs="Arial"/>
          <w:sz w:val="20"/>
          <w:szCs w:val="20"/>
        </w:rPr>
        <w:br/>
        <w:t xml:space="preserve">**** </w:t>
      </w:r>
      <w:r w:rsidRPr="000E3F0F">
        <w:rPr>
          <w:rFonts w:ascii="Arial" w:eastAsia="Times New Roman" w:hAnsi="Arial" w:cs="Arial"/>
          <w:sz w:val="20"/>
          <w:szCs w:val="20"/>
        </w:rPr>
        <w:br/>
      </w:r>
      <w:r w:rsidRPr="000E3F0F">
        <w:rPr>
          <w:rFonts w:ascii="Arial" w:eastAsia="Times New Roman" w:hAnsi="Arial" w:cs="Arial"/>
          <w:sz w:val="20"/>
          <w:szCs w:val="20"/>
        </w:rPr>
        <w:br/>
        <w:t xml:space="preserve">Hon'ble Ajoy Nath Ray,CJ </w:t>
      </w:r>
      <w:r w:rsidRPr="000E3F0F">
        <w:rPr>
          <w:rFonts w:ascii="Arial" w:eastAsia="Times New Roman" w:hAnsi="Arial" w:cs="Arial"/>
          <w:sz w:val="20"/>
          <w:szCs w:val="20"/>
        </w:rPr>
        <w:br/>
        <w:t xml:space="preserve">Hon'ble Ashok Bhushan,J </w:t>
      </w:r>
      <w:r w:rsidRPr="000E3F0F">
        <w:rPr>
          <w:rFonts w:ascii="Arial" w:eastAsia="Times New Roman" w:hAnsi="Arial" w:cs="Arial"/>
          <w:sz w:val="20"/>
          <w:szCs w:val="20"/>
        </w:rPr>
        <w:br/>
      </w:r>
      <w:r w:rsidRPr="000E3F0F">
        <w:rPr>
          <w:rFonts w:ascii="Arial" w:eastAsia="Times New Roman" w:hAnsi="Arial" w:cs="Arial"/>
          <w:sz w:val="20"/>
          <w:szCs w:val="20"/>
        </w:rPr>
        <w:br/>
      </w:r>
      <w:r w:rsidR="005151F7">
        <w:rPr>
          <w:rFonts w:ascii="Arial" w:eastAsia="Times New Roman" w:hAnsi="Arial" w:cs="Arial"/>
          <w:sz w:val="20"/>
          <w:szCs w:val="20"/>
        </w:rPr>
        <w:t xml:space="preserve">                      </w:t>
      </w:r>
      <w:r w:rsidRPr="000E3F0F">
        <w:rPr>
          <w:rFonts w:ascii="Arial" w:eastAsia="Times New Roman" w:hAnsi="Arial" w:cs="Arial"/>
          <w:sz w:val="20"/>
          <w:szCs w:val="20"/>
        </w:rPr>
        <w:t xml:space="preserve">This is an appeal from a judgment and order passed by Hon'ble Mr. Justice Arun Tandon on the 1st of May, 2006 granting relief to the writ petitioner in respect of admission to the Post Graduate Course in general medicine in the Banaras Hindu University. </w:t>
      </w:r>
      <w:r w:rsidRPr="000E3F0F">
        <w:rPr>
          <w:rFonts w:ascii="Arial" w:eastAsia="Times New Roman" w:hAnsi="Arial" w:cs="Arial"/>
          <w:sz w:val="20"/>
          <w:szCs w:val="20"/>
        </w:rPr>
        <w:br/>
        <w:t xml:space="preserve">We are in respectful agreement with the reasoning given and the order passed by the Hon'ble Single Judge but we have to say a few points only about the moulding of relief by his Lordship. </w:t>
      </w:r>
      <w:r w:rsidRPr="000E3F0F">
        <w:rPr>
          <w:rFonts w:ascii="Arial" w:eastAsia="Times New Roman" w:hAnsi="Arial" w:cs="Arial"/>
          <w:sz w:val="20"/>
          <w:szCs w:val="20"/>
        </w:rPr>
        <w:br/>
        <w:t xml:space="preserve">The writ petitioner-respondent has pursued his course in community medicine for two years. He has foregone his two years of study and has now opted for general medicine on the basis of the order of the Hon'ble Single Judge. </w:t>
      </w:r>
      <w:r w:rsidRPr="000E3F0F">
        <w:rPr>
          <w:rFonts w:ascii="Arial" w:eastAsia="Times New Roman" w:hAnsi="Arial" w:cs="Arial"/>
          <w:sz w:val="20"/>
          <w:szCs w:val="20"/>
        </w:rPr>
        <w:br/>
        <w:t xml:space="preserve">He has drawn during two years a stipend of Rs. 18,000/- per month and has enjoyed all the infrastructure and facilities which are available to post graduate students. If the order dated 1.5.2006 had been complied with by the University there and then, they would have displaced a general category candidate for general medicine for the academic year 2006-2007 and that would have been done without hearing that person who was being displaced. That would be unjust. </w:t>
      </w:r>
      <w:r w:rsidRPr="000E3F0F">
        <w:rPr>
          <w:rFonts w:ascii="Arial" w:eastAsia="Times New Roman" w:hAnsi="Arial" w:cs="Arial"/>
          <w:sz w:val="20"/>
          <w:szCs w:val="20"/>
        </w:rPr>
        <w:br/>
        <w:t xml:space="preserve">However, the non compliance of the Hon'ble Court's order by the University has been some sort of a boon in disguise. Admission was granted to the writ petitioner by a letter dated 16.11.2006 as the University was being threatened with a contempt petition. </w:t>
      </w:r>
      <w:r w:rsidRPr="000E3F0F">
        <w:rPr>
          <w:rFonts w:ascii="Arial" w:eastAsia="Times New Roman" w:hAnsi="Arial" w:cs="Arial"/>
          <w:sz w:val="20"/>
          <w:szCs w:val="20"/>
        </w:rPr>
        <w:br/>
        <w:t xml:space="preserve">It was not possible for us to take up the matter although requests had been made and the general principle which we follow in all cases is that the first Court's order should be complied with and if the appeal is ultimately won, we try to set back the clock as far as possible. </w:t>
      </w:r>
      <w:r w:rsidRPr="000E3F0F">
        <w:rPr>
          <w:rFonts w:ascii="Arial" w:eastAsia="Times New Roman" w:hAnsi="Arial" w:cs="Arial"/>
          <w:sz w:val="20"/>
          <w:szCs w:val="20"/>
        </w:rPr>
        <w:br/>
        <w:t xml:space="preserve">The copy letter in regard to the admission granted in November, 2006 is to be kept on record countersigned as part of these proceedings. As such the admission granted to the writ petitioner cannot be taken to be any factor against the Banaras Hindu University. </w:t>
      </w:r>
      <w:r w:rsidRPr="000E3F0F">
        <w:rPr>
          <w:rFonts w:ascii="Arial" w:eastAsia="Times New Roman" w:hAnsi="Arial" w:cs="Arial"/>
          <w:sz w:val="20"/>
          <w:szCs w:val="20"/>
        </w:rPr>
        <w:br/>
        <w:t xml:space="preserve">However, the grant of admission in November, 2006 (which is after 31.5.2006) cannot go against the writ petitioner as the University cannot be in a more favourable position by not complying with the order than they would have been in, had they complied with it. </w:t>
      </w:r>
      <w:r w:rsidRPr="000E3F0F">
        <w:rPr>
          <w:rFonts w:ascii="Arial" w:eastAsia="Times New Roman" w:hAnsi="Arial" w:cs="Arial"/>
          <w:sz w:val="20"/>
          <w:szCs w:val="20"/>
        </w:rPr>
        <w:br/>
      </w:r>
      <w:r w:rsidRPr="000E3F0F">
        <w:rPr>
          <w:rFonts w:ascii="Arial" w:eastAsia="Times New Roman" w:hAnsi="Arial" w:cs="Arial"/>
          <w:sz w:val="20"/>
          <w:szCs w:val="20"/>
        </w:rPr>
        <w:lastRenderedPageBreak/>
        <w:t xml:space="preserve">The year in which the writ petitioner took the post graduate screening test in the Banaras Hindu University was the year 2004. He was an internal candidate. </w:t>
      </w:r>
      <w:r w:rsidRPr="000E3F0F">
        <w:rPr>
          <w:rFonts w:ascii="Arial" w:eastAsia="Times New Roman" w:hAnsi="Arial" w:cs="Arial"/>
          <w:sz w:val="20"/>
          <w:szCs w:val="20"/>
        </w:rPr>
        <w:br/>
        <w:t xml:space="preserve">The judgment under appeal makes it amply clear that a reservation was applied midway through the selection process, to the extent of 15% for SC and 7.5% for ST and this was done at a stage when the first counselling was about to take place after a fortnight; it was done after the examinations were over and the selection process had been under way for a long time past. </w:t>
      </w:r>
      <w:r w:rsidRPr="000E3F0F">
        <w:rPr>
          <w:rFonts w:ascii="Arial" w:eastAsia="Times New Roman" w:hAnsi="Arial" w:cs="Arial"/>
          <w:sz w:val="20"/>
          <w:szCs w:val="20"/>
        </w:rPr>
        <w:br/>
        <w:t xml:space="preserve">Some of the SC/ST candidates who were distributed also amongst the choice disciplines of general medicine, surgery and opthalmology had secured lesser marks than the writ petitioner. </w:t>
      </w:r>
      <w:r w:rsidRPr="000E3F0F">
        <w:rPr>
          <w:rFonts w:ascii="Arial" w:eastAsia="Times New Roman" w:hAnsi="Arial" w:cs="Arial"/>
          <w:sz w:val="20"/>
          <w:szCs w:val="20"/>
        </w:rPr>
        <w:br/>
        <w:t xml:space="preserve">The writ petitioner had not done very well in the general category. He was the last general category candidate to get an admission. The discipline that he got was community medicine. It is so 'bad' that he is willing to give it up after two years; apparently all that he has earned is only quite some amount of money during that period. </w:t>
      </w:r>
      <w:r w:rsidRPr="000E3F0F">
        <w:rPr>
          <w:rFonts w:ascii="Arial" w:eastAsia="Times New Roman" w:hAnsi="Arial" w:cs="Arial"/>
          <w:sz w:val="20"/>
          <w:szCs w:val="20"/>
        </w:rPr>
        <w:br/>
        <w:t xml:space="preserve">The analysis made by the Hon'ble Single Judge of the facts is sufficiently clear and complete and we need not go into these details unnecessarily once again. There can be no two opinions possible that the sudden imposition of the SC/ST reservation midway during the selection process was thoroughly unsustainable in law. The justification of the Banaras Hindu University, from the moral, although not the legal, point of view is that they were faced suddenly with a very serious cutting down of the post graduate seats by reason of the decision given by the Supreme Court in the case of Saurabh Chaudhari; that, previously, the post graduate seats being more in number than MBBS seats and there being SC/ST reservation at the MBBS admission level, the reservation occurred de facto at the post graduate level also because many SC/ST candidates were getting into the Post Graduate Course on the internal quota because of the large number of seats available for them. The Banaras Hindu University felt in the meeting of the post graduate body held on the 10th of May, 2004 that it had to introduce the SC/ST quota at the post graduate level also; now that the number of seats had become less because of the Supreme Court decision. </w:t>
      </w:r>
      <w:r w:rsidRPr="000E3F0F">
        <w:rPr>
          <w:rFonts w:ascii="Arial" w:eastAsia="Times New Roman" w:hAnsi="Arial" w:cs="Arial"/>
          <w:sz w:val="20"/>
          <w:szCs w:val="20"/>
        </w:rPr>
        <w:br/>
        <w:t xml:space="preserve">A moral justification there was, but no legal justification at all. </w:t>
      </w:r>
      <w:r w:rsidRPr="000E3F0F">
        <w:rPr>
          <w:rFonts w:ascii="Arial" w:eastAsia="Times New Roman" w:hAnsi="Arial" w:cs="Arial"/>
          <w:sz w:val="20"/>
          <w:szCs w:val="20"/>
        </w:rPr>
        <w:br/>
        <w:t>Had the writ petition been heard and the affidavits completed the day the writ petition was filed, and had the suddenly included SC/ST candidates appeared with their marksheets before the Court on the very same day, and arguments had also been completed on that day and judgment delivered, there is no doubt that an SC/ST candidate would be removed from one of the disciplines, which are much 'better' than community medicine, and the writ petitioner would have been put there in his place instead.</w:t>
      </w:r>
    </w:p>
    <w:p w:rsidR="007F7FB3" w:rsidRDefault="000E3F0F" w:rsidP="005151F7">
      <w:pPr>
        <w:rPr>
          <w:rFonts w:ascii="Arial" w:eastAsia="Times New Roman" w:hAnsi="Arial" w:cs="Arial"/>
          <w:sz w:val="20"/>
          <w:szCs w:val="20"/>
        </w:rPr>
      </w:pPr>
      <w:r w:rsidRPr="000E3F0F">
        <w:rPr>
          <w:rFonts w:ascii="Arial" w:eastAsia="Times New Roman" w:hAnsi="Arial" w:cs="Arial"/>
          <w:sz w:val="20"/>
          <w:szCs w:val="20"/>
        </w:rPr>
        <w:br/>
        <w:t xml:space="preserve">The only point which is against the writ petitioner is the law's delay. The well known principle of law is that </w:t>
      </w:r>
      <w:r w:rsidRPr="007F7FB3">
        <w:rPr>
          <w:rFonts w:ascii="Arial" w:eastAsia="Times New Roman" w:hAnsi="Arial" w:cs="Arial"/>
          <w:b/>
          <w:sz w:val="20"/>
          <w:szCs w:val="20"/>
        </w:rPr>
        <w:t>actus curiae neminem gravabit</w:t>
      </w:r>
      <w:r w:rsidRPr="000E3F0F">
        <w:rPr>
          <w:rFonts w:ascii="Arial" w:eastAsia="Times New Roman" w:hAnsi="Arial" w:cs="Arial"/>
          <w:sz w:val="20"/>
          <w:szCs w:val="20"/>
        </w:rPr>
        <w:t xml:space="preserve"> which means that the Court's act shall oppress no one. </w:t>
      </w:r>
    </w:p>
    <w:p w:rsidR="00216C4C" w:rsidRDefault="000E3F0F" w:rsidP="005151F7">
      <w:r w:rsidRPr="000E3F0F">
        <w:rPr>
          <w:rFonts w:ascii="Arial" w:eastAsia="Times New Roman" w:hAnsi="Arial" w:cs="Arial"/>
          <w:sz w:val="20"/>
          <w:szCs w:val="20"/>
        </w:rPr>
        <w:br/>
        <w:t xml:space="preserve">The granting of time for affidavits, the time taken for hearing learned counsels, the time taken by the Court in getting to hear a case, the time taken in the considering and delivering a judgment, these are all steps in the normal legal process in any adversary system in any civilized country and therefore these are all acts of the Court. It is not possible that the Court should oppress or refuse reliefs to the writ petitioner because of these problems which are not his creation and which will remain, do what one might in regard to the law's dynamics. </w:t>
      </w:r>
      <w:r w:rsidRPr="000E3F0F">
        <w:rPr>
          <w:rFonts w:ascii="Arial" w:eastAsia="Times New Roman" w:hAnsi="Arial" w:cs="Arial"/>
          <w:sz w:val="20"/>
          <w:szCs w:val="20"/>
        </w:rPr>
        <w:br/>
        <w:t xml:space="preserve">Just as we cannot hold the admission granted by the Banaras Hindu University against them when we are hearing this appeal perhaps a month or two late, so also can we not hold anything against the writ petitioner because the first Court happened to hear the writ petition a little under two years after it was filed and delivered the judgment then. </w:t>
      </w:r>
      <w:r w:rsidRPr="000E3F0F">
        <w:rPr>
          <w:rFonts w:ascii="Arial" w:eastAsia="Times New Roman" w:hAnsi="Arial" w:cs="Arial"/>
          <w:sz w:val="20"/>
          <w:szCs w:val="20"/>
        </w:rPr>
        <w:br/>
        <w:t xml:space="preserve">On these grounds, the appeal has to be and is hereby dismissed. We make it clear, and repeatedly clear, with all the emphasis which we have at our command, that this case is not to be treated as precedent, as </w:t>
      </w:r>
      <w:r w:rsidRPr="000E3F0F">
        <w:rPr>
          <w:rFonts w:ascii="Arial" w:eastAsia="Times New Roman" w:hAnsi="Arial" w:cs="Arial"/>
          <w:sz w:val="20"/>
          <w:szCs w:val="20"/>
        </w:rPr>
        <w:lastRenderedPageBreak/>
        <w:t xml:space="preserve">we would not have compelled the Banaras Hindu University to create, in effect, an additional seat in general medicine for the academic session 2006-2007 in the Post Graduate Course in general medicine, had we not been faced with the most judicious (said with respect) use of discretion made by the Hon'ble Single Judge, and had we not also been fully aware of the basic principle followed by the Court of appeal, that the use of discretion by the first Court is not to be interfered with unless there has been some misdirection of a serious nature on facts, or there has been a misdirection on an important point of law which, if not made, might well have altered the decision of the case wholly or substantially. The appeal is dismissed without any order as to costs. </w:t>
      </w:r>
      <w:r w:rsidRPr="000E3F0F">
        <w:rPr>
          <w:rFonts w:ascii="Arial" w:eastAsia="Times New Roman" w:hAnsi="Arial" w:cs="Arial"/>
          <w:sz w:val="20"/>
          <w:szCs w:val="20"/>
        </w:rPr>
        <w:br/>
      </w:r>
      <w:r w:rsidRPr="000E3F0F">
        <w:rPr>
          <w:rFonts w:ascii="Arial" w:eastAsia="Times New Roman" w:hAnsi="Arial" w:cs="Arial"/>
          <w:sz w:val="20"/>
          <w:szCs w:val="20"/>
        </w:rPr>
        <w:br/>
        <w:t xml:space="preserve">Dated:01.12.2006 </w:t>
      </w:r>
      <w:r w:rsidRPr="000E3F0F">
        <w:rPr>
          <w:rFonts w:ascii="Arial" w:eastAsia="Times New Roman" w:hAnsi="Arial" w:cs="Arial"/>
          <w:sz w:val="20"/>
          <w:szCs w:val="20"/>
        </w:rPr>
        <w:br/>
        <w:t>RK/</w:t>
      </w:r>
    </w:p>
    <w:sectPr w:rsidR="00216C4C" w:rsidSect="00DA386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0E3F0F"/>
    <w:rsid w:val="000E3F0F"/>
    <w:rsid w:val="00216C4C"/>
    <w:rsid w:val="005151F7"/>
    <w:rsid w:val="007F7FB3"/>
    <w:rsid w:val="00C15802"/>
    <w:rsid w:val="00DA386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386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E3F0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9623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1161</Words>
  <Characters>6624</Characters>
  <Application>Microsoft Office Word</Application>
  <DocSecurity>0</DocSecurity>
  <Lines>55</Lines>
  <Paragraphs>15</Paragraphs>
  <ScaleCrop>false</ScaleCrop>
  <Company> </Company>
  <LinksUpToDate>false</LinksUpToDate>
  <CharactersWithSpaces>7770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Sunny</dc:creator>
  <cp:keywords/>
  <dc:description/>
  <cp:lastModifiedBy>Sunny</cp:lastModifiedBy>
  <cp:revision>4</cp:revision>
  <dcterms:created xsi:type="dcterms:W3CDTF">2008-08-26T18:30:00Z</dcterms:created>
  <dcterms:modified xsi:type="dcterms:W3CDTF">2008-08-30T10:19:00Z</dcterms:modified>
</cp:coreProperties>
</file>