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hint="default" w:ascii="Times New Roman" w:hAnsi="Times New Roman" w:cs="Times New Roman"/>
          <w:b/>
          <w:bCs/>
          <w:sz w:val="28"/>
          <w:szCs w:val="28"/>
          <w:lang w:val="en-IN"/>
        </w:rPr>
      </w:pPr>
      <w:r>
        <w:rPr>
          <w:rFonts w:hint="default" w:ascii="Times New Roman" w:hAnsi="Times New Roman" w:cs="Times New Roman"/>
          <w:b/>
          <w:bCs/>
          <w:sz w:val="28"/>
          <w:szCs w:val="28"/>
          <w:lang w:val="en-IN"/>
        </w:rPr>
        <w:t>THE MOST IMPORTANT JUDGMENTS - 2020</w:t>
      </w:r>
    </w:p>
    <w:p>
      <w:pPr>
        <w:spacing w:after="0" w:line="240" w:lineRule="auto"/>
        <w:jc w:val="both"/>
        <w:rPr>
          <w:rFonts w:hint="default" w:ascii="Times New Roman" w:hAnsi="Times New Roman" w:cs="Times New Roman"/>
          <w:b/>
          <w:bCs/>
          <w:sz w:val="28"/>
          <w:szCs w:val="28"/>
          <w:lang w:val="en-IN"/>
        </w:rPr>
      </w:pPr>
    </w:p>
    <w:p>
      <w:pPr>
        <w:spacing w:after="0" w:line="240" w:lineRule="auto"/>
        <w:rPr>
          <w:rFonts w:hint="default" w:ascii="Times New Roman" w:hAnsi="Times New Roman" w:cs="Times New Roman"/>
          <w:sz w:val="24"/>
          <w:szCs w:val="24"/>
          <w:lang w:val="en-IN"/>
        </w:rPr>
      </w:pPr>
      <w:r>
        <w:rPr>
          <w:rFonts w:ascii="Times New Roman" w:hAnsi="Times New Roman" w:cs="Times New Roman"/>
          <w:sz w:val="24"/>
          <w:szCs w:val="24"/>
        </w:rPr>
        <w:t>The year 2020 has brought immense changes in all of the things around us. Be it our lifestyle or be it the legal aspect of life. This year</w:t>
      </w:r>
      <w:r>
        <w:rPr>
          <w:rFonts w:hint="default" w:ascii="Times New Roman" w:hAnsi="Times New Roman" w:cs="Times New Roman"/>
          <w:sz w:val="24"/>
          <w:szCs w:val="24"/>
          <w:lang w:val="en-IN"/>
        </w:rPr>
        <w:t xml:space="preserve"> has brought in several changes in various Indian Laws. Few were amended and few were replaced or rules out. Interestingly the</w:t>
      </w:r>
      <w:r>
        <w:rPr>
          <w:rFonts w:ascii="Times New Roman" w:hAnsi="Times New Roman" w:cs="Times New Roman"/>
          <w:sz w:val="24"/>
          <w:szCs w:val="24"/>
        </w:rPr>
        <w:t xml:space="preserve"> year has also brought forward certain landmark judgments. </w:t>
      </w:r>
      <w:r>
        <w:rPr>
          <w:rFonts w:hint="default" w:ascii="Times New Roman" w:hAnsi="Times New Roman" w:cs="Times New Roman"/>
          <w:sz w:val="24"/>
          <w:szCs w:val="24"/>
          <w:lang w:val="en-IN"/>
        </w:rPr>
        <w:t>The Judgments which might change the legal reasoning and application.</w:t>
      </w:r>
    </w:p>
    <w:p>
      <w:pPr>
        <w:spacing w:after="0" w:line="240" w:lineRule="auto"/>
        <w:rPr>
          <w:rFonts w:hint="default" w:ascii="Times New Roman" w:hAnsi="Times New Roman" w:cs="Times New Roman"/>
          <w:sz w:val="24"/>
          <w:szCs w:val="24"/>
          <w:lang w:val="en-IN"/>
        </w:rPr>
      </w:pPr>
    </w:p>
    <w:p>
      <w:pPr>
        <w:spacing w:after="0" w:line="240" w:lineRule="auto"/>
        <w:rPr>
          <w:rFonts w:ascii="Times New Roman" w:hAnsi="Times New Roman" w:cs="Times New Roman"/>
          <w:sz w:val="24"/>
          <w:szCs w:val="24"/>
        </w:rPr>
      </w:pPr>
      <w:r>
        <w:rPr>
          <w:rFonts w:ascii="Times New Roman" w:hAnsi="Times New Roman" w:cs="Times New Roman"/>
          <w:sz w:val="24"/>
          <w:szCs w:val="24"/>
        </w:rPr>
        <w:t>Read on to find out the judgments that have been put forward this year!</w:t>
      </w:r>
    </w:p>
    <w:p>
      <w:pPr>
        <w:spacing w:after="0" w:line="240" w:lineRule="auto"/>
        <w:rPr>
          <w:rFonts w:ascii="Times New Roman" w:hAnsi="Times New Roman" w:cs="Times New Roman"/>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Anuradha Bhasin vs. UOI</w:t>
      </w:r>
    </w:p>
    <w:p>
      <w:pPr>
        <w:pStyle w:val="8"/>
        <w:spacing w:after="0" w:line="240" w:lineRule="auto"/>
        <w:ind w:left="0" w:leftChars="0" w:firstLine="0" w:firstLineChars="0"/>
        <w:rPr>
          <w:rFonts w:ascii="Times New Roman" w:hAnsi="Times New Roman" w:cs="Times New Roman"/>
          <w:sz w:val="24"/>
          <w:szCs w:val="24"/>
        </w:rPr>
      </w:pP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Supreme Court of India passed a judgement that an indefinite suspension of internet services would not be legal under the Indian legal system and that orders for internet shutdown must satisfy the tests of necessity and proportionality. The case concerned the internet and movement restrictions imposed in the Jammu and Kashmir region in India on August 4, 2019, under the tag of protecting public order. In the end, the Court did not lift the internet restrictions. But it directed the government to review the shutdown orders against the tests outlined in its judgment and lift those that were not necessary or did not have a temporal limit. The Court reiterated that freedom of expression online enjoyed Constitutional protection, but could be restricted in the name of national security. The Court held that though the Government was empowered to impose a complete internet shutdown, any order(s) imposing such restrictions had to be made public and was definitely a subject to judicial review.</w:t>
      </w:r>
    </w:p>
    <w:p>
      <w:pPr>
        <w:pStyle w:val="8"/>
        <w:spacing w:after="0" w:line="240" w:lineRule="auto"/>
        <w:rPr>
          <w:rFonts w:ascii="Times New Roman" w:hAnsi="Times New Roman" w:cs="Times New Roman"/>
          <w:b/>
          <w:bCs/>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Sushila Aggarwal &amp; Ors. Vs. State (NCT of Delhi)</w:t>
      </w:r>
    </w:p>
    <w:p>
      <w:pPr>
        <w:pStyle w:val="8"/>
        <w:spacing w:after="0" w:line="240" w:lineRule="auto"/>
        <w:rPr>
          <w:rFonts w:ascii="Times New Roman" w:hAnsi="Times New Roman" w:cs="Times New Roman"/>
          <w:sz w:val="24"/>
          <w:szCs w:val="24"/>
        </w:rPr>
      </w:pP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Court had to present a decision on two main problematic areas in the recent Sushila Aggarwal (2020) case-</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Should there be a fixed time period to seek anticipatory Bail, so as to enable a person to surrender before the Trial Court and seek for regular Bail? Also, should the life of anticipatory Bail end at the time of summoning by the Court?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Can Courts impose any conditions while granting such Bail or not?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Supreme Court (SC) in the Sushila Aggarwal v. State of NCT of Delhi (2020) case presented an extremely vital verdict, ruling that no time limit can be set while granting anticipatory Bail and it shall continue even until the end of the trial. The Court had made a reference of India’s freedom movement claiming that arbitrary arrests, indefinite detentions, and lack of institutional safeguards played an important role in rallying the people to raise the demand for Independence.</w:t>
      </w:r>
    </w:p>
    <w:p>
      <w:pPr>
        <w:pStyle w:val="8"/>
        <w:spacing w:after="0" w:line="240" w:lineRule="auto"/>
        <w:rPr>
          <w:rFonts w:ascii="Times New Roman" w:hAnsi="Times New Roman" w:cs="Times New Roman"/>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SK Md Raffique vs. Managing Committee</w:t>
      </w:r>
    </w:p>
    <w:p>
      <w:pPr>
        <w:pStyle w:val="8"/>
        <w:spacing w:after="0" w:line="240" w:lineRule="auto"/>
        <w:rPr>
          <w:rFonts w:ascii="Times New Roman" w:hAnsi="Times New Roman" w:cs="Times New Roman"/>
          <w:sz w:val="24"/>
          <w:szCs w:val="24"/>
        </w:rPr>
      </w:pP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challenged provisions of the 2008 Act bound the managing committee of aided Madrasas to appoint teachers nominated by the Commission constituted under the particular Act.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Notably, Section 12 prescribed the penal consequences that would follow upon the failure of the managing committee to appoint the nominated teachers within a reasonable time and without any reasonable ground. Such penal measures included dissolving the managing committee, stopping grant of financial aid and withdrawal of government affiliation.</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These provisions were challenged back in 2013 before the Calcutta High Court as violative of the rights of minority institutions under Article 30 of the Constitution of India.</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A Single Bench of the High Court allowed the challenge and found the provisions to be unconstitutional. An appeal filed by some candidates who were nominated by the Commission to Madrasas was subsequently dismissed by a Division Bench of the High Court, prompting a further appeal before the Supreme Court.</w:t>
      </w:r>
    </w:p>
    <w:p>
      <w:pPr>
        <w:pStyle w:val="8"/>
        <w:spacing w:after="0" w:line="240" w:lineRule="auto"/>
        <w:rPr>
          <w:rFonts w:ascii="Times New Roman" w:hAnsi="Times New Roman" w:cs="Times New Roman"/>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Shilpa Mittal vs. State of NCT of Delhi </w:t>
      </w:r>
    </w:p>
    <w:p>
      <w:pPr>
        <w:pStyle w:val="8"/>
        <w:spacing w:after="0" w:line="240" w:lineRule="auto"/>
        <w:ind w:left="0" w:leftChars="0" w:firstLine="0" w:firstLineChars="0"/>
        <w:rPr>
          <w:rFonts w:ascii="Times New Roman" w:hAnsi="Times New Roman" w:cs="Times New Roman"/>
          <w:sz w:val="24"/>
          <w:szCs w:val="24"/>
        </w:rPr>
      </w:pP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 xml:space="preserve">The deceased in the vehicle accident was the brother of the appellant. The Juvenile, at the time of occurrence, was above 16 years and below 18 years of age. The Juvenile Justice board held that the juvenile 'X' had committed a heinous offense, hence, should be tried as an adult. The appeal filed to the children's Court was also dismissed. After thar, the juvenile 'X' through his mother approached the High Court of Delhi, which held that since no minimum sentence has been prescribed for the offense that had occurred. Further, it was stated that the said offense does not fall within the ambit of section 2(33) of the </w:t>
      </w:r>
      <w:r>
        <w:rPr>
          <w:rFonts w:ascii="Times New Roman" w:hAnsi="Times New Roman" w:cs="Times New Roman"/>
          <w:sz w:val="24"/>
          <w:szCs w:val="24"/>
          <w:u w:val="single"/>
        </w:rPr>
        <w:t>Juvenile Justice ( Care and Protection ) Act</w:t>
      </w:r>
      <w:r>
        <w:rPr>
          <w:rFonts w:ascii="Times New Roman" w:hAnsi="Times New Roman" w:cs="Times New Roman"/>
          <w:sz w:val="24"/>
          <w:szCs w:val="24"/>
        </w:rPr>
        <w:t>, 2015. Now, the appeal was filed by the sister of the deceased in the Supreme Court.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Sections 2(33), 2(45), and 2(54) respectively define Heinous, Petty, and Serious offenses. Heinous offenses are those for which punishment prescribed is a minimum of 7 years or more in IPC or any act time being in force.</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Counsel for the appellant, Siddharth Luthra pointed out to the Court that 4th category of offenses have been left out by the Juvenile Justice Act for which the minimum sentence is less than 7 years, or no minimum sentence is prescribed, but the maximum sentence can be more than 7 years which included homicide not amounting to murder (offense of present case). He persuaded the Court to remove the word 'minimum' from the definition of heinous offenses so that all offenses except for petty and serious would fall under the heading of 'heinous offenses' Furthermore, he stated that if the fourth category of offenses was left out, it would result in absurdity which could not have been the intention of the legislature.</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Court assented to Mr. Luthra's submission but reasoned that it was not the duty of the Court to fill in the gap and correct it. The Court stated that it could add or subtract words from a statute when the intention of the legislature is clear. However, in cases where the purpose of the legislature is unclear, the Court cannot add or subtract words to give meaning which the Court feels would fit into the scheme of things. The Court was interpreting a statute that must be interpreted as per its language and intent. The purpose of the Act of 2015 is to ensure that children who come in conflict with the law are dealt with separately and not like adults. When the language of the section is clear where it prescribes a minimum of 7 years imprisonment while dealing with heinous offenses then we cannot wish away the word 'minimum'.</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Court disposed of the appeal by answering the issue and holding that an offense that does not provide a minimum sentence of 7 years cannot be treated as a heinous offense. However, the Act does not deal with the fourth category of offenses, i.e., offense where the maximum sentence is more than seven years imprisonment, but no minimum sentence or a minimum sentence of fewer than seven years is provided, shall be treated as 'serious offenses' within the meaning of the Act and dealt with accordingly till the Parliament takes the call on the matter.</w:t>
      </w:r>
    </w:p>
    <w:p>
      <w:pPr>
        <w:pStyle w:val="8"/>
        <w:spacing w:after="0" w:line="240" w:lineRule="auto"/>
        <w:rPr>
          <w:rFonts w:ascii="Times New Roman" w:hAnsi="Times New Roman" w:cs="Times New Roman"/>
          <w:sz w:val="24"/>
          <w:szCs w:val="24"/>
        </w:rPr>
      </w:pPr>
    </w:p>
    <w:p>
      <w:pPr>
        <w:pStyle w:val="8"/>
        <w:numPr>
          <w:numId w:val="0"/>
        </w:numPr>
        <w:spacing w:after="0" w:line="240" w:lineRule="auto"/>
        <w:rPr>
          <w:rFonts w:hint="default" w:ascii="Times New Roman" w:hAnsi="Times New Roman" w:cs="Times New Roman"/>
          <w:b/>
          <w:bCs/>
          <w:sz w:val="24"/>
          <w:szCs w:val="24"/>
          <w:lang w:val="en-IN"/>
        </w:rPr>
      </w:pPr>
      <w:r>
        <w:rPr>
          <w:rFonts w:ascii="Times New Roman" w:hAnsi="Times New Roman" w:cs="Times New Roman"/>
          <w:b/>
          <w:bCs/>
          <w:sz w:val="24"/>
          <w:szCs w:val="24"/>
        </w:rPr>
        <w:t>Pratvi Raj Chouhan vs. UOI</w:t>
      </w:r>
      <w:r>
        <w:rPr>
          <w:rFonts w:hint="default" w:ascii="Times New Roman" w:hAnsi="Times New Roman" w:cs="Times New Roman"/>
          <w:b/>
          <w:bCs/>
          <w:sz w:val="24"/>
          <w:szCs w:val="24"/>
          <w:lang w:val="en-IN"/>
        </w:rPr>
        <w:t>:</w:t>
      </w:r>
    </w:p>
    <w:p>
      <w:pPr>
        <w:pStyle w:val="8"/>
        <w:numPr>
          <w:numId w:val="0"/>
        </w:numPr>
        <w:spacing w:after="0" w:line="240" w:lineRule="auto"/>
        <w:rPr>
          <w:rFonts w:ascii="Times New Roman" w:hAnsi="Times New Roman" w:cs="Times New Roman"/>
          <w:sz w:val="24"/>
          <w:szCs w:val="24"/>
        </w:rPr>
      </w:pPr>
      <w:r>
        <w:rPr>
          <w:rFonts w:ascii="Times New Roman" w:hAnsi="Times New Roman" w:cs="Times New Roman"/>
          <w:sz w:val="24"/>
          <w:szCs w:val="24"/>
        </w:rPr>
        <w:t>In this case the constitutional validity of section 18-A of the Scheduled Caste and Scheduled Tribes (Prevention of Atrocities) Amendment Act,2018 was questioned by the petitioners.</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petition was filed on the ground that section 18-A of the said Act nullifies the decision of Subhash Kashinath Mahajan v. The State of Maharashtra &amp;anr. Here, the court held that the provisions of Prevention of Atrocities Act was misused.</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court had put forward in the court of law several safeguards in Kashinath Mahajan case but the parliament overturned these safeguards by the amendment in the Act. The safeguards given in this case were-</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Conduct of preliminary inquiry before registration of First Information Report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Investigating officer should receive approval before arrest.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Anticipatory bail to accused, notwithstanding any judgment or order or direction of any court.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This amendment has diluted the effect of Kashinath Mahajan. The intention of Kashinath Mahajan Judgement was to prevent the people from abusing the Act.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After passing of Kashinath Mahajan the parliament took a step to undo the judgment as it causes so much violence and protest by the Dalits and Adivasis group and placed the amendment bill in the parliament.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Review petition challenging the Kashinath Mahajan judgment was filed before the Supreme Court of India.</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In response to the notice, the central government file affidavit and stated that-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legislature is competent to make changes through the process of</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Large number of acquittal cases under the Scheduled Caste and Scheduled Tribe (Prevention of Atrocities Act) do not indicate the cases to be fake.</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Several petitions were filed challenging the 2018 Amendment.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After hearing before three-judges bench, the court upheld the constitutional validity of the 2018 Amendment.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In this case the three-judge bench of Supreme Court of India has upheld the Constitutional validity of section 18-A of “The Scheduled Caste and Scheduled Tribes (Prevention of Atrocities) Amendment Act,2018” and had nullified the effect of Kashinath Mahajan case. The court held that the directions given in Kashinath Mahajan case had placed unnecessary burden upon people of Scheduled Caste and Schedule Tribes.</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 xml:space="preserve">While dealing with the section 18-A of the Act, the court said that while looking into the provision of section 18 with respect to preliminary inquiry before registration of FIR, the inquiry is permissible only in conditions laid down in Lalita Kumari v. Government of U.P. </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Court further held that no anticipatory bail to be given for offences under SC/ST Amendment Act. In the concurring opinion, Justice Ravindra Bhat observed that anticipatory bail can only be given in the exceptional cases and not in every case. The court had earlier observed that the anticipatory bail can only be granted where there is no prime facie case under SC/SCT Act.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Justice Ravindra Bhat while delivering judgment also states about equal treatment of all citizens and fostering the idea of fraternity because the concept of fraternity is as important as the personal liberty of a person.</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Court further held that if an accused is a public servant, the arrest can only made after the approval of appointing authority and if the accused is non-public servant, the arrest can be made after the permission of Senior Superintended of Police.</w:t>
      </w:r>
    </w:p>
    <w:p>
      <w:pPr>
        <w:pStyle w:val="8"/>
        <w:numPr>
          <w:numId w:val="0"/>
        </w:numPr>
        <w:spacing w:after="0" w:line="240" w:lineRule="auto"/>
        <w:rPr>
          <w:rFonts w:ascii="Times New Roman" w:hAnsi="Times New Roman" w:cs="Times New Roman"/>
          <w:b/>
          <w:bCs/>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The Secretary Minitry of Defence vs. Babita Puniya &amp; Ors. </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In February 2003, Babita Puniya, a practising advocate, filed a writ petition in the nature of public interest litigation at Delhi High Court, seeking permanent commission for female officers recruited through SSC in the army, at par with their male counterparts. Many other women officers (both air and army officers) separately filed a petition for the same.</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 xml:space="preserve">Later, in the ending months of 2005, the Ministry of Defence issued a notification extending the validity of the appointment scheme of the Indian Army for the women officers. In 2006 a further notification was issued allowing the SCC women officers to serve for a maximum of 14 years. Major Leena Gaurav again filed a writ petition on 16th October 2006 primarily to challenge the conditions of service imposed by the circulars previously in that year and also seeking for the permanent commission for the women officers. In 2007 Lt Col Seema Singh for the same issue moved to the court. </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In February 2019 the government put forward guidelines that permanent commission will be granted to the women officers but prospectively and commissioned that only those women will be eligible who commissioned after this order is notified keeping the serving officers out of the ambit of the permanent commission. It granted a permanent commission to new SSC officers in eight combat roles.</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Supreme Court bench led by Justice D.Y Chandrachud challenged the notions given by the Union and stated that they are entrenched in stereotypical assumptions of ascribed gender roles for women. Moreover, it is a clear violation of their fundamental rights guaranteed under Article 14 of the Constitution of India. He said that although Article 33 of the Indian Constitution did allow for restrictions on Fundamental Rights in armed forces it is also clearly mentioned that it could be restricted only to the extent that it was necessary to ensure the proper discharge of duty and maintenance of discipline.</w:t>
      </w:r>
    </w:p>
    <w:p>
      <w:pPr>
        <w:pStyle w:val="8"/>
        <w:spacing w:after="0" w:line="240" w:lineRule="auto"/>
        <w:rPr>
          <w:rFonts w:ascii="Times New Roman" w:hAnsi="Times New Roman" w:cs="Times New Roman"/>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Indore Development Authority vs. Manoharlal &amp; Ors.</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In March 2019, the Supreme Court formed a Constitution Bench to examine the correctness of two 3 judge Bench decisions dealing with lapsing land acquisition due to compensation disputes.</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By a 2:1 judgment in Indore Development Authority, the Court held that land acquisitions could not lapse due to a land-owner's refusal to accept compensation within 5 years. It held that once compensation has been tendered, but the person refuses to accept it, this amounts to a discharge of obligation under section 31(1) of the Land Acquisition Act, 1894. In addition, the majority judges - Justices Mishra and AK Goel held the previous 2014 Pune Municipal Corporation judgment to be ‘per incuriam’, while Justice Shantanagoudar dissented.</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On 4 March 2020, the five-judge Bench overturned Pune Municipal Corporation and held that land acquisition proceedings cannot lapse merely due to a failure to pay compensation to landowners. It held that a lapse will only occur if the State also fails to take physical possession of the land. Further, it held that payment does not require the State to deposit money in a landowner's account - tendering compensation is sufficient. Justice Mishra authored the judgment.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judgment does not address the issue of whether a Bench can set aside a judgment of an earlier Bench of the same strength.</w:t>
      </w:r>
    </w:p>
    <w:p>
      <w:pPr>
        <w:pStyle w:val="8"/>
        <w:spacing w:after="0" w:line="240" w:lineRule="auto"/>
        <w:rPr>
          <w:rFonts w:ascii="Times New Roman" w:hAnsi="Times New Roman" w:cs="Times New Roman"/>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Nirbhaya Case</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u w:val="single"/>
        </w:rPr>
        <w:t>“Nirbhaya”</w:t>
      </w:r>
      <w:r>
        <w:rPr>
          <w:rFonts w:ascii="Times New Roman" w:hAnsi="Times New Roman" w:cs="Times New Roman"/>
          <w:sz w:val="24"/>
          <w:szCs w:val="24"/>
        </w:rPr>
        <w:t xml:space="preserve"> is the pseudonym used for the rape victim of the infamous 16 December 2012 Delhi gang rape incident. On just another chilly December night in Delhi, Nirbhaya and her friend were returning from a movie theatre, they were waiting for a bus. One of the would-be culprits convinced them to get on an empty bus with tinted windows. They were assaulted by six males, one of whom was a minor, aged 17.</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friend, when he tried to protect Nirbhaya, was beaten up by the perpetrators. Nirbhaya was not just sexually violated, her body was mutilated beyond human imagination. Her intestines were pulled out, and private parts mutilated. She later died of multiple organ failure, internal bleeding and cardiac arrest on the 29th of December.</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 xml:space="preserve">All the six men in the </w:t>
      </w:r>
      <w:r>
        <w:rPr>
          <w:rFonts w:ascii="Times New Roman" w:hAnsi="Times New Roman" w:cs="Times New Roman"/>
          <w:sz w:val="24"/>
          <w:szCs w:val="24"/>
          <w:u w:val="single"/>
        </w:rPr>
        <w:t>Nirbhaya rape case</w:t>
      </w:r>
      <w:r>
        <w:rPr>
          <w:rFonts w:ascii="Times New Roman" w:hAnsi="Times New Roman" w:cs="Times New Roman"/>
          <w:sz w:val="24"/>
          <w:szCs w:val="24"/>
        </w:rPr>
        <w:t>, including the juvenile, were convicted by the court. All the accused were identified as Ram Singh, Mukesh Singh, Vinay Gupta, Pawan Gupta, Akshay Thakur and a juvenile. Ram Singh, the bus driver, committed suicide on March 11, 2013, in Tihar Jail during the trial. The minor was tried separately in a juvenile court and given the maximum sentence of three years' imprisonment in a reform facility. In September 2013, the trial court had awarded capital punishment to Mukesh, Akshay, Pawan and Vinay. Subsequently, the three convicts besides Akshay had sought review of the judgment but it was dismissed. The order on the review petition filed by Akshay was dismissed by the Supreme Court on December 18, 2019.</w:t>
      </w:r>
    </w:p>
    <w:p>
      <w:pPr>
        <w:pStyle w:val="8"/>
        <w:spacing w:after="0" w:line="240" w:lineRule="auto"/>
        <w:rPr>
          <w:rFonts w:ascii="Times New Roman" w:hAnsi="Times New Roman" w:cs="Times New Roman"/>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Alembic Pharmaceutical Ltd. vs. Rohit Parjapati</w:t>
      </w:r>
    </w:p>
    <w:p>
      <w:pPr>
        <w:spacing w:after="0" w:line="240" w:lineRule="auto"/>
        <w:rPr>
          <w:rFonts w:ascii="Times New Roman" w:hAnsi="Times New Roman" w:cs="Times New Roman"/>
          <w:sz w:val="24"/>
          <w:szCs w:val="24"/>
        </w:rPr>
      </w:pPr>
    </w:p>
    <w:p>
      <w:pPr>
        <w:spacing w:after="0" w:line="240" w:lineRule="auto"/>
        <w:rPr>
          <w:rFonts w:ascii="Times New Roman" w:hAnsi="Times New Roman" w:cs="Times New Roman"/>
          <w:sz w:val="24"/>
          <w:szCs w:val="24"/>
        </w:rPr>
      </w:pPr>
      <w:r>
        <w:rPr>
          <w:rFonts w:ascii="Times New Roman" w:hAnsi="Times New Roman" w:cs="Times New Roman"/>
          <w:sz w:val="24"/>
          <w:szCs w:val="24"/>
        </w:rPr>
        <w:t>In the case of Alembic Pharmaceuticals Ltd. v. Rohit Prajapati &amp; Ors., the Supreme Court bench comprising of Justice D Y Chandrachud and Justice Ajay Rastogi set aside the National Green Tribunal (NGT) direction for closure of the industries, and directed them to pay Rs 10 crores compensation each.</w:t>
      </w:r>
    </w:p>
    <w:p>
      <w:pPr>
        <w:spacing w:after="0" w:line="240" w:lineRule="auto"/>
        <w:rPr>
          <w:rFonts w:ascii="Times New Roman" w:hAnsi="Times New Roman" w:cs="Times New Roman"/>
          <w:sz w:val="24"/>
          <w:szCs w:val="24"/>
        </w:rPr>
      </w:pPr>
      <w:r>
        <w:rPr>
          <w:rFonts w:ascii="Times New Roman" w:hAnsi="Times New Roman" w:cs="Times New Roman"/>
          <w:sz w:val="24"/>
          <w:szCs w:val="24"/>
        </w:rPr>
        <w:t>The case pertained to the following industries which were engaged in the manufacture of pharmace</w:t>
      </w:r>
      <w:r>
        <w:t xml:space="preserve"> </w:t>
      </w:r>
      <w:r>
        <w:rPr>
          <w:rFonts w:ascii="Times New Roman" w:hAnsi="Times New Roman" w:cs="Times New Roman"/>
          <w:sz w:val="24"/>
          <w:szCs w:val="24"/>
        </w:rPr>
        <w:t>The bench stated that the direction for closure was disproportionate and allowed the resumption of operations by the industries on condition of payment of the compensation.</w:t>
      </w:r>
    </w:p>
    <w:p>
      <w:pPr>
        <w:spacing w:after="0" w:line="240" w:lineRule="auto"/>
        <w:rPr>
          <w:rFonts w:ascii="Times New Roman" w:hAnsi="Times New Roman" w:cs="Times New Roman"/>
          <w:sz w:val="24"/>
          <w:szCs w:val="24"/>
        </w:rPr>
      </w:pPr>
      <w:r>
        <w:rPr>
          <w:rFonts w:ascii="Times New Roman" w:hAnsi="Times New Roman" w:cs="Times New Roman"/>
          <w:sz w:val="24"/>
          <w:szCs w:val="24"/>
        </w:rPr>
        <w:t>The Apex Court upheld the 2016 order of National Green Tribunal setting aside a circular issued by Ministry of Environment and Forests which envisaged the grant of post facto ECs.</w:t>
      </w:r>
    </w:p>
    <w:p>
      <w:pPr>
        <w:spacing w:after="0" w:line="240" w:lineRule="auto"/>
        <w:rPr>
          <w:rFonts w:ascii="Times New Roman" w:hAnsi="Times New Roman" w:cs="Times New Roman"/>
          <w:sz w:val="24"/>
          <w:szCs w:val="24"/>
        </w:rPr>
      </w:pPr>
      <w:r>
        <w:rPr>
          <w:rFonts w:ascii="Times New Roman" w:hAnsi="Times New Roman" w:cs="Times New Roman"/>
          <w:sz w:val="24"/>
          <w:szCs w:val="24"/>
        </w:rPr>
        <w:t>The Court agreed with the NGT's finding that the circular was unsustainable in law. The circular allowed industries which had commenced operations without obtaining EC in terms of the Environment Impact Assessment notification of 1994 to obtain the same by an extended date in 2003.</w:t>
      </w:r>
    </w:p>
    <w:p>
      <w:pPr>
        <w:spacing w:after="0" w:line="240" w:lineRule="auto"/>
        <w:rPr>
          <w:rFonts w:ascii="Times New Roman" w:hAnsi="Times New Roman" w:cs="Times New Roman"/>
          <w:sz w:val="24"/>
          <w:szCs w:val="24"/>
        </w:rPr>
      </w:pPr>
      <w:r>
        <w:rPr>
          <w:rFonts w:ascii="Times New Roman" w:hAnsi="Times New Roman" w:cs="Times New Roman"/>
          <w:sz w:val="24"/>
          <w:szCs w:val="24"/>
        </w:rPr>
        <w:t>In this regard, the bench followed the decision of the Court in Common Cause vs Union of India, which held that ECs cannot be granted post-facto.</w:t>
      </w:r>
    </w:p>
    <w:p>
      <w:pPr>
        <w:spacing w:after="0" w:line="240" w:lineRule="auto"/>
        <w:rPr>
          <w:rFonts w:ascii="Times New Roman" w:hAnsi="Times New Roman" w:cs="Times New Roman"/>
          <w:sz w:val="24"/>
          <w:szCs w:val="24"/>
        </w:rPr>
      </w:pPr>
      <w:r>
        <w:rPr>
          <w:rFonts w:ascii="Times New Roman" w:hAnsi="Times New Roman" w:cs="Times New Roman"/>
          <w:sz w:val="24"/>
          <w:szCs w:val="24"/>
        </w:rPr>
        <w:t>The Court directed the defaulting industries to pay compensation by refering to the powers under Article 142 of the Constitution of India.</w:t>
      </w:r>
    </w:p>
    <w:p>
      <w:pPr>
        <w:spacing w:after="0" w:line="240" w:lineRule="auto"/>
        <w:rPr>
          <w:rFonts w:ascii="Times New Roman" w:hAnsi="Times New Roman" w:cs="Times New Roman"/>
          <w:sz w:val="24"/>
          <w:szCs w:val="24"/>
        </w:rPr>
      </w:pPr>
      <w:r>
        <w:rPr>
          <w:rFonts w:ascii="Times New Roman" w:hAnsi="Times New Roman" w:cs="Times New Roman"/>
          <w:sz w:val="24"/>
          <w:szCs w:val="24"/>
        </w:rPr>
        <w:t>The amount should be deposited with GPCB and it shall be duly utilised for restoration and remedial measures to improve the quality of the environment in the industrial area in which the industries operate</w:t>
      </w:r>
    </w:p>
    <w:p>
      <w:pPr>
        <w:spacing w:after="0" w:line="240" w:lineRule="auto"/>
        <w:rPr>
          <w:rFonts w:ascii="Times New Roman" w:hAnsi="Times New Roman" w:cs="Times New Roman"/>
          <w:sz w:val="24"/>
          <w:szCs w:val="24"/>
        </w:rPr>
      </w:pPr>
      <w:r>
        <w:rPr>
          <w:rFonts w:ascii="Times New Roman" w:hAnsi="Times New Roman" w:cs="Times New Roman"/>
          <w:sz w:val="24"/>
          <w:szCs w:val="24"/>
        </w:rPr>
        <w:t>In conclusion, the Hon'ble Court held that the concept of 'ex post facto' Environmental Clearance (EC) is against the fundamantal principles of environmental jurisprudence.uticals and bulk drugs at the industrial area of Ankleshwar in Gujarat.</w:t>
      </w:r>
    </w:p>
    <w:p>
      <w:pPr>
        <w:spacing w:after="0" w:line="240" w:lineRule="auto"/>
        <w:ind w:left="720"/>
        <w:rPr>
          <w:rFonts w:ascii="Times New Roman" w:hAnsi="Times New Roman" w:cs="Times New Roman"/>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Internet and Mobile Association of India vs. RBI</w:t>
      </w:r>
    </w:p>
    <w:p>
      <w:pPr>
        <w:pStyle w:val="8"/>
        <w:spacing w:after="0" w:line="240" w:lineRule="auto"/>
        <w:ind w:left="0" w:leftChars="0" w:firstLine="0" w:firstLineChars="0"/>
        <w:rPr>
          <w:rFonts w:ascii="Times New Roman" w:hAnsi="Times New Roman" w:cs="Times New Roman"/>
          <w:sz w:val="24"/>
          <w:szCs w:val="24"/>
        </w:rPr>
      </w:pP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On 6 April 2018, the RBI had issued a Circular that prohibited banks and other entities regulated by it from both dealing in VCs, as well as from providing services to any individual or entity dealing with or settling VCs. The effect of the prohibition was that exchanges through which VCs were traded could no longer maintain and operate a bank account, thereby putting an end to the business of VC trading that required conversion from fiat currencies using formal banking channels. Pertinently, at the time the Circular was issued, there was no legislative ban on the use and trading of VCs in India, and by the RBI’s proscription, VCs were ring-fenced from the formal economy.</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Circular was based on the RBI’s concerns that VCs were prone to hacking; that there could be speculation on account of there being no underlying asset and the resultant volatility could lead to significant losses; and that VCs could potentially lead to money laundering and terrorist financing. Interestingly, prior to issuing the Circular, the RBI had, since 2013, only issued cautionary press notessetting out the same concerns. At the time the Circular was issued, the RBI did not highlight any new risk.</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Court accepted the submission and held that the Circular was disproportionate because none of the RBI’s regulated entities had ‘suffered any loss or adverse effect directly or indirectly, on account of the interface that the VC exchanges had with any of them’.  Furthermore, by relying on the regulatory approaches in other jurisdictions, the Court held that there were alternative regulatory means through which the RBI could have achieved its stated objectives. The thrust of the Court’s conclusion in this regard was that regulation would be a more proportionate response than prohibition.</w:t>
      </w:r>
    </w:p>
    <w:p>
      <w:pPr>
        <w:pStyle w:val="8"/>
        <w:spacing w:after="0" w:line="240" w:lineRule="auto"/>
        <w:rPr>
          <w:rFonts w:ascii="Times New Roman" w:hAnsi="Times New Roman" w:cs="Times New Roman"/>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Shivraj Singh Chouhan vs. Speaker MP Legislative Assembly &amp; Ors. </w:t>
      </w:r>
    </w:p>
    <w:p>
      <w:pPr>
        <w:pStyle w:val="8"/>
        <w:spacing w:after="0" w:line="240" w:lineRule="auto"/>
        <w:ind w:left="0" w:leftChars="0" w:firstLine="0" w:firstLineChars="0"/>
        <w:rPr>
          <w:rFonts w:ascii="Times New Roman" w:hAnsi="Times New Roman" w:cs="Times New Roman"/>
          <w:sz w:val="24"/>
          <w:szCs w:val="24"/>
        </w:rPr>
      </w:pPr>
      <w:r>
        <w:rPr>
          <w:rFonts w:hint="default" w:ascii="Times New Roman" w:hAnsi="Times New Roman" w:cs="Times New Roman"/>
          <w:sz w:val="24"/>
          <w:szCs w:val="24"/>
          <w:lang w:val="en-IN"/>
        </w:rPr>
        <w:t>T</w:t>
      </w:r>
      <w:r>
        <w:rPr>
          <w:rFonts w:ascii="Times New Roman" w:hAnsi="Times New Roman" w:cs="Times New Roman"/>
          <w:sz w:val="24"/>
          <w:szCs w:val="24"/>
        </w:rPr>
        <w:t>he bench of Dr. DY Chandrachud and Hemant Gupta, JJ has held that the Madhya Pradesh Governor was right in ordering floor test after the State Government lost majority. The bench said,“in a situation where the Governor has reasons to believe that the Council of Ministers headed by the Chief Minister has lost the confidence of the House, constitutional propriety requires that the issue be resolved by calling for a floor test. The Governor in calling for a floor test cannot be construed to have acted beyond the bounds of constitutional authority.”</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In a detailed judgment, the Court also explained the scope of the power of the Governor and the law revolving around floor tests.</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On the timing of directing a trust vote</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Court explained that in directing a trust vote, the Governor does not favour a particular political party and that it is inevitable that the specific timing of a trust vote may tilt the balance towards the party possessing a majority at the time the trust vote is directed. The Court, however, added,</w:t>
      </w:r>
      <w:r>
        <w:rPr>
          <w:rFonts w:hint="default" w:ascii="Times New Roman" w:hAnsi="Times New Roman" w:cs="Times New Roman"/>
          <w:sz w:val="24"/>
          <w:szCs w:val="24"/>
          <w:lang w:val="en-IN"/>
        </w:rPr>
        <w:t xml:space="preserve"> </w:t>
      </w:r>
      <w:r>
        <w:rPr>
          <w:rFonts w:ascii="Times New Roman" w:hAnsi="Times New Roman" w:cs="Times New Roman"/>
          <w:sz w:val="24"/>
          <w:szCs w:val="24"/>
        </w:rPr>
        <w:t>“where the evidence indicates that circumstances of violence and coercion exist that would undermine a free and fair vote in the assembly, the Governor and the court must take measures to ensure that the sanctity of the trust vote is maintained.”</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It, hence, held that in the present case there existed no extraordinary circumstances for the Governor to determine that a trust vote was not the appropriate course of action on 16 March 2020.</w:t>
      </w:r>
    </w:p>
    <w:p>
      <w:pPr>
        <w:pStyle w:val="8"/>
        <w:spacing w:after="0" w:line="240" w:lineRule="auto"/>
        <w:rPr>
          <w:rFonts w:ascii="Times New Roman" w:hAnsi="Times New Roman" w:cs="Times New Roman"/>
          <w:sz w:val="24"/>
          <w:szCs w:val="24"/>
        </w:rPr>
      </w:pPr>
    </w:p>
    <w:p>
      <w:pPr>
        <w:pStyle w:val="8"/>
        <w:numPr>
          <w:numId w:val="0"/>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Chebrolu Leela Prasad Rao vs. State of AP &amp; Ors.</w:t>
      </w:r>
    </w:p>
    <w:p>
      <w:pPr>
        <w:pStyle w:val="8"/>
        <w:spacing w:after="0" w:line="240" w:lineRule="auto"/>
        <w:rPr>
          <w:rFonts w:ascii="Times New Roman" w:hAnsi="Times New Roman" w:cs="Times New Roman"/>
          <w:sz w:val="24"/>
          <w:szCs w:val="24"/>
        </w:rPr>
      </w:pP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Governor in the exercise of powers under Para 5(1), Fifth Schedule of the Constitution, can exercise the powers concerning any particular Act of the Parliament or the legislature of the State. The Governor can direct that such law shall not apply to the Scheduled Areas or any part thereof. The Governor is empowered to apply such law to the Scheduled Area or any part thereof in the State subject to such exceptions and modifications as he may specify in the notification and can also issue a notification with retrospective effect.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The judgement was laid down according to the law laid down in Indra Sawhney case. Senior Advocate Dr. Rajeev Dhawan, counsel for the respondent, in this case has rightly said that there is a need to revise the reservation list of Scheduled Tribes. The Government is duty bound to revise the lists. These lists must be revised after a uniform period of time so that the benefits trickle down to the needy and are not usurped by those classes who have come up after obtaining the benefits for the last 70 years or after their inclusion in the list.</w:t>
      </w:r>
    </w:p>
    <w:p>
      <w:pPr>
        <w:pStyle w:val="8"/>
        <w:spacing w:after="0" w:line="240" w:lineRule="auto"/>
        <w:ind w:left="0" w:leftChars="0" w:firstLine="0" w:firstLineChars="0"/>
        <w:rPr>
          <w:rFonts w:ascii="Times New Roman" w:hAnsi="Times New Roman" w:cs="Times New Roman"/>
          <w:sz w:val="24"/>
          <w:szCs w:val="24"/>
        </w:rPr>
      </w:pPr>
      <w:r>
        <w:rPr>
          <w:rFonts w:ascii="Times New Roman" w:hAnsi="Times New Roman" w:cs="Times New Roman"/>
          <w:sz w:val="24"/>
          <w:szCs w:val="24"/>
        </w:rPr>
        <w:t>By reserving seats for Scheduled Tribes as per the Constitutional mandates will not alone uplift them, but by adopting measures such as giving incentives through a specific Government scheme and informing them about their rights and freedoms which are guaranteed to them under the Constitution will uplift them in a much effective way. Its high time to fulfill the dream of our founding fathers of the Constitution of achieving social and economic equality by uplifting the Scheduled Tribes, Scheduled Castes and Other Backward Classes of the country socially, economically and educationally.</w:t>
      </w:r>
    </w:p>
    <w:p>
      <w:pPr>
        <w:pStyle w:val="8"/>
        <w:spacing w:after="0" w:line="240" w:lineRule="auto"/>
        <w:rPr>
          <w:rFonts w:ascii="Times New Roman" w:hAnsi="Times New Roman" w:cs="Times New Roman"/>
          <w:sz w:val="24"/>
          <w:szCs w:val="24"/>
        </w:rPr>
      </w:pPr>
    </w:p>
    <w:p>
      <w:pPr>
        <w:pStyle w:val="8"/>
        <w:numPr>
          <w:numId w:val="0"/>
        </w:numPr>
        <w:spacing w:after="0" w:line="240" w:lineRule="auto"/>
        <w:rPr>
          <w:rFonts w:eastAsiaTheme="minorHAnsi"/>
          <w:shd w:val="clear" w:color="auto" w:fill="FFFFFF"/>
          <w:lang w:eastAsia="en-US"/>
        </w:rPr>
      </w:pPr>
      <w:r>
        <w:rPr>
          <w:rFonts w:ascii="Times New Roman" w:hAnsi="Times New Roman" w:cs="Times New Roman"/>
          <w:b/>
          <w:bCs/>
          <w:sz w:val="24"/>
          <w:szCs w:val="24"/>
          <w:lang w:val="en-US"/>
        </w:rPr>
        <w:t>Christian Medical College Vellore Association vs Union of India</w:t>
      </w:r>
    </w:p>
    <w:p>
      <w:pPr>
        <w:pStyle w:val="8"/>
        <w:numPr>
          <w:numId w:val="0"/>
        </w:numPr>
        <w:spacing w:after="0" w:line="240" w:lineRule="auto"/>
        <w:ind w:left="360" w:leftChars="0"/>
        <w:rPr>
          <w:rFonts w:ascii="Times New Roman" w:hAnsi="Times New Roman" w:cs="Times New Roman"/>
          <w:b/>
          <w:bCs/>
          <w:sz w:val="24"/>
          <w:szCs w:val="24"/>
          <w:lang w:val="en-US"/>
        </w:rPr>
      </w:pPr>
    </w:p>
    <w:p>
      <w:pPr>
        <w:pStyle w:val="8"/>
        <w:numPr>
          <w:numId w:val="0"/>
        </w:numPr>
        <w:spacing w:after="0" w:line="240" w:lineRule="auto"/>
        <w:rPr>
          <w:rFonts w:hint="default" w:ascii="Times New Roman" w:hAnsi="Times New Roman" w:cs="Times New Roman" w:eastAsiaTheme="minorHAnsi"/>
          <w:sz w:val="24"/>
          <w:szCs w:val="24"/>
          <w:shd w:val="clear" w:color="auto" w:fill="FFFFFF"/>
          <w:lang w:eastAsia="en-US"/>
        </w:rPr>
      </w:pPr>
      <w:r>
        <w:rPr>
          <w:rFonts w:hint="default" w:ascii="Times New Roman" w:hAnsi="Times New Roman" w:cs="Times New Roman" w:eastAsiaTheme="minorHAnsi"/>
          <w:sz w:val="24"/>
          <w:szCs w:val="24"/>
          <w:shd w:val="clear" w:color="auto" w:fill="FFFFFF"/>
          <w:lang w:eastAsia="en-US"/>
        </w:rPr>
        <w:t>In a significant judgment, the Supreme Court decided that the National Eligibility-cum-Entrance Test (NEET) will apply to private independent minority proficient organizations for induction into MBBS, MD, BDS and MDS courses.</w:t>
      </w:r>
    </w:p>
    <w:p>
      <w:pPr>
        <w:pStyle w:val="8"/>
        <w:numPr>
          <w:numId w:val="0"/>
        </w:numPr>
        <w:spacing w:after="0" w:line="240" w:lineRule="auto"/>
        <w:ind w:left="360" w:leftChars="0"/>
        <w:rPr>
          <w:rFonts w:hint="default" w:ascii="Times New Roman" w:hAnsi="Times New Roman" w:cs="Times New Roman" w:eastAsiaTheme="minorHAnsi"/>
          <w:sz w:val="24"/>
          <w:szCs w:val="24"/>
          <w:shd w:val="clear" w:color="auto" w:fill="FFFFFF"/>
          <w:lang w:eastAsia="en-US"/>
        </w:rPr>
      </w:pPr>
    </w:p>
    <w:p>
      <w:pPr>
        <w:pStyle w:val="8"/>
        <w:numPr>
          <w:numId w:val="0"/>
        </w:numPr>
        <w:spacing w:after="0" w:line="240" w:lineRule="auto"/>
        <w:rPr>
          <w:rFonts w:hint="default" w:ascii="Times New Roman" w:hAnsi="Times New Roman" w:cs="Times New Roman" w:eastAsiaTheme="minorHAnsi"/>
          <w:sz w:val="24"/>
          <w:szCs w:val="24"/>
          <w:shd w:val="clear" w:color="auto" w:fill="FFFFFF"/>
          <w:lang w:eastAsia="en-US"/>
        </w:rPr>
      </w:pPr>
      <w:r>
        <w:rPr>
          <w:rFonts w:hint="default" w:ascii="Times New Roman" w:hAnsi="Times New Roman" w:cs="Times New Roman" w:eastAsiaTheme="minorHAnsi"/>
          <w:sz w:val="24"/>
          <w:szCs w:val="24"/>
          <w:shd w:val="clear" w:color="auto" w:fill="FFFFFF"/>
          <w:lang w:eastAsia="en-US"/>
        </w:rPr>
        <w:t>The essential issue is whether by giving brought together assessment framework – NEET for admission to MBBS, PG, BDS and MDS by the righteousness of the arrangements made in the Act and guidelines, there is an infringement of basic rights ensured under Articles 19(1)(g), 25, 26, 29(1) and 30 of the Constitution of India.</w:t>
      </w:r>
    </w:p>
    <w:p>
      <w:pPr>
        <w:pStyle w:val="6"/>
        <w:jc w:val="both"/>
      </w:pPr>
      <w:r>
        <w:t>In the following case, there have been various issues that have been arisen according to the admission given for post</w:t>
      </w:r>
      <w:r>
        <w:softHyphen/>
      </w:r>
      <w:r>
        <w:t xml:space="preserve">graduate examination after the introduction of NEET. The issue discussed in the case was that in many institutes, they are not getting acceptable specialists to deal with patients, for instance, in the Oncology Department. A portion of the applicants can't bear the weight of the method and have communicated their powerlessness to go with debilitated patients. Some of them couldn't embrace systems in a sterile way to dodge diseases. </w:t>
      </w:r>
    </w:p>
    <w:p>
      <w:pPr>
        <w:pStyle w:val="6"/>
        <w:jc w:val="both"/>
      </w:pPr>
      <w:r>
        <w:t>The petitioners further submitted that they have a fundamental right to admit students of their own choice under Article 30 of the Constitution. It was submitted that the admission procedure adopted by them passes the triple test, i.e., reasonable, clear, and non-</w:t>
      </w:r>
      <w:r>
        <w:softHyphen/>
      </w:r>
      <w:r>
        <w:t> exploitative. Some orders were stated by this Court recognising fair-minded method adopted in individual institutions while admitting students through their admission procedure as apparent from interim orders passed in the years 1993, 1994, 1995, and 1998.</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Pandurang Ganpati Chaugule &amp; Ors. Vs Vishwasrao Patil Murgud Sahakari Bank ltd.</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following landmark judgment by a 5-judge bench of Hon'ble Supreme Court describes whether ‘co</w:t>
      </w:r>
      <w:r>
        <w:rPr>
          <w:rFonts w:ascii="Times New Roman" w:hAnsi="Times New Roman" w:cs="Times New Roman"/>
          <w:sz w:val="24"/>
          <w:szCs w:val="24"/>
          <w:shd w:val="clear" w:color="auto" w:fill="FFFFFF"/>
        </w:rPr>
        <w:softHyphen/>
      </w:r>
      <w:r>
        <w:rPr>
          <w:rFonts w:ascii="Times New Roman" w:hAnsi="Times New Roman" w:cs="Times New Roman"/>
          <w:sz w:val="24"/>
          <w:szCs w:val="24"/>
          <w:shd w:val="clear" w:color="auto" w:fill="FFFFFF"/>
        </w:rPr>
        <w:t>-operative banks’, which are co-</w:t>
      </w:r>
      <w:r>
        <w:rPr>
          <w:rFonts w:ascii="Times New Roman" w:hAnsi="Times New Roman" w:cs="Times New Roman"/>
          <w:sz w:val="24"/>
          <w:szCs w:val="24"/>
          <w:shd w:val="clear" w:color="auto" w:fill="FFFFFF"/>
        </w:rPr>
        <w:softHyphen/>
      </w:r>
      <w:r>
        <w:rPr>
          <w:rFonts w:ascii="Times New Roman" w:hAnsi="Times New Roman" w:cs="Times New Roman"/>
          <w:sz w:val="24"/>
          <w:szCs w:val="24"/>
          <w:shd w:val="clear" w:color="auto" w:fill="FFFFFF"/>
        </w:rPr>
        <w:t xml:space="preserve">operative societies also, are governed by Entry 45 of List I or by Entry 32 of List II of the Seventh Schedule of the Constitution of India, and to what extent. </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other issue taken out under this judgement was whether ‘banking company’ as defined in Section 5(c) of the Banking Regulation Act, 1949 covers co</w:t>
      </w:r>
      <w:r>
        <w:rPr>
          <w:rFonts w:ascii="Times New Roman" w:hAnsi="Times New Roman" w:cs="Times New Roman"/>
          <w:sz w:val="24"/>
          <w:szCs w:val="24"/>
          <w:shd w:val="clear" w:color="auto" w:fill="FFFFFF"/>
        </w:rPr>
        <w:softHyphen/>
      </w:r>
      <w:r>
        <w:rPr>
          <w:rFonts w:ascii="Times New Roman" w:hAnsi="Times New Roman" w:cs="Times New Roman"/>
          <w:sz w:val="24"/>
          <w:szCs w:val="24"/>
          <w:shd w:val="clear" w:color="auto" w:fill="FFFFFF"/>
        </w:rPr>
        <w:t>operative banks registered under the State Co</w:t>
      </w:r>
      <w:r>
        <w:rPr>
          <w:rFonts w:ascii="Times New Roman" w:hAnsi="Times New Roman" w:cs="Times New Roman"/>
          <w:sz w:val="24"/>
          <w:szCs w:val="24"/>
          <w:shd w:val="clear" w:color="auto" w:fill="FFFFFF"/>
        </w:rPr>
        <w:softHyphen/>
      </w:r>
      <w:r>
        <w:rPr>
          <w:rFonts w:ascii="Times New Roman" w:hAnsi="Times New Roman" w:cs="Times New Roman"/>
          <w:sz w:val="24"/>
          <w:szCs w:val="24"/>
          <w:shd w:val="clear" w:color="auto" w:fill="FFFFFF"/>
        </w:rPr>
        <w:t>operative Laws and also multistate co</w:t>
      </w:r>
      <w:r>
        <w:rPr>
          <w:rFonts w:ascii="Times New Roman" w:hAnsi="Times New Roman" w:cs="Times New Roman"/>
          <w:sz w:val="24"/>
          <w:szCs w:val="24"/>
          <w:shd w:val="clear" w:color="auto" w:fill="FFFFFF"/>
        </w:rPr>
        <w:softHyphen/>
      </w:r>
      <w:r>
        <w:rPr>
          <w:rFonts w:ascii="Times New Roman" w:hAnsi="Times New Roman" w:cs="Times New Roman"/>
          <w:sz w:val="24"/>
          <w:szCs w:val="24"/>
          <w:shd w:val="clear" w:color="auto" w:fill="FFFFFF"/>
        </w:rPr>
        <w:t xml:space="preserve">operative societies or not. </w:t>
      </w:r>
    </w:p>
    <w:p>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shd w:val="clear" w:color="auto" w:fill="FFFFFF"/>
        </w:rPr>
        <w:t>The final issue discussed in the judgement was whether co</w:t>
      </w:r>
      <w:r>
        <w:rPr>
          <w:rFonts w:ascii="Times New Roman" w:hAnsi="Times New Roman" w:cs="Times New Roman"/>
          <w:sz w:val="24"/>
          <w:szCs w:val="24"/>
          <w:shd w:val="clear" w:color="auto" w:fill="FFFFFF"/>
        </w:rPr>
        <w:softHyphen/>
      </w:r>
      <w:r>
        <w:rPr>
          <w:rFonts w:ascii="Times New Roman" w:hAnsi="Times New Roman" w:cs="Times New Roman"/>
          <w:sz w:val="24"/>
          <w:szCs w:val="24"/>
          <w:shd w:val="clear" w:color="auto" w:fill="FFFFFF"/>
        </w:rPr>
        <w:t>operative banks both at the State level and multistate level are ‘banks’ for applicability of the SARFAESI Act and whether the provisions of Section 2(c) of the SARFAESI Act on account of inclusion of multistate co</w:t>
      </w:r>
      <w:r>
        <w:rPr>
          <w:rFonts w:ascii="Times New Roman" w:hAnsi="Times New Roman" w:cs="Times New Roman"/>
          <w:sz w:val="24"/>
          <w:szCs w:val="24"/>
          <w:shd w:val="clear" w:color="auto" w:fill="FFFFFF"/>
        </w:rPr>
        <w:softHyphen/>
      </w:r>
      <w:r>
        <w:rPr>
          <w:rFonts w:ascii="Times New Roman" w:hAnsi="Times New Roman" w:cs="Times New Roman"/>
          <w:sz w:val="24"/>
          <w:szCs w:val="24"/>
          <w:shd w:val="clear" w:color="auto" w:fill="FFFFFF"/>
        </w:rPr>
        <w:t>operative banks and notification dated 28.1.2003 notifying cooperative banks in the State are ultra vires.</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Kantaruru Rajeevaru vs Indian Young Lawyers Association</w:t>
      </w:r>
    </w:p>
    <w:p>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This judgement is also called Pre-Judgement of Sabrimala Case</w:t>
      </w:r>
    </w:p>
    <w:p>
      <w:pPr>
        <w:spacing w:after="150"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Following issues were raised in this judgement:</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1. What is the degree and ambit of right to opportunity of religion under Article 25 of the Constitution of India? </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2. What is the between play between the privileges of people under Article 25 of the Constitution of India and privileges of the strict section under Article 26 of the Constitution of India? </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3. Regardless of whether the privileges of a strict category under Article 26 of the Constitution of India are dependent upon different arrangements of Part III of the Constitution of India separated from the public request, profound quality and wellbeing? </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4. What is the degree and degree of the word 'profound quality' under Articles 25 and 26 of the Constitution of India and whether it is intended to incorporate Constitutional ethical quality? </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5. What is the degree and degree of judicial review concerning a strict practice as alluded to in Article 25 of the Constitution of India? </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6. What is the significance of articulation "Sections of Hindus" happening in Article 25 (2) (b) of the Constitution of India? </w:t>
      </w:r>
    </w:p>
    <w:p>
      <w:pPr>
        <w:spacing w:line="240" w:lineRule="auto"/>
        <w:jc w:val="both"/>
        <w:rPr>
          <w:rFonts w:ascii="Times New Roman" w:hAnsi="Times New Roman" w:cs="Times New Roman"/>
          <w:sz w:val="24"/>
          <w:szCs w:val="24"/>
          <w:lang w:val="en-US"/>
        </w:rPr>
      </w:pPr>
      <w:r>
        <w:rPr>
          <w:rFonts w:ascii="Times New Roman" w:hAnsi="Times New Roman" w:eastAsia="Times New Roman" w:cs="Times New Roman"/>
          <w:sz w:val="24"/>
          <w:szCs w:val="24"/>
          <w:lang w:eastAsia="en-IN"/>
        </w:rPr>
        <w:t>7. Regardless of whether an individual not having a place with a strict division or strict gathering can scrutinize an act of that strict category or strict gathering by documenting a PIL?</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Foundation of Media Professionals vs Union Territory of Jammu and Kashmir &amp; Anr.</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Supreme Court of India requested the constitution of a Special Committee to audit the limitation of the internet services to 2G in the Union Territory of Jammu and Kashmir. The petitions were brought by the Foundation for Media Professionals, an attorney, Soayib Qureshi and the Private Schools Association of Jammu and Kashmir looking for the rebuilding of 4G web in the locale following the correspondence power outage forced by the focal government in August 2019. The Court perceived that the rights to the right to speak freely of discourse and articulation, wellbeing, instruction and business should be adjusted against the overarching public security concerns. </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Applying minimum standards for internet restrictions set out in Anuradha Bhasin v. Association of India, WP (C) No. 1031/2019, the Court held that the reviled request didn't "give any reasons" for the sweeping implementation of the closure across all areas. In any case, while the appeal would "merit thought" in "ordinary conditions", the specific "convincing conditions of cross outskirt psychological oppression" kept the Court from finding a sacred infringement </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Or maybe, the Court coordinated the constitution of a Special Committee, driven by the Indian Home Secretary, to assess the need of the web limitation in Jammu and Kashmir.</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Arnab Goswami vs Union of India &amp; Ors.</w:t>
      </w:r>
    </w:p>
    <w:p>
      <w:pPr>
        <w:shd w:val="clear" w:color="auto" w:fill="FFFFFF"/>
        <w:spacing w:after="150"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The judgment was delivered by Justice D.Y. Chandrachud under Article 19 (1)(a) of the Indian Constitution. </w:t>
      </w:r>
    </w:p>
    <w:p>
      <w:pPr>
        <w:shd w:val="clear" w:color="auto" w:fill="FFFFFF"/>
        <w:spacing w:after="150"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The Supreme Court of India interpreted the extent of Article 19 (1)(a) as that this principal right of a Journalist is no higher than that of the resident to talk and communicate. The SC likewise saw that the as long as columnists can talk without the danger of response, India is in safe hands. </w:t>
      </w:r>
    </w:p>
    <w:p>
      <w:pPr>
        <w:shd w:val="clear" w:color="auto" w:fill="FFFFFF"/>
        <w:spacing w:after="150"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In the Petition, it was looked for that all the protests and FIRs lodged against the Petitioner in various states like Maharashtra will be subdued. The single-judge seat saw that if every one of these objections and FIRs is permitted against a columnist bears a moving impact on his opportunity. this way his opportunity will be gravely influenced. As a resident and a writer, he has an opportunity to know the issues of administration in the country and the privilege of the columnist to keep the general public educated. Consequently, his privilege is no higher than that of a resident. Anyway, free residents cannot exist if the news media is anchored to stick to one specific position. </w:t>
      </w:r>
    </w:p>
    <w:p>
      <w:pPr>
        <w:shd w:val="clear" w:color="auto" w:fill="FFFFFF"/>
        <w:spacing w:after="150"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Equity Chandrachud additionally alluded to TT Antony instance of Kerala and expressed that exposing a person to various procedures on a similar reason doesn't accomplish the genuine state mean to indict wrongdoing. However, after going with the contentions by Senior Counsel Kapil Sibal showing up in the interest of the territory of Maharashtra. The Apex court chose to move the test to CBI in this way dismissing the supplication for subduing all the criminal grumblings and FIRs.    </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Patel Engineering Ltd. Vs North Eastern Electric Power Corporation Ltd.</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The essential issue in the current case was whether the Meghalaya HC appropriately excused the survey request which was documented by PEL battling that the Meghalaya HC wrongly applied the arrangements as relevant before the Amendment and depended on the choices, which are not, at this point great in law. </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While holding that the Meghalaya HC appropriately excused the petitions, the Supreme Court reaffirmed the extent of 'patent lawlessness'. It held that the homegrown honour it to be put aside just if it is plainly illicit on any of the three grounds as featured previously. </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It was held that regardless of the way that the Meghalaya HC depended on a few choices, for example, Western Geco, which have stopped to be acceptable law, the case has been chosen the ground that the court delivered an unreasonable honour and on a thorough perusing of the terms and states of the agreement, the view taken by the authority isn't so much as a potential view. Besides, it held that the Meghalaya HC properly followed the test set down in Associated Builders and Ssangyong. </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Considering the abovementioned, the Supreme Court excused the survey petitions documented by PEL; in this way confirming the Meghalaya HC's choice to put aside the arbitral honour and excuse the audit petitions before it.</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S. Kasi vs State Through Inspector PS Madurai</w:t>
      </w:r>
    </w:p>
    <w:p>
      <w:pPr>
        <w:spacing w:line="240" w:lineRule="auto"/>
        <w:jc w:val="both"/>
        <w:rPr>
          <w:rFonts w:ascii="Times New Roman" w:hAnsi="Times New Roman" w:eastAsia="Times New Roman" w:cs="Times New Roman"/>
          <w:spacing w:val="3"/>
          <w:sz w:val="24"/>
          <w:szCs w:val="24"/>
          <w:lang w:eastAsia="en-IN"/>
        </w:rPr>
      </w:pPr>
      <w:r>
        <w:rPr>
          <w:rFonts w:ascii="Times New Roman" w:hAnsi="Times New Roman" w:eastAsia="Times New Roman" w:cs="Times New Roman"/>
          <w:spacing w:val="3"/>
          <w:sz w:val="24"/>
          <w:szCs w:val="24"/>
          <w:lang w:eastAsia="en-IN"/>
        </w:rPr>
        <w:t xml:space="preserve">In this judgment with conceivably wide ramifications, the Supreme Court on Friday put aside a request for the Madurai seat of the Madras high court comparing the cross-country lockdown with the Emergency, to legitimize refusal of bail to a charged. </w:t>
      </w:r>
    </w:p>
    <w:p>
      <w:pPr>
        <w:spacing w:line="240" w:lineRule="auto"/>
        <w:jc w:val="both"/>
        <w:rPr>
          <w:rFonts w:ascii="Times New Roman" w:hAnsi="Times New Roman" w:eastAsia="Times New Roman" w:cs="Times New Roman"/>
          <w:spacing w:val="3"/>
          <w:sz w:val="24"/>
          <w:szCs w:val="24"/>
          <w:lang w:eastAsia="en-IN"/>
        </w:rPr>
      </w:pPr>
      <w:r>
        <w:rPr>
          <w:rFonts w:ascii="Times New Roman" w:hAnsi="Times New Roman" w:eastAsia="Times New Roman" w:cs="Times New Roman"/>
          <w:spacing w:val="3"/>
          <w:sz w:val="24"/>
          <w:szCs w:val="24"/>
          <w:lang w:eastAsia="en-IN"/>
        </w:rPr>
        <w:t xml:space="preserve">In S. Kasi v State Through the Inspector of Police, Samaynallur Police Station, Madurai District, Justice G. Jayachandran of the Madurai seat of the Madras high court declined default bail to S. Kasi, a charged in an icon robbery case enlisted in 2015. The denounced, who was captured on February 21, has been in authority past 90 days, the period inside which the strategy is relied upon to record the last report, bombing which bail as a matter of course as thought about under segment 167(2) of Code of Criminal Procedure (CrPC) applies. </w:t>
      </w:r>
    </w:p>
    <w:p>
      <w:pPr>
        <w:spacing w:line="240" w:lineRule="auto"/>
        <w:jc w:val="both"/>
        <w:rPr>
          <w:rFonts w:ascii="Times New Roman" w:hAnsi="Times New Roman" w:eastAsia="Times New Roman" w:cs="Times New Roman"/>
          <w:spacing w:val="3"/>
          <w:sz w:val="24"/>
          <w:szCs w:val="24"/>
          <w:lang w:eastAsia="en-IN"/>
        </w:rPr>
      </w:pPr>
      <w:r>
        <w:rPr>
          <w:rFonts w:ascii="Times New Roman" w:hAnsi="Times New Roman" w:eastAsia="Times New Roman" w:cs="Times New Roman"/>
          <w:spacing w:val="3"/>
          <w:sz w:val="24"/>
          <w:szCs w:val="24"/>
          <w:lang w:eastAsia="en-IN"/>
        </w:rPr>
        <w:t xml:space="preserve">Depending on the Supreme Court's new suo moto request gave on March 23 stretching out the time of constraint to forestall the challenges looked by the prosecutors who should go to the court and record the applicable archives, Justice Jayachandran acknowledged the state's dispute that for this situation, the COVID-19 circumstance is reason enough for the police not finishing the examination inside the time fixed under the resolution. </w:t>
      </w:r>
    </w:p>
    <w:p>
      <w:pPr>
        <w:spacing w:line="240" w:lineRule="auto"/>
        <w:jc w:val="both"/>
        <w:rPr>
          <w:rFonts w:ascii="Times New Roman" w:hAnsi="Times New Roman" w:cs="Times New Roman"/>
          <w:b/>
          <w:bCs/>
          <w:sz w:val="24"/>
          <w:szCs w:val="24"/>
          <w:lang w:val="en-US"/>
        </w:rPr>
      </w:pPr>
      <w:r>
        <w:rPr>
          <w:rFonts w:ascii="Times New Roman" w:hAnsi="Times New Roman" w:eastAsia="Times New Roman" w:cs="Times New Roman"/>
          <w:spacing w:val="3"/>
          <w:sz w:val="24"/>
          <w:szCs w:val="24"/>
          <w:lang w:eastAsia="en-IN"/>
        </w:rPr>
        <w:t>"Violators of the law can't exploit the remarkable circumstance and appreciate the freedom while the whole country is under lockdown and injured from carrying on their ordinary exercises", Justice Jayachandran had contemplated.</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Arjun P Khotkar vs Kailash K Gorantyal &amp; Ors.</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the current case, the Supreme Court has dispelled any confusion air by settling the much-tangled situation on the translation of Section 65B. Even though it might create the impression that the Court has carefully deciphered the arrangement which may place prosecutors in peril particularly when the gathering depending upon the electronic proof can't get the endorsement, the judgment explains that if the gathering has investigated all choices accessible under the law and regardless of such endeavours can't secure the declaration, the Court may reason such prerequisite. </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Truth be told, in this very case, the Court conceded electronic proof without the testament. Further, considering the agreeing assessment by Justice Ramasubramanian, it could be normal that the council alters the current laws so the strategy for suitability of electronic records gets simpler.</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Indian Social Action Forum (INSAF) vs UOI</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 xml:space="preserve">The court in this following case has explained that any association which bolsters the reason for a gathering of residents fomenting for their privileges without a political objective or objective can't be punished by being proclaimed as an association of a political sort. Yet, by leaving the expressions "dynamic governmental issues" and "gathering legislative issues" unclear, the court has empowered the Center to practice caution, which could invalidate the point of this judgment. </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Contradiction ought not to be gagged and the public authority should be addressed, as it is a significant feature of the vote-based system. India has seen numerous rough fights in the new occasions, regularly supported by Middle East Countries, to destabilize Indian political authority and shared agreement in the nation, which has prompted the wild demolition of the public property followed by collective mobs, so there is a most extreme need to put a check upon such financing.</w:t>
      </w:r>
    </w:p>
    <w:p>
      <w:pPr>
        <w:spacing w:line="240" w:lineRule="auto"/>
        <w:jc w:val="both"/>
        <w:rPr>
          <w:rFonts w:ascii="Times New Roman" w:hAnsi="Times New Roman" w:eastAsia="Times New Roman" w:cs="Times New Roman"/>
          <w:sz w:val="24"/>
          <w:szCs w:val="24"/>
          <w:lang w:eastAsia="en-IN"/>
        </w:rPr>
      </w:pPr>
      <w:r>
        <w:rPr>
          <w:rFonts w:ascii="Times New Roman" w:hAnsi="Times New Roman" w:eastAsia="Times New Roman" w:cs="Times New Roman"/>
          <w:sz w:val="24"/>
          <w:szCs w:val="24"/>
          <w:lang w:eastAsia="en-IN"/>
        </w:rPr>
        <w:t>In the present case, the Hon'ble Supreme Court declined to announce Sections 5(1) and 5(4) of the Foreign Contribution (Regulation) Act, 2010 and Rules 3(i), 3(v) and 3(vi) of the Foreign Contribution (Regulation) Rules, 2011 as violative of Articles 14, 19(1)(a), 19(1)(c) and 21 of the Constitution of India.</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Ficus Pax Pvt Limited vs UOI</w:t>
      </w:r>
    </w:p>
    <w:p>
      <w:pPr>
        <w:pStyle w:val="2"/>
        <w:shd w:val="clear" w:color="auto" w:fill="FFFFFF"/>
        <w:spacing w:before="0" w:beforeAutospacing="0" w:after="75" w:afterAutospacing="0"/>
        <w:jc w:val="both"/>
        <w:rPr>
          <w:b w:val="0"/>
          <w:bCs w:val="0"/>
          <w:sz w:val="24"/>
          <w:szCs w:val="24"/>
        </w:rPr>
      </w:pPr>
      <w:r>
        <w:rPr>
          <w:b w:val="0"/>
          <w:bCs w:val="0"/>
          <w:sz w:val="24"/>
          <w:szCs w:val="24"/>
        </w:rPr>
        <w:t>This judgement is the manoeuvre of minimum wages in the pandemic regime.</w:t>
      </w:r>
    </w:p>
    <w:p>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Apex court has consistently repeated that the base wages are not a motivating force but rather a basic prerequisite and that a business incapable to pay the base wages should not work the foundation. The court in Ficus Pax case (2020) said that privilege to compensation is a prior right which streams bury alia from the agreement of work just as more extensive protected and legal plan moving from Article 14 and 21 of the Constitution and including Payment of wages Act, Minimum Wages Act, The Contract Labor (Regulation and Abolition) Act, and the Industrial Disputes Act, 1947. </w:t>
      </w:r>
    </w:p>
    <w:p>
      <w:pPr>
        <w:spacing w:line="240" w:lineRule="auto"/>
        <w:jc w:val="both"/>
        <w:rPr>
          <w:rFonts w:ascii="Times New Roman" w:hAnsi="Times New Roman" w:cs="Times New Roman"/>
          <w:b/>
          <w:bCs/>
          <w:sz w:val="24"/>
          <w:szCs w:val="24"/>
          <w:lang w:val="en-US"/>
        </w:rPr>
      </w:pPr>
      <w:r>
        <w:rPr>
          <w:rFonts w:ascii="Times New Roman" w:hAnsi="Times New Roman" w:cs="Times New Roman"/>
          <w:sz w:val="24"/>
          <w:szCs w:val="24"/>
          <w:lang w:val="en-US"/>
        </w:rPr>
        <w:t>Besides, in the post lockdown circumstance where the end is heightening, the public authority is attempting to make sure about the professional stability and least wages through the COVID 19 transitory Employer-Employee Relief Scheme and different measures. All things considered; the execution of the equivalent should be in the way to lessen monetary imbalance as life is a higher priority than the vocation of modest bunches of individuals</w:t>
      </w:r>
    </w:p>
    <w:p>
      <w:pPr>
        <w:spacing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Rhea Chakraborty vs UOI</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case might be the most discussed and broadcasted case on Indian Media and have its deep roots connected with the mysterious death of Sushant Singh Rajput. The primary Section which could be pulled in for her situation is an infringement of Section 8(c) of the NDPS Act, which is made culpable under Section 20 or Section 22. All things considered, the researching office needs to show that her exercises or repudiation included the business amount of a Narcotic medication or psychotropic substance. </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investigation did not reveal any recovery either from the Applicant or from the house of Sushant Singh Rajput. It is their case that the drugs were already consumed and hence there was no recovery. In that case, there is nothing at this stage to show that the Applicant had committed any offence involving the commercial quantity of contraband. </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material at the most noteworthy shows that she has submitted an offence including stash, in any case, the significant component of causing afflictions of Section 37 regarding the business amount is absent. In this manner, I am fulfilled that there is the sensible reason for accepting that the Applicant isn't blameworthy of any offence culpable under Sections 19, 24 or 27A or some other offence including the business amount. </w:t>
      </w:r>
    </w:p>
    <w:p>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There are no other criminal predecessors against her. She isn't important for the chain of street pharmacists. She has not sent the medications supposedly acquired by her to another person to procure financial or different advantages. Since she has no criminal forerunners, there is the sensible reason for accepting that she isn't probably going to carry out any offence while on bail.</w:t>
      </w:r>
    </w:p>
    <w:p>
      <w:pPr>
        <w:spacing w:line="240" w:lineRule="auto"/>
        <w:jc w:val="both"/>
        <w:rPr>
          <w:rFonts w:ascii="Times New Roman" w:hAnsi="Times New Roman" w:cs="Times New Roman"/>
          <w:b/>
          <w:bCs/>
          <w:sz w:val="24"/>
          <w:szCs w:val="24"/>
          <w:shd w:val="clear" w:color="auto" w:fill="auto"/>
          <w:lang w:val="en-US"/>
        </w:rPr>
      </w:pPr>
      <w:r>
        <w:rPr>
          <w:rFonts w:ascii="Times New Roman" w:hAnsi="Times New Roman" w:cs="Times New Roman"/>
          <w:b/>
          <w:bCs/>
          <w:sz w:val="24"/>
          <w:szCs w:val="24"/>
          <w:shd w:val="clear" w:color="auto" w:fill="auto"/>
          <w:lang w:val="en-US"/>
        </w:rPr>
        <w:t>Adv Prashant Bhushan convicted for contempt of court</w:t>
      </w:r>
    </w:p>
    <w:p>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case is related to Bhushan’s interview to Tehelka magazine 11 years ago in which he made allegations of corruption in the Supreme Court and said half of the previous 16 chief justices were corrupt. The contempt of court case was filed by advocate Harish Salve.</w:t>
      </w:r>
    </w:p>
    <w:p>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August 14 decision, the court had said the charitableness of judges can't be extended to the degree that it "might add up to shortcoming in managing a pernicious, profane, determined assault" on the legal executive. This was in light of Bhushan's explanation that the appointed authorities should have been unselfish and not utilize the disdain of court law for comments on individual adjudicators or reasonable analysis of the legal executive. The court, in any case, said charges against the Supreme Court may prompt a deficiency of confidence in the legal executive and certainty among different appointed authorities.” </w:t>
      </w:r>
    </w:p>
    <w:p>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August 19, Bhushan had moved the Supreme Court trying to concede the following day's procedures to declare his discipline till a survey appeal was documented and thought of. In his application, the legal advisor said he needed to document an audit request in the wake of looking for lawful insight and contemplating the August 14 request in detail. Bhushan told the top court on Monday that his tweets were a valuable analysis of the legal executive and that withdrawing his assertion or offering an unscrupulous expression of remorse would add up to "hatred of my heart". </w:t>
      </w:r>
    </w:p>
    <w:p>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Recently, On September 14, 2020, Mr. Bhushan filed a review petition, in which Mr Bhushan had cited various instances suggesting that Justice Mishra's presence on the Bench raises a sensible apprehension on his part of getting a "fair and impartial hearing". In this background, the petitioner has sought the issuance of an appropriate writ, order or direction declaring that a person convicted for criminal contempt by this Hon'ble Court, including the petitioner herein, would have a right to an intra-court appeal to be heard by a bigger and different bench as well as framing rules and guidelines providing for intra-court appeal against conviction in original criminal contempt cases. </w:t>
      </w:r>
    </w:p>
    <w:p>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On the other hand, the petitioner has sought the issuance of an appropriate writ, order, or direction declaring that review petitions filed against orders of conviction by Supreme Court in original criminal contempt cases would be heard in open court by a different bench.</w:t>
      </w: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PLEA TO TRANSFER PM-CARES FUNDS TO NDRF DISMISSED</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Supreme Court of India had dismissed a petition which sought the transfer of funds collected in the PM-CARES fund to the National Disaster Relief Fund (NDRF). While the NDRF was constituted under the Disaster Management Act and serves as a pot of funds during any disaster (disaster as defined in the Disaster Management Act), the PM-CARES for constituted during the Coronavirus Pandemic and is primarily to be used for providing relief to the battered sections of society in this time. The main contention of the plea was that the PM-CARES fund does not have the necessary transparency with the funds collected thereunder, and that its constitution was not required when the NDRF is already in existence.</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VINEETA SHARMA V. RAKESH SHARMA</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this landmark judgment, the Supreme Court had held that a daughter will enjoy a share in the ancestral property by virtue of the Hindu Succession (Amendment) Act, irrespective of the fact whether the father was alive or not at the time of passing of this amendment act. By giving the amendment act a retrospective effect, the Supreme Court has aimed at increasing the role and interest of women, especially daughters, in the ancestral property. Prior to the 2005 amendment, the Hindu Succession Act was severely castigated for being male-centric and curtailing daughters’ rights. However, vide the 2005 amendment act, the Parliament had provided for equal share of daughters in the ancestral property.</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GUJARATI MAZDOOR SABHA V. STATE OF GUJARAT</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Vide this judgment, the Supreme Court had struck down a Notification issued by the State of Gujarat suspending certain provisions of the Factories Act during the nationwide lockdown imposed by the Center. While suspending the provisions of the Factory Act, the State of Gujarat argued that the purpose of the Act is to ensure proper production for the Company and at the same time ensuring that the workers get their rightful compensation. However, when the lockdown had battered several factories, it was necessary to balance out the some provisions of the Act to make it even for the Factory and the workers. However, the Supreme Court dismissed this contention and gave a clear message that a State Government cannot thrive towards curtailing the bolsters made to ensure workers’ rights.</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sz w:val="24"/>
          <w:szCs w:val="24"/>
          <w:lang w:val="en-US"/>
        </w:rPr>
        <w:t xml:space="preserve"> </w:t>
      </w:r>
      <w:r>
        <w:rPr>
          <w:rFonts w:hint="default" w:ascii="Times New Roman" w:hAnsi="Times New Roman" w:cs="Times New Roman"/>
          <w:b/>
          <w:bCs/>
          <w:sz w:val="24"/>
          <w:szCs w:val="24"/>
          <w:lang w:val="en-US"/>
        </w:rPr>
        <w:t>TOFAN SINGH V. STATE OF TAMIL NADU</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this landmark judgment, the Supreme Court had held that interpreted the term “officers” as used in section 53 of the NDPS officer to include Police officers. This interpretation is aimed at curbing the misuse of the NDPS act by the State authorities. Prior, to this the Police officers could take confessional statements from the persons in custody to use it against them. However, after this judgment, such statements are now barred from being used as evidence under the Evidence Act and can no more be used to convict a person under the NDPS Act.</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TAMIL NADU MEDICAL OFFICERS ASSOCIATION V. UNION OF INDIA</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Supreme Court held that the Medical Council of India does not have any power to make reservation for in-service candidates in Post-Graduation Medical Courses. The Judgment was delivered by a Constitution Bench consisting of five Judges. The Petition herein was filed by the Tamil Nadu Medical Officers Association challenging certain provisions of the Post Graduate Medical Education Regulations, 2000, framed by the Medical Council of India. The Supreme Court, while upholding the Petitioner’s contention that the Medical Education falls under Entry 25 of the Concurrent List, also observed that States have the power to make regulations providing for reservation for in-service doctors in PG Medical Courses.</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MADRAS BAR ASSOCIATION V. UNION OF INDIA</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this case, the Supreme Court upheld the validity of the Tribunal, Appellate Tribunal and other Authorities (Qualifications, Experience and other Conditions of Service of Members) Rules, 2020, (“Tribunal 2020 Rules”) rolled by the Center. The Petitioners had prayed to the Apex Court to declare the said rules as unconstitutional, for the Search-cum-Selection Committees provided in thereunder was not conforming to the principles of judicial dominance, and that the appointment of persons without judicial experience to the posts of Judicial Members/ Presiding Officer/ Chairpersons was in contravention to the existing laws laid by the Court;. However, the Court, other than upholding the validity, also directed the Union of India to constitute a National Tribunals Commission to supervise the appointments made to the tribunals and their functioning.</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AMISH DEVGAN V. UNION OF INDIA</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this landmark case, the Supreme Court rightly distinguished between “free speech” and “hate speech”, and emphasized on the importance of criminalizing “hate speeches” for they repudiate the ‘Right to Equality’ in a polity committed to pluralism. The judgment observed that while a “free speech” is primarily concerned with political, social and economic issues and policy matters, a “hate speech”, on the other hand, would not primarily focus on the subject matter but on the substance of the message which is to cause humiliation and alienation of a targeted group. The Court emphasized upon the necessity to criminalize the latter in order to protect the dignity of an individual and to ensure political and social equality between different identities and groups. Ultimately, the Court refused to quash FIR against TV anchor Amish Devgan for allegedly giving out hate remarks against Sufi Saint Moinuddin Chishti.</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M RAVINDRAN V. THE INTELLIGENCE OFFICER</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In this landmark case, the Supreme Court laid explanations regarding the right of an accused person to a default bail. The Court had explained in detail as to when this right accrues, till when it is enforceable and when does it finally extinguish. </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THE PROJECT DIRECTOR, PROJECT IMPLEMENTATION UNIT V. PV KRISHNAMOORTHY</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this case, the Supreme Court had given its nod to Central Government’s project, ad allowed it to carry forward the land acquisition process in relation to the 1000 crore 8-lane Chennai-Salem-Highway “Green Field Corridor”. The project is based in Tamil Nadu. It Court had ruled that the declaration under Section 3D of the National Highways Act can be made only if the environment clearance has been granted. Sections 3A to 3J of the Act provides the procedure for acquisition of the land for the purpose of building a national highway. As per Section 3A, the Central Government can acquire a land for public purposes if it is satisfied that such land is required for the building, maintenance, management or operation of a national highway or part thereof.</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SATISH CHANDRA AHUJA V. SNEHA AHUJA</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In this case, the Supreme Court held that a wife is also entitled to claim a right to residence in a shared household belonging to relatives of the husband. Vide this judgment, the Court overruled its 2006 judgment in SR Batra vs Smt Taruna Batra and has made it clear that a wife has right to residence even if house not owned by spouse. This progressive judgment was passed in a case involving the Domestic Violence Act.</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AMIT SAHNI V. UNION OF INDIA</w:t>
      </w:r>
    </w:p>
    <w:p>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This case had come up before the Supreme Court at the time of Coronavirus lockdown imposed by the Center. The Petition sought direction for the Central Government and State Governments to release all prisoners on parole, who are either above 50 years of age, or </w:t>
      </w:r>
      <w:r>
        <w:rPr>
          <w:rFonts w:hint="default" w:ascii="Times New Roman" w:hAnsi="Times New Roman" w:cs="Times New Roman"/>
          <w:color w:val="171617"/>
          <w:sz w:val="24"/>
          <w:szCs w:val="24"/>
          <w:shd w:val="clear" w:color="auto" w:fill="FFFFFF"/>
        </w:rPr>
        <w:t>those suffering from diabetes, high blood pressure, respiratory problem and other life threatening diseases, so as to protect them from the spread of the Coronavirus inside the prison. Refusing to issue any blanket direction, the Supreme Court held that it was up to the Governments to decide the best course of action, and that the release of prisoners on parole has to vary from case to case.</w:t>
      </w:r>
    </w:p>
    <w:p>
      <w:pPr>
        <w:rPr>
          <w:rFonts w:hint="default" w:ascii="Times New Roman" w:hAnsi="Times New Roman" w:cs="Times New Roman"/>
          <w:sz w:val="24"/>
          <w:szCs w:val="24"/>
          <w:lang w:val="en-US"/>
        </w:rPr>
      </w:pPr>
    </w:p>
    <w:p>
      <w:pP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MOHAN LAL V. STATE OF PUNJAB</w:t>
      </w:r>
    </w:p>
    <w:p>
      <w:pPr>
        <w:rPr>
          <w:rFonts w:hint="default" w:ascii="Times New Roman" w:hAnsi="Times New Roman" w:cs="Times New Roman"/>
          <w:i/>
          <w:iCs/>
          <w:sz w:val="24"/>
          <w:szCs w:val="24"/>
          <w:lang w:val="en-US"/>
        </w:rPr>
      </w:pPr>
      <w:r>
        <w:rPr>
          <w:rFonts w:hint="default" w:ascii="Times New Roman" w:hAnsi="Times New Roman" w:cs="Times New Roman"/>
          <w:sz w:val="24"/>
          <w:szCs w:val="24"/>
          <w:lang w:val="en-US"/>
        </w:rPr>
        <w:t xml:space="preserve">The judgment of this case was passed in 2018 wherein the Supreme Court had held that where the investigation is conducted by the police officer who himself is the complainant, the trial is vitiated and the accused is entitled to acquittal. However, in 2020, the Supreme Court again clarified that appeals prior to the law laid down in this case, shall continue to be governed by the individual facts of the case, and observed that, </w:t>
      </w:r>
      <w:r>
        <w:rPr>
          <w:rFonts w:hint="default" w:ascii="Times New Roman" w:hAnsi="Times New Roman" w:cs="Times New Roman"/>
          <w:i/>
          <w:iCs/>
          <w:sz w:val="24"/>
          <w:szCs w:val="24"/>
          <w:lang w:val="en-US"/>
        </w:rPr>
        <w:t>“a</w:t>
      </w:r>
      <w:r>
        <w:rPr>
          <w:rFonts w:hint="default" w:ascii="Times New Roman" w:hAnsi="Times New Roman" w:cs="Times New Roman"/>
          <w:sz w:val="24"/>
          <w:szCs w:val="24"/>
          <w:lang w:val="en-US"/>
        </w:rPr>
        <w:t xml:space="preserve"> </w:t>
      </w:r>
      <w:r>
        <w:rPr>
          <w:rFonts w:hint="default" w:ascii="Times New Roman" w:hAnsi="Times New Roman" w:cs="Times New Roman"/>
          <w:i/>
          <w:iCs/>
          <w:sz w:val="24"/>
          <w:szCs w:val="24"/>
          <w:lang w:val="en-US"/>
        </w:rPr>
        <w:t>judgment cannot be allowed to become a spring board by an accused   for   being   catapulted   to   acquittal,   irrespective   of   all   other considerations pursuant to an investigation and prosecution when the law in that regard was nebulous.”</w:t>
      </w:r>
    </w:p>
    <w:p>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VIDYA DROLIA V. DURGA TRADING ENTERPRISES</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In this case, the Supreme Court pronounced a landmark judgment by holding that landlord-tenant disputes are also arbitrable, unless it is subject to a specific rent control law. By pronouncing this decision, the Supreme Court has brought such disputes under the purview of the Arbitration and Conciliation Act and thereby transferred the burden arising from a plethora of cases from itself to the Alternate Dispute Mechanism. The parties, i.e. the landlords and the tenants will also benefit since they can now avail an expedient resolution of their disputes. Notably, the Court also laid four-fold test for deciding whether a matter is arbitrable or not.</w:t>
      </w:r>
    </w:p>
    <w:p>
      <w:pPr>
        <w:spacing w:line="240" w:lineRule="auto"/>
        <w:rPr>
          <w:rFonts w:hint="default" w:ascii="Times New Roman" w:hAnsi="Times New Roman" w:cs="Times New Roman"/>
          <w:sz w:val="24"/>
          <w:szCs w:val="24"/>
        </w:rPr>
      </w:pPr>
    </w:p>
    <w:p>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 xml:space="preserve">PARAMVIR SINGH SAINI V. BALJIT SINGH </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In this landmark case, the Supreme Court of India directed for installation of CCTV cameras in all Police Stations, including the interrogation rooms, throughout the country. This judgment is another step taken by the Supreme Court for protection of Human Rights of persons under Police custody, those who are wrongfully detained, or those being interrogated, by bringing out the cases of brutality used by the Police.</w:t>
      </w:r>
    </w:p>
    <w:p>
      <w:pPr>
        <w:spacing w:line="240" w:lineRule="auto"/>
        <w:rPr>
          <w:rFonts w:hint="default" w:ascii="Times New Roman" w:hAnsi="Times New Roman" w:cs="Times New Roman"/>
          <w:sz w:val="24"/>
          <w:szCs w:val="24"/>
        </w:rPr>
      </w:pPr>
    </w:p>
    <w:p>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SARAVANAN V. STATE</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In this case, the Supreme Court held that a there is no need to impose the condition of depositing an amount, while granting a default bail under Section 167(2) of CrPC. The Court also noted that the only condition that must be fulfilled before granting such bail is that the accused should have been in jail for more than 60 or 90 days and the investigation against him is still not complete or the charge sheet against is yet not submitted at the expiry of 60</w:t>
      </w:r>
      <w:r>
        <w:rPr>
          <w:rFonts w:hint="default" w:ascii="Times New Roman" w:hAnsi="Times New Roman" w:cs="Times New Roman"/>
          <w:sz w:val="24"/>
          <w:szCs w:val="24"/>
          <w:vertAlign w:val="superscript"/>
        </w:rPr>
        <w:t>th</w:t>
      </w:r>
      <w:r>
        <w:rPr>
          <w:rFonts w:hint="default" w:ascii="Times New Roman" w:hAnsi="Times New Roman" w:cs="Times New Roman"/>
          <w:sz w:val="24"/>
          <w:szCs w:val="24"/>
        </w:rPr>
        <w:t xml:space="preserve"> or 90</w:t>
      </w:r>
      <w:r>
        <w:rPr>
          <w:rFonts w:hint="default" w:ascii="Times New Roman" w:hAnsi="Times New Roman" w:cs="Times New Roman"/>
          <w:sz w:val="24"/>
          <w:szCs w:val="24"/>
          <w:vertAlign w:val="superscript"/>
        </w:rPr>
        <w:t>th</w:t>
      </w:r>
      <w:r>
        <w:rPr>
          <w:rFonts w:hint="default" w:ascii="Times New Roman" w:hAnsi="Times New Roman" w:cs="Times New Roman"/>
          <w:sz w:val="24"/>
          <w:szCs w:val="24"/>
        </w:rPr>
        <w:t xml:space="preserve"> day. Moreover, the Court also noted that the conditions for granting such bails are different from that while granting regular bail under section 437 CrPC.</w:t>
      </w:r>
    </w:p>
    <w:p>
      <w:pPr>
        <w:spacing w:line="240" w:lineRule="auto"/>
        <w:rPr>
          <w:rFonts w:hint="default" w:ascii="Times New Roman" w:hAnsi="Times New Roman" w:cs="Times New Roman"/>
          <w:sz w:val="24"/>
          <w:szCs w:val="24"/>
        </w:rPr>
      </w:pPr>
    </w:p>
    <w:p>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STATE OF JHARKHAND V. BRAHMAPUTRA METALLICS LTD RANCHI</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In this case, the Supreme Court held that denial of legitimate expectation can be circumstance leading to arbitrariness and thus a violation of Article 14. The Court also illustrated the “Doctrine of Legitimate Expectation” can be used against arbitrary State action to claim relief. This judgment was pronounced by a Division Bench comprising of Justices DY Chandrachud and Indu Malhotra.</w:t>
      </w:r>
    </w:p>
    <w:p>
      <w:pPr>
        <w:spacing w:line="240" w:lineRule="auto"/>
        <w:rPr>
          <w:rFonts w:hint="default" w:ascii="Times New Roman" w:hAnsi="Times New Roman" w:cs="Times New Roman"/>
          <w:sz w:val="24"/>
          <w:szCs w:val="24"/>
        </w:rPr>
      </w:pPr>
    </w:p>
    <w:p>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S. VANITHA V. DEPUTY COMMISSIONER BENGALURU</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In this case, the Supreme Court held that the summary eviction procedure under the Senior Citizens Act will not have an overriding effect over the right of a woman to live in a shared household under Section 17 of the Domestic Violence Act. It is notable that both the acts are ‘special enactments’ containing non-obstante clauses that give them overriding effects over any other laws in force. The Supreme Court, while dealing with this issue, observed that courts should consider the non-obstante clauses and make an attempt to harmonize the two special enactments, and ensure that no act is used to violate rights of any other vulnerable section of society.</w:t>
      </w:r>
    </w:p>
    <w:p>
      <w:pPr>
        <w:spacing w:line="240" w:lineRule="auto"/>
        <w:rPr>
          <w:rFonts w:hint="default" w:ascii="Times New Roman" w:hAnsi="Times New Roman" w:cs="Times New Roman"/>
          <w:sz w:val="24"/>
          <w:szCs w:val="24"/>
        </w:rPr>
      </w:pPr>
    </w:p>
    <w:p>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DR. NARESH KUMAR MANGLA V. ANITA AGARWAL</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In this case, the Supreme Court held that a CBI investigation can be ordered even after submission of charge sheet. While dealing with this case, the Court had cancelled the anticipatory bail granted to the in-laws of a deceased woman, whose dowry death was allegedly caused by the in-laws, and also directed the Police to transfer the case to CBI for further investigation, owing to the biased investigation being done by the Police.</w:t>
      </w:r>
    </w:p>
    <w:p>
      <w:pPr>
        <w:spacing w:line="240" w:lineRule="auto"/>
        <w:rPr>
          <w:rFonts w:hint="default" w:ascii="Times New Roman" w:hAnsi="Times New Roman" w:cs="Times New Roman"/>
          <w:b/>
          <w:bCs/>
          <w:i/>
          <w:iCs/>
          <w:sz w:val="24"/>
          <w:szCs w:val="24"/>
          <w:shd w:val="clear" w:color="auto" w:fill="FFFFFF"/>
        </w:rPr>
      </w:pPr>
      <w:r>
        <w:rPr>
          <w:rStyle w:val="5"/>
          <w:rFonts w:hint="default" w:ascii="Times New Roman" w:hAnsi="Times New Roman" w:cs="Times New Roman"/>
          <w:b/>
          <w:bCs/>
          <w:i w:val="0"/>
          <w:iCs w:val="0"/>
          <w:sz w:val="24"/>
          <w:szCs w:val="24"/>
          <w:shd w:val="clear" w:color="auto" w:fill="FFFFFF"/>
        </w:rPr>
        <w:t>ASIAN RESURFACING ROAD AGENCY PVT LTD VS CBI</w:t>
      </w:r>
    </w:p>
    <w:p>
      <w:pPr>
        <w:spacing w:line="240" w:lineRule="auto"/>
        <w:rPr>
          <w:rFonts w:hint="default" w:ascii="Times New Roman" w:hAnsi="Times New Roman" w:cs="Times New Roman"/>
          <w:sz w:val="24"/>
          <w:szCs w:val="24"/>
          <w:shd w:val="clear" w:color="auto" w:fill="FFFFFF"/>
          <w:vertAlign w:val="superscript"/>
        </w:rPr>
      </w:pPr>
      <w:r>
        <w:rPr>
          <w:rFonts w:hint="default" w:ascii="Times New Roman" w:hAnsi="Times New Roman" w:cs="Times New Roman"/>
          <w:sz w:val="24"/>
          <w:szCs w:val="24"/>
          <w:shd w:val="clear" w:color="auto" w:fill="FFFFFF"/>
        </w:rPr>
        <w:t>The Supreme Court has, in this order stated "reminded the magistrates all over the country" that any stay granted by any court will "automatically expire" within six months unless "extended for good reasons." </w:t>
      </w:r>
      <w:r>
        <w:rPr>
          <w:rFonts w:hint="default" w:ascii="Times New Roman" w:hAnsi="Times New Roman" w:cs="Times New Roman"/>
          <w:sz w:val="24"/>
          <w:szCs w:val="24"/>
          <w:shd w:val="clear" w:color="auto" w:fill="FFFFFF"/>
          <w:vertAlign w:val="superscript"/>
        </w:rPr>
        <w:t xml:space="preserve"> </w:t>
      </w:r>
    </w:p>
    <w:p>
      <w:pPr>
        <w:spacing w:line="240" w:lineRule="auto"/>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An FIR was registered with the Delhi Special Police Establishment under Sections 120-B along with Sections 420, 467, 468, 471 and 477-A of the Indian Penal Code, 1860 and Section 13(2) along with Section 13(1)(d) of the Prevention of Corruption Act, 1988 ("</w:t>
      </w:r>
      <w:r>
        <w:rPr>
          <w:rFonts w:hint="default" w:ascii="Times New Roman" w:hAnsi="Times New Roman" w:eastAsia="Times New Roman" w:cs="Times New Roman"/>
          <w:b/>
          <w:bCs/>
          <w:sz w:val="24"/>
          <w:szCs w:val="24"/>
          <w:lang w:eastAsia="en-IN"/>
        </w:rPr>
        <w:t>PC Act</w:t>
      </w:r>
      <w:r>
        <w:rPr>
          <w:rFonts w:hint="default" w:ascii="Times New Roman" w:hAnsi="Times New Roman" w:eastAsia="Times New Roman" w:cs="Times New Roman"/>
          <w:sz w:val="24"/>
          <w:szCs w:val="24"/>
          <w:lang w:eastAsia="en-IN"/>
        </w:rPr>
        <w:t xml:space="preserve">"), at the instance of the Municipal Corporation of Delhi against the Appellant and certain officers of MCD. </w:t>
      </w:r>
    </w:p>
    <w:p>
      <w:pPr>
        <w:spacing w:line="240" w:lineRule="auto"/>
        <w:rPr>
          <w:rFonts w:hint="default" w:ascii="Times New Roman" w:hAnsi="Times New Roman" w:cs="Times New Roman"/>
          <w:sz w:val="24"/>
          <w:szCs w:val="24"/>
          <w:shd w:val="clear" w:color="auto" w:fill="FFFFFF"/>
          <w:vertAlign w:val="superscript"/>
        </w:rPr>
      </w:pPr>
      <w:r>
        <w:rPr>
          <w:rFonts w:hint="default" w:ascii="Times New Roman" w:hAnsi="Times New Roman" w:eastAsia="Times New Roman" w:cs="Times New Roman"/>
          <w:sz w:val="24"/>
          <w:szCs w:val="24"/>
          <w:lang w:eastAsia="en-IN"/>
        </w:rPr>
        <w:t>The FIR alleged that the accused had caused wrongful loss to MCD by using fake invoices of certain oil companies about the purported transportation of bitumen for use in "dense carpeting works" of roads in Delhi during the years 1997 and 1998.</w:t>
      </w:r>
      <w:r>
        <w:rPr>
          <w:rFonts w:hint="default" w:ascii="Times New Roman" w:hAnsi="Times New Roman" w:cs="Times New Roman"/>
          <w:sz w:val="24"/>
          <w:szCs w:val="24"/>
          <w:shd w:val="clear" w:color="auto" w:fill="FFFFFF"/>
          <w:vertAlign w:val="superscript"/>
        </w:rPr>
        <w:t xml:space="preserve"> </w:t>
      </w:r>
      <w:r>
        <w:rPr>
          <w:rFonts w:hint="default" w:ascii="Times New Roman" w:hAnsi="Times New Roman" w:eastAsia="Times New Roman" w:cs="Times New Roman"/>
          <w:sz w:val="24"/>
          <w:szCs w:val="24"/>
          <w:lang w:eastAsia="en-IN"/>
        </w:rPr>
        <w:t xml:space="preserve">A charge sheet was later filed by CBI. </w:t>
      </w:r>
    </w:p>
    <w:p>
      <w:pPr>
        <w:shd w:val="clear" w:color="auto" w:fill="FFFFFF"/>
        <w:spacing w:before="100" w:beforeAutospacing="1" w:after="150" w:line="240" w:lineRule="auto"/>
        <w:rPr>
          <w:rFonts w:hint="default" w:ascii="Times New Roman" w:hAnsi="Times New Roman" w:eastAsia="Times New Roman" w:cs="Times New Roman"/>
          <w:sz w:val="24"/>
          <w:szCs w:val="24"/>
          <w:lang w:eastAsia="en-IN"/>
        </w:rPr>
      </w:pPr>
    </w:p>
    <w:p>
      <w:pPr>
        <w:spacing w:line="240" w:lineRule="auto"/>
        <w:rPr>
          <w:rFonts w:hint="default" w:ascii="Times New Roman" w:hAnsi="Times New Roman" w:cs="Times New Roman"/>
          <w:b/>
          <w:bCs/>
          <w:sz w:val="24"/>
          <w:szCs w:val="24"/>
          <w:shd w:val="clear" w:color="auto" w:fill="FFFFFF"/>
        </w:rPr>
      </w:pPr>
      <w:r>
        <w:rPr>
          <w:rFonts w:hint="default" w:ascii="Times New Roman" w:hAnsi="Times New Roman" w:cs="Times New Roman"/>
          <w:b/>
          <w:bCs/>
          <w:sz w:val="24"/>
          <w:szCs w:val="24"/>
          <w:shd w:val="clear" w:color="auto" w:fill="FFFFFF"/>
        </w:rPr>
        <w:t>SAURAV YADAV VS. STATE OF UTTAR PRADESH</w:t>
      </w:r>
    </w:p>
    <w:p>
      <w:pPr>
        <w:spacing w:line="240" w:lineRule="auto"/>
        <w:rPr>
          <w:rFonts w:hint="default" w:ascii="Times New Roman" w:hAnsi="Times New Roman" w:cs="Times New Roman"/>
          <w:b/>
          <w:bCs/>
          <w:sz w:val="24"/>
          <w:szCs w:val="24"/>
          <w:shd w:val="clear" w:color="auto" w:fill="FFFFFF"/>
        </w:rPr>
      </w:pPr>
      <w:r>
        <w:rPr>
          <w:rFonts w:hint="default" w:ascii="Times New Roman" w:hAnsi="Times New Roman" w:cs="Times New Roman"/>
          <w:sz w:val="24"/>
          <w:szCs w:val="24"/>
        </w:rPr>
        <w:br w:type="textWrapping"/>
      </w:r>
      <w:r>
        <w:rPr>
          <w:rFonts w:hint="default" w:ascii="Times New Roman" w:hAnsi="Times New Roman" w:cs="Times New Roman"/>
          <w:sz w:val="24"/>
          <w:szCs w:val="24"/>
        </w:rPr>
        <w:t>The Supreme Court in the following case has observed that the candidates belonging to reserved category, are eligible to fill general/open category vacancies also. The bench comprising Hon’ble Justices Uday Umesh Lalit, S. Ravindra Bhat and Hrishikesh Roy held that this principle should also be followed while filling vacancies in horizontal reservations in the open category. Ms Sonam Tomar and Ms Reeta Rani who had participated in the Selection Process had approached the Court aggrieved with non-consideration of their claim of OBC female and SC female candidates against the posts meant for General Category female candidates.</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The Court has criticized the view taken by some High Courts that, at the stage of accommodating candidates for effecting horizontal reservation, the candidates from reserved categories can be adjusted only against their categories under the concerned vertical reservation and not against the "Open or General Category”. Eventually, the court held that all candidates coming from 'OBC Female Category' who had secured more marks than the marks secured by the last candidate appointed in 'General Category–Female' must be offered employment as Constables in Uttar Pradesh Police.</w:t>
      </w:r>
    </w:p>
    <w:p>
      <w:pPr>
        <w:spacing w:line="240" w:lineRule="auto"/>
        <w:rPr>
          <w:rFonts w:hint="default" w:ascii="Times New Roman" w:hAnsi="Times New Roman" w:eastAsia="Times New Roman" w:cs="Times New Roman"/>
          <w:sz w:val="24"/>
          <w:szCs w:val="24"/>
          <w:lang w:eastAsia="en-IN"/>
        </w:rPr>
      </w:pPr>
    </w:p>
    <w:p>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DHEERAJ MOR V. HON'BLE HIGH COURT OF DELHI</w:t>
      </w:r>
    </w:p>
    <w:p>
      <w:pPr>
        <w:shd w:val="clear" w:color="auto" w:fill="FFFFFF"/>
        <w:spacing w:after="390" w:line="240" w:lineRule="auto"/>
        <w:rPr>
          <w:rFonts w:hint="default" w:ascii="Times New Roman" w:hAnsi="Times New Roman" w:cs="Times New Roman"/>
          <w:sz w:val="24"/>
          <w:szCs w:val="24"/>
          <w:shd w:val="clear" w:color="auto" w:fill="FFFFFF"/>
        </w:rPr>
      </w:pPr>
      <w:r>
        <w:rPr>
          <w:rFonts w:hint="default" w:ascii="Times New Roman" w:hAnsi="Times New Roman" w:cs="Times New Roman"/>
          <w:sz w:val="24"/>
          <w:szCs w:val="24"/>
          <w:shd w:val="clear" w:color="auto" w:fill="FFFFFF"/>
        </w:rPr>
        <w:t>The three-judge bench of Hon’ble Justice Arun Mishra, Justice Vineet Saran and Justice S Ravindra Bhat, marked its verdict that </w:t>
      </w:r>
      <w:r>
        <w:rPr>
          <w:rStyle w:val="7"/>
          <w:rFonts w:hint="default" w:ascii="Times New Roman" w:hAnsi="Times New Roman" w:cs="Times New Roman"/>
          <w:b w:val="0"/>
          <w:bCs w:val="0"/>
          <w:sz w:val="24"/>
          <w:szCs w:val="24"/>
          <w:shd w:val="clear" w:color="auto" w:fill="FFFFFF"/>
        </w:rPr>
        <w:t>Judicial Officers cannot be appointed as District Judges through the direct recruitment under the quota reserved for the members of the bar</w:t>
      </w:r>
      <w:r>
        <w:rPr>
          <w:rStyle w:val="7"/>
          <w:rFonts w:hint="default" w:ascii="Times New Roman" w:hAnsi="Times New Roman" w:cs="Times New Roman"/>
          <w:sz w:val="24"/>
          <w:szCs w:val="24"/>
          <w:shd w:val="clear" w:color="auto" w:fill="FFFFFF"/>
        </w:rPr>
        <w:t>.</w:t>
      </w:r>
      <w:r>
        <w:rPr>
          <w:rFonts w:hint="default" w:ascii="Times New Roman" w:hAnsi="Times New Roman" w:cs="Times New Roman"/>
          <w:sz w:val="24"/>
          <w:szCs w:val="24"/>
          <w:shd w:val="clear" w:color="auto" w:fill="FFFFFF"/>
        </w:rPr>
        <w:t> The quotas which are boarded for the members of the bar requires a continues practice of more than 7 years, and thus subordinate judicial officers are not eligible for applying for direct recruitment.</w:t>
      </w:r>
    </w:p>
    <w:p>
      <w:pPr>
        <w:shd w:val="clear" w:color="auto" w:fill="FFFFFF"/>
        <w:spacing w:after="390" w:line="240" w:lineRule="auto"/>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Seeing the matter involved a substantial question of law into the interpretation of Article 233 of the Constitution of India. The two issues raised by the petitioners were:</w:t>
      </w:r>
    </w:p>
    <w:p>
      <w:pPr>
        <w:pStyle w:val="8"/>
        <w:numPr>
          <w:ilvl w:val="0"/>
          <w:numId w:val="1"/>
        </w:numPr>
        <w:shd w:val="clear" w:color="auto" w:fill="FFFFFF"/>
        <w:spacing w:after="390" w:line="24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In case a candidate has completed 7 years of practice as an advocate, whether he/she shall be an eligible candidate even though on the date of the application/appointment or if he/she is in the service of the Union or the State;</w:t>
      </w:r>
    </w:p>
    <w:p>
      <w:pPr>
        <w:pStyle w:val="8"/>
        <w:numPr>
          <w:ilvl w:val="0"/>
          <w:numId w:val="1"/>
        </w:numPr>
        <w:shd w:val="clear" w:color="auto" w:fill="FFFFFF"/>
        <w:spacing w:after="390" w:line="24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Secondly, the members who are in judicial service as Civil Judge, Junior Division or Senior Division, if they have completed 7 years as Judicial Officers or seven years as Judicial Officer-cum-Advocate, whether they should be treated as eligible candidates.</w:t>
      </w:r>
    </w:p>
    <w:p>
      <w:pPr>
        <w:spacing w:line="240" w:lineRule="auto"/>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The Court held that when someone opts for a particular stream, i.e., Judicial Services by his own choice, he cannot sail in two boats. The Court further added that, if one of that source or sources are permitted to compete in the quota embarked for the other without the contrary situation the result would rank as discrimination</w:t>
      </w:r>
    </w:p>
    <w:p>
      <w:pPr>
        <w:spacing w:line="240" w:lineRule="auto"/>
        <w:rPr>
          <w:rStyle w:val="7"/>
          <w:rFonts w:hint="default" w:ascii="Times New Roman" w:hAnsi="Times New Roman" w:cs="Times New Roman"/>
          <w:sz w:val="24"/>
          <w:szCs w:val="24"/>
          <w:shd w:val="clear" w:color="auto" w:fill="FFFFFF"/>
        </w:rPr>
      </w:pPr>
    </w:p>
    <w:p>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IMPERIA STRUCTURES LTD. V. ANIL PATNI AND ANOTHER</w:t>
      </w:r>
    </w:p>
    <w:p>
      <w:pPr>
        <w:spacing w:line="240" w:lineRule="auto"/>
        <w:rPr>
          <w:rFonts w:hint="default" w:ascii="Times New Roman" w:hAnsi="Times New Roman" w:cs="Times New Roman"/>
          <w:sz w:val="24"/>
          <w:szCs w:val="24"/>
          <w:shd w:val="clear" w:color="auto" w:fill="FFFFFF"/>
        </w:rPr>
      </w:pPr>
      <w:r>
        <w:rPr>
          <w:rFonts w:hint="default" w:ascii="Times New Roman" w:hAnsi="Times New Roman" w:cs="Times New Roman"/>
          <w:sz w:val="24"/>
          <w:szCs w:val="24"/>
          <w:shd w:val="clear" w:color="auto" w:fill="FFFFFF"/>
        </w:rPr>
        <w:t xml:space="preserve">A Builder Buyer Agreement, in this case, was executed in November 2013, and the project was registered under the RERA act in November 2017. As per the terms of the agreement the possession of the unit was to be handed over within 42 months from the date of the agreement. </w:t>
      </w:r>
    </w:p>
    <w:p>
      <w:pPr>
        <w:spacing w:line="240" w:lineRule="auto"/>
        <w:rPr>
          <w:rFonts w:hint="default" w:ascii="Times New Roman" w:hAnsi="Times New Roman" w:cs="Times New Roman"/>
          <w:sz w:val="24"/>
          <w:szCs w:val="24"/>
          <w:shd w:val="clear" w:color="auto" w:fill="FFFFFF"/>
        </w:rPr>
      </w:pPr>
      <w:r>
        <w:rPr>
          <w:rFonts w:hint="default" w:ascii="Times New Roman" w:hAnsi="Times New Roman" w:cs="Times New Roman"/>
          <w:sz w:val="24"/>
          <w:szCs w:val="24"/>
          <w:shd w:val="clear" w:color="auto" w:fill="FFFFFF"/>
        </w:rPr>
        <w:t xml:space="preserve">The buyers being upset by the non-completion of the project within the specified period as mentioned in the agreement approached the National Consumer Disputes Redressal Commission under the Consumer Protection Act. The NCDRC later regarding the complaint ordered the builder to pay compensation. Thereafter, the builder approached the Supreme Court and contended that since the RERA registration was valid till December 2020, the project could not be said to be delayed. </w:t>
      </w:r>
    </w:p>
    <w:p>
      <w:pPr>
        <w:spacing w:line="240" w:lineRule="auto"/>
        <w:rPr>
          <w:rFonts w:hint="default" w:ascii="Times New Roman" w:hAnsi="Times New Roman" w:cs="Times New Roman"/>
          <w:sz w:val="24"/>
          <w:szCs w:val="24"/>
          <w:shd w:val="clear" w:color="auto" w:fill="FFFFFF"/>
        </w:rPr>
      </w:pPr>
      <w:r>
        <w:rPr>
          <w:rFonts w:hint="default" w:ascii="Times New Roman" w:hAnsi="Times New Roman" w:cs="Times New Roman"/>
          <w:sz w:val="24"/>
          <w:szCs w:val="24"/>
          <w:shd w:val="clear" w:color="auto" w:fill="FFFFFF"/>
        </w:rPr>
        <w:t>However, the court rejected this argument by stating that the period of allotment expired before the RERA registration. It was later held that the period of allotment starts from the date of the buyer agreement and not from the date of registration of the project under the RERA (Real estate regulation and development act). </w:t>
      </w:r>
    </w:p>
    <w:p>
      <w:pPr>
        <w:spacing w:line="240" w:lineRule="auto"/>
        <w:rPr>
          <w:rFonts w:hint="default" w:ascii="Times New Roman" w:hAnsi="Times New Roman" w:cs="Times New Roman"/>
          <w:sz w:val="24"/>
          <w:szCs w:val="24"/>
          <w:shd w:val="clear" w:color="auto" w:fill="FFFFFF"/>
        </w:rPr>
      </w:pPr>
    </w:p>
    <w:p>
      <w:pPr>
        <w:spacing w:line="240" w:lineRule="auto"/>
        <w:rPr>
          <w:rStyle w:val="7"/>
          <w:rFonts w:hint="default" w:ascii="Times New Roman" w:hAnsi="Times New Roman" w:cs="Times New Roman"/>
          <w:sz w:val="24"/>
          <w:szCs w:val="24"/>
          <w:shd w:val="clear" w:color="auto" w:fill="FFFFFF"/>
        </w:rPr>
      </w:pPr>
      <w:r>
        <w:rPr>
          <w:rStyle w:val="7"/>
          <w:rFonts w:hint="default" w:ascii="Times New Roman" w:hAnsi="Times New Roman" w:cs="Times New Roman"/>
          <w:sz w:val="24"/>
          <w:szCs w:val="24"/>
          <w:shd w:val="clear" w:color="auto" w:fill="FFFFFF"/>
        </w:rPr>
        <w:t>RAJNESH V. NEHA</w:t>
      </w:r>
    </w:p>
    <w:p>
      <w:pPr>
        <w:spacing w:line="240" w:lineRule="auto"/>
        <w:rPr>
          <w:rFonts w:hint="default" w:ascii="Times New Roman" w:hAnsi="Times New Roman" w:cs="Times New Roman"/>
          <w:sz w:val="24"/>
          <w:szCs w:val="24"/>
        </w:rPr>
      </w:pPr>
      <w:r>
        <w:rPr>
          <w:rStyle w:val="7"/>
          <w:rFonts w:hint="default" w:ascii="Times New Roman" w:hAnsi="Times New Roman" w:cs="Times New Roman"/>
          <w:b w:val="0"/>
          <w:bCs w:val="0"/>
          <w:sz w:val="24"/>
          <w:szCs w:val="24"/>
          <w:shd w:val="clear" w:color="auto" w:fill="FFFFFF"/>
        </w:rPr>
        <w:t>A petition was filed for Interim Maintenance by a wife and her Minor son as Respondents under Section 125 Cr.P.C</w:t>
      </w:r>
      <w:r>
        <w:rPr>
          <w:rFonts w:hint="default" w:ascii="Times New Roman" w:hAnsi="Times New Roman" w:cs="Times New Roman"/>
          <w:sz w:val="24"/>
          <w:szCs w:val="24"/>
          <w:shd w:val="clear" w:color="auto" w:fill="FFFFFF"/>
        </w:rPr>
        <w:t>. Wife left the matrimonial home in January 2013, soon after the birth of Son (Respondent no. 2). In 2013, the wife filed an application where Family Court Ordered payment of interim maintenance of </w:t>
      </w:r>
      <w:r>
        <w:rPr>
          <w:rStyle w:val="7"/>
          <w:rFonts w:hint="default" w:ascii="Times New Roman" w:hAnsi="Times New Roman" w:cs="Times New Roman"/>
          <w:b w:val="0"/>
          <w:bCs w:val="0"/>
          <w:sz w:val="24"/>
          <w:szCs w:val="24"/>
          <w:shd w:val="clear" w:color="auto" w:fill="FFFFFF"/>
        </w:rPr>
        <w:t>Rs.15,000 per month to wife</w:t>
      </w:r>
      <w:r>
        <w:rPr>
          <w:rFonts w:hint="default" w:ascii="Times New Roman" w:hAnsi="Times New Roman" w:cs="Times New Roman"/>
          <w:sz w:val="24"/>
          <w:szCs w:val="24"/>
          <w:shd w:val="clear" w:color="auto" w:fill="FFFFFF"/>
        </w:rPr>
        <w:t xml:space="preserve"> and </w:t>
      </w:r>
      <w:r>
        <w:rPr>
          <w:rStyle w:val="7"/>
          <w:rFonts w:hint="default" w:ascii="Times New Roman" w:hAnsi="Times New Roman" w:cs="Times New Roman"/>
          <w:b w:val="0"/>
          <w:bCs w:val="0"/>
          <w:sz w:val="24"/>
          <w:szCs w:val="24"/>
          <w:shd w:val="clear" w:color="auto" w:fill="FFFFFF"/>
        </w:rPr>
        <w:t>Rs. 5,000 per month to son</w:t>
      </w:r>
      <w:r>
        <w:rPr>
          <w:rFonts w:hint="default" w:ascii="Times New Roman" w:hAnsi="Times New Roman" w:cs="Times New Roman"/>
          <w:sz w:val="24"/>
          <w:szCs w:val="24"/>
          <w:shd w:val="clear" w:color="auto" w:fill="FFFFFF"/>
        </w:rPr>
        <w:t xml:space="preserve">. </w:t>
      </w:r>
      <w:r>
        <w:rPr>
          <w:rFonts w:hint="default" w:ascii="Times New Roman" w:hAnsi="Times New Roman" w:cs="Times New Roman"/>
          <w:sz w:val="24"/>
          <w:szCs w:val="24"/>
        </w:rPr>
        <w:t xml:space="preserve">The husband later challenged the order before Bombay HC, where the petition was dismissed. Later, the present appeal was filed in Supreme Court to impugn the High Court order. Few issues were taken into consideration in Supreme Court namely: </w:t>
      </w:r>
      <w:r>
        <w:rPr>
          <w:rFonts w:hint="default" w:ascii="Times New Roman" w:hAnsi="Times New Roman" w:eastAsia="Times New Roman" w:cs="Times New Roman"/>
          <w:sz w:val="24"/>
          <w:szCs w:val="24"/>
          <w:lang w:eastAsia="en-IN"/>
        </w:rPr>
        <w:t>Issue of Overlapping Jurisdictions, Payment of interim maintenance</w:t>
      </w:r>
      <w:r>
        <w:rPr>
          <w:rFonts w:hint="default" w:ascii="Times New Roman" w:hAnsi="Times New Roman" w:cs="Times New Roman"/>
          <w:sz w:val="24"/>
          <w:szCs w:val="24"/>
          <w:shd w:val="clear" w:color="auto" w:fill="FFFFFF"/>
        </w:rPr>
        <w:t xml:space="preserve">, </w:t>
      </w:r>
      <w:r>
        <w:rPr>
          <w:rFonts w:hint="default" w:ascii="Times New Roman" w:hAnsi="Times New Roman" w:eastAsia="Times New Roman" w:cs="Times New Roman"/>
          <w:sz w:val="24"/>
          <w:szCs w:val="24"/>
          <w:lang w:eastAsia="en-IN"/>
        </w:rPr>
        <w:t>Criteria for determining the quantum of maintenance</w:t>
      </w:r>
      <w:r>
        <w:rPr>
          <w:rFonts w:hint="default" w:ascii="Times New Roman" w:hAnsi="Times New Roman" w:cs="Times New Roman"/>
          <w:sz w:val="24"/>
          <w:szCs w:val="24"/>
          <w:shd w:val="clear" w:color="auto" w:fill="FFFFFF"/>
        </w:rPr>
        <w:t xml:space="preserve">, </w:t>
      </w:r>
      <w:r>
        <w:rPr>
          <w:rFonts w:hint="default" w:ascii="Times New Roman" w:hAnsi="Times New Roman" w:eastAsia="Times New Roman" w:cs="Times New Roman"/>
          <w:sz w:val="24"/>
          <w:szCs w:val="24"/>
          <w:lang w:eastAsia="en-IN"/>
        </w:rPr>
        <w:t>Date from which Maintenance to be awarded</w:t>
      </w:r>
      <w:r>
        <w:rPr>
          <w:rFonts w:hint="default" w:ascii="Times New Roman" w:hAnsi="Times New Roman" w:cs="Times New Roman"/>
          <w:sz w:val="24"/>
          <w:szCs w:val="24"/>
          <w:shd w:val="clear" w:color="auto" w:fill="FFFFFF"/>
        </w:rPr>
        <w:t xml:space="preserve"> and </w:t>
      </w:r>
      <w:r>
        <w:rPr>
          <w:rFonts w:hint="default" w:ascii="Times New Roman" w:hAnsi="Times New Roman" w:eastAsia="Times New Roman" w:cs="Times New Roman"/>
          <w:sz w:val="24"/>
          <w:szCs w:val="24"/>
          <w:lang w:eastAsia="en-IN"/>
        </w:rPr>
        <w:t>Enforcement of orders of maintenance</w:t>
      </w:r>
      <w:r>
        <w:rPr>
          <w:rFonts w:hint="default" w:ascii="Times New Roman" w:hAnsi="Times New Roman" w:cs="Times New Roman"/>
          <w:sz w:val="24"/>
          <w:szCs w:val="24"/>
        </w:rPr>
        <w:t xml:space="preserve">. </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 xml:space="preserve">To conclude, the two-Judge Bench of the Apex Court comprising of Justice Indu Malhotra and Justice R Subhash Reddy issued detailed and historic guidelines on payment of maintenance in matrimonial matters. It was later stated that “Maintenance laws have been enacted as a measure of social justice to provide recourse to dependant wives and children for their financial support, to prevent them from falling into destitution and vagrancy.” </w:t>
      </w:r>
    </w:p>
    <w:p>
      <w:pPr>
        <w:spacing w:line="240" w:lineRule="auto"/>
        <w:rPr>
          <w:rFonts w:hint="default" w:ascii="Times New Roman" w:hAnsi="Times New Roman" w:cs="Times New Roman"/>
          <w:b/>
          <w:bCs/>
          <w:sz w:val="24"/>
          <w:szCs w:val="24"/>
        </w:rPr>
      </w:pPr>
    </w:p>
    <w:p>
      <w:pPr>
        <w:spacing w:line="240" w:lineRule="auto"/>
        <w:rPr>
          <w:rFonts w:hint="default" w:ascii="Times New Roman" w:hAnsi="Times New Roman" w:cs="Times New Roman"/>
          <w:b/>
          <w:bCs/>
          <w:sz w:val="24"/>
          <w:szCs w:val="24"/>
        </w:rPr>
      </w:pPr>
      <w:r>
        <w:rPr>
          <w:rFonts w:hint="default" w:ascii="Times New Roman" w:hAnsi="Times New Roman" w:cs="Times New Roman"/>
          <w:b/>
          <w:bCs/>
          <w:sz w:val="24"/>
          <w:szCs w:val="24"/>
        </w:rPr>
        <w:t>NEW INDIA ASSURANCE CO. LTD. V. HILLI MULTIPURPOSE COLD STORAGE PVT. LTD.</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The Supreme Court, in this case, stated after taking into account various provisions from Consumer Protection Act and Consumer Protection Regulation that</w:t>
      </w:r>
      <w:r>
        <w:rPr>
          <w:rFonts w:hint="default" w:ascii="Times New Roman" w:hAnsi="Times New Roman" w:cs="Times New Roman"/>
          <w:sz w:val="24"/>
          <w:szCs w:val="24"/>
          <w:shd w:val="clear" w:color="auto" w:fill="FFFFFF"/>
        </w:rPr>
        <w:t>, the District Forum has no power to extend the time for filing the response to the complaint beyond the period of 15 days in addition to 30 days as is mentioned under Section 13 of the Consumer Protection Act.</w:t>
      </w:r>
    </w:p>
    <w:p>
      <w:pPr>
        <w:spacing w:line="240" w:lineRule="auto"/>
        <w:rPr>
          <w:rFonts w:hint="default" w:ascii="Times New Roman" w:hAnsi="Times New Roman" w:cs="Times New Roman"/>
          <w:sz w:val="24"/>
          <w:szCs w:val="24"/>
        </w:rPr>
      </w:pPr>
      <w:r>
        <w:rPr>
          <w:rFonts w:hint="default" w:ascii="Times New Roman" w:hAnsi="Times New Roman" w:cs="Times New Roman"/>
          <w:sz w:val="24"/>
          <w:szCs w:val="24"/>
        </w:rPr>
        <w:t>The questions settled in the judgement were Whether the District Forum has the power to extend the time for filing the response beyond the period of 15 days, in addition to 30 days as mandated by Section 13(2)(a) of the Act? and What would be the commencing point of limitation of 30 days stipulated under Section 13 of the Act?</w:t>
      </w:r>
      <w:bookmarkStart w:id="0" w:name="_GoBack"/>
      <w:bookmarkEnd w:id="0"/>
    </w:p>
    <w:p>
      <w:pPr>
        <w:rPr>
          <w:rFonts w:hint="default" w:ascii="Times New Roman" w:hAnsi="Times New Roman" w:cs="Times New Roman"/>
          <w:sz w:val="24"/>
          <w:szCs w:val="24"/>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open-sans-reg">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F1187A"/>
    <w:multiLevelType w:val="multilevel"/>
    <w:tmpl w:val="69F1187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7309DD"/>
    <w:rsid w:val="24730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N" w:eastAsia="en-US" w:bidi="ar-SA"/>
    </w:rPr>
  </w:style>
  <w:style w:type="paragraph" w:styleId="2">
    <w:name w:val="heading 1"/>
    <w:basedOn w:val="1"/>
    <w:next w:val="1"/>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n-IN"/>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20"/>
    <w:rPr>
      <w:i/>
      <w:iCs/>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en-IN"/>
    </w:rPr>
  </w:style>
  <w:style w:type="character" w:styleId="7">
    <w:name w:val="Strong"/>
    <w:basedOn w:val="3"/>
    <w:qFormat/>
    <w:uiPriority w:val="22"/>
    <w:rPr>
      <w:b/>
      <w:bCs/>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Office_11.2.0.9906_F1E327BC-269C-435d-A152-05C5408002CA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2021-01-05T09:20:00Z</dcterms:created>
  <dc:creator>Nihal</dc:creator>
  <cp:lastModifiedBy>Nihal</cp:lastModifiedBy>
  <dcterms:modified xsi:type="dcterms:W3CDTF">2021-01-05T09:33:23Z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1033-11.2.0.9906</vt:lpwstr>
  </property>
</Properties>
</file>