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655" w:rsidRPr="000C7655" w:rsidRDefault="000C7655" w:rsidP="000C7655">
      <w:pPr>
        <w:jc w:val="center"/>
        <w:rPr>
          <w:rFonts w:ascii="Times New Roman" w:hAnsi="Times New Roman" w:cs="Times New Roman"/>
          <w:b/>
          <w:sz w:val="40"/>
          <w:u w:val="single"/>
        </w:rPr>
      </w:pPr>
      <w:r w:rsidRPr="000C7655">
        <w:rPr>
          <w:rFonts w:ascii="Times New Roman" w:hAnsi="Times New Roman" w:cs="Times New Roman"/>
          <w:b/>
          <w:sz w:val="40"/>
          <w:u w:val="single"/>
        </w:rPr>
        <w:t>RBI Ease of Doing Business Initiatives</w:t>
      </w:r>
      <w:r>
        <w:rPr>
          <w:rFonts w:ascii="Times New Roman" w:hAnsi="Times New Roman" w:cs="Times New Roman"/>
          <w:b/>
          <w:sz w:val="40"/>
          <w:u w:val="single"/>
        </w:rPr>
        <w:t xml:space="preserve"> (under FEMA)</w:t>
      </w:r>
    </w:p>
    <w:p w:rsidR="006069E9" w:rsidRPr="000C7655" w:rsidRDefault="000C7655" w:rsidP="000C7655">
      <w:pPr>
        <w:jc w:val="center"/>
        <w:rPr>
          <w:rFonts w:ascii="Times New Roman" w:hAnsi="Times New Roman" w:cs="Times New Roman"/>
          <w:b/>
          <w:bCs/>
          <w:i/>
          <w:caps/>
          <w:color w:val="002060"/>
          <w:sz w:val="36"/>
          <w:szCs w:val="26"/>
          <w:u w:val="single"/>
        </w:rPr>
      </w:pPr>
      <w:r w:rsidRPr="000C7655">
        <w:rPr>
          <w:rFonts w:ascii="Times New Roman" w:hAnsi="Times New Roman" w:cs="Times New Roman"/>
          <w:b/>
          <w:i/>
          <w:sz w:val="36"/>
          <w:szCs w:val="26"/>
          <w:u w:val="single"/>
        </w:rPr>
        <w:t>“</w:t>
      </w:r>
      <w:r w:rsidR="00CD65A3" w:rsidRPr="000C7655">
        <w:rPr>
          <w:rFonts w:ascii="Times New Roman" w:hAnsi="Times New Roman" w:cs="Times New Roman"/>
          <w:b/>
          <w:i/>
          <w:sz w:val="36"/>
          <w:szCs w:val="26"/>
          <w:u w:val="single"/>
        </w:rPr>
        <w:t>Discontinuation of Returns</w:t>
      </w:r>
      <w:r w:rsidRPr="000C7655">
        <w:rPr>
          <w:rFonts w:ascii="Times New Roman" w:hAnsi="Times New Roman" w:cs="Times New Roman"/>
          <w:b/>
          <w:i/>
          <w:sz w:val="36"/>
          <w:szCs w:val="26"/>
          <w:u w:val="single"/>
        </w:rPr>
        <w:t xml:space="preserve"> </w:t>
      </w:r>
      <w:r w:rsidR="00CD65A3" w:rsidRPr="000C7655">
        <w:rPr>
          <w:rFonts w:ascii="Times New Roman" w:hAnsi="Times New Roman" w:cs="Times New Roman"/>
          <w:b/>
          <w:i/>
          <w:sz w:val="36"/>
          <w:szCs w:val="26"/>
          <w:u w:val="single"/>
        </w:rPr>
        <w:t xml:space="preserve">Reports under </w:t>
      </w:r>
      <w:r w:rsidRPr="000C7655">
        <w:rPr>
          <w:rFonts w:ascii="Times New Roman" w:hAnsi="Times New Roman" w:cs="Times New Roman"/>
          <w:b/>
          <w:i/>
          <w:sz w:val="36"/>
          <w:szCs w:val="26"/>
          <w:u w:val="single"/>
        </w:rPr>
        <w:t>FEMA</w:t>
      </w:r>
      <w:r w:rsidR="00CD65A3" w:rsidRPr="000C7655">
        <w:rPr>
          <w:rFonts w:ascii="Times New Roman" w:hAnsi="Times New Roman" w:cs="Times New Roman"/>
          <w:b/>
          <w:i/>
          <w:sz w:val="36"/>
          <w:szCs w:val="26"/>
          <w:u w:val="single"/>
        </w:rPr>
        <w:t>, 1999</w:t>
      </w:r>
      <w:r w:rsidRPr="000C7655">
        <w:rPr>
          <w:rFonts w:ascii="Times New Roman" w:hAnsi="Times New Roman" w:cs="Times New Roman"/>
          <w:b/>
          <w:i/>
          <w:sz w:val="36"/>
          <w:szCs w:val="26"/>
          <w:u w:val="single"/>
        </w:rPr>
        <w:t>”</w:t>
      </w:r>
    </w:p>
    <w:p w:rsidR="006069E9" w:rsidRPr="00DD00F5" w:rsidRDefault="006069E9" w:rsidP="006069E9">
      <w:pPr>
        <w:jc w:val="both"/>
        <w:rPr>
          <w:rFonts w:ascii="Times New Roman" w:hAnsi="Times New Roman" w:cs="Times New Roman"/>
          <w:b/>
          <w:bCs/>
          <w:caps/>
          <w:color w:val="002060"/>
          <w:sz w:val="2"/>
          <w:szCs w:val="24"/>
          <w:u w:val="single"/>
        </w:rPr>
      </w:pPr>
    </w:p>
    <w:p w:rsidR="006069E9" w:rsidRPr="008F45D0" w:rsidRDefault="006069E9" w:rsidP="006069E9">
      <w:pPr>
        <w:pStyle w:val="ListParagraph"/>
        <w:numPr>
          <w:ilvl w:val="0"/>
          <w:numId w:val="18"/>
        </w:numPr>
        <w:jc w:val="both"/>
        <w:rPr>
          <w:rFonts w:ascii="Times New Roman" w:hAnsi="Times New Roman" w:cs="Times New Roman"/>
          <w:b/>
          <w:bCs/>
          <w:caps/>
          <w:color w:val="002060"/>
          <w:sz w:val="28"/>
          <w:szCs w:val="24"/>
          <w:u w:val="single"/>
        </w:rPr>
      </w:pPr>
      <w:r w:rsidRPr="008F45D0">
        <w:rPr>
          <w:rFonts w:ascii="Times New Roman" w:hAnsi="Times New Roman" w:cs="Times New Roman"/>
          <w:b/>
          <w:bCs/>
          <w:caps/>
          <w:color w:val="002060"/>
          <w:sz w:val="28"/>
          <w:szCs w:val="24"/>
          <w:u w:val="single"/>
        </w:rPr>
        <w:t>Overview</w:t>
      </w:r>
    </w:p>
    <w:p w:rsidR="006069E9" w:rsidRPr="00CD65A3" w:rsidRDefault="00CD65A3" w:rsidP="00CD65A3">
      <w:pPr>
        <w:jc w:val="both"/>
        <w:rPr>
          <w:rFonts w:ascii="Times New Roman" w:hAnsi="Times New Roman" w:cs="Times New Roman"/>
          <w:b/>
          <w:bCs/>
          <w:color w:val="002060"/>
          <w:sz w:val="28"/>
          <w:szCs w:val="28"/>
          <w:u w:val="single"/>
        </w:rPr>
      </w:pPr>
      <w:r>
        <w:rPr>
          <w:rFonts w:ascii="Times New Roman" w:hAnsi="Times New Roman" w:cs="Times New Roman"/>
          <w:color w:val="002060"/>
          <w:sz w:val="24"/>
          <w:szCs w:val="24"/>
        </w:rPr>
        <w:t xml:space="preserve">Reserve Bank </w:t>
      </w:r>
      <w:r w:rsidR="006069E9" w:rsidRPr="007F4DB4">
        <w:rPr>
          <w:rFonts w:ascii="Times New Roman" w:hAnsi="Times New Roman" w:cs="Times New Roman"/>
          <w:color w:val="002060"/>
          <w:sz w:val="24"/>
          <w:szCs w:val="24"/>
        </w:rPr>
        <w:t>of India (</w:t>
      </w:r>
      <w:r>
        <w:rPr>
          <w:rFonts w:ascii="Times New Roman" w:hAnsi="Times New Roman" w:cs="Times New Roman"/>
          <w:color w:val="002060"/>
          <w:sz w:val="24"/>
          <w:szCs w:val="24"/>
        </w:rPr>
        <w:t>RBI</w:t>
      </w:r>
      <w:r w:rsidR="006069E9" w:rsidRPr="007F4DB4">
        <w:rPr>
          <w:rFonts w:ascii="Times New Roman" w:hAnsi="Times New Roman" w:cs="Times New Roman"/>
          <w:color w:val="002060"/>
          <w:sz w:val="24"/>
          <w:szCs w:val="24"/>
        </w:rPr>
        <w:t xml:space="preserve">) </w:t>
      </w:r>
      <w:proofErr w:type="gramStart"/>
      <w:r w:rsidR="006069E9" w:rsidRPr="007F4DB4">
        <w:rPr>
          <w:rFonts w:ascii="Times New Roman" w:hAnsi="Times New Roman" w:cs="Times New Roman"/>
          <w:color w:val="002060"/>
          <w:sz w:val="24"/>
          <w:szCs w:val="24"/>
        </w:rPr>
        <w:t>vide</w:t>
      </w:r>
      <w:proofErr w:type="gramEnd"/>
      <w:r w:rsidR="006069E9" w:rsidRPr="007F4DB4">
        <w:rPr>
          <w:rFonts w:ascii="Times New Roman" w:hAnsi="Times New Roman" w:cs="Times New Roman"/>
          <w:color w:val="002060"/>
          <w:sz w:val="24"/>
          <w:szCs w:val="24"/>
        </w:rPr>
        <w:t xml:space="preserve"> notification / Circular No. </w:t>
      </w:r>
      <w:r w:rsidRPr="00CD65A3">
        <w:rPr>
          <w:rFonts w:ascii="Times New Roman" w:hAnsi="Times New Roman" w:cs="Times New Roman"/>
          <w:color w:val="002060"/>
          <w:sz w:val="24"/>
          <w:szCs w:val="24"/>
        </w:rPr>
        <w:t>RBI/2020-21/66</w:t>
      </w:r>
      <w:r>
        <w:rPr>
          <w:rFonts w:ascii="Times New Roman" w:hAnsi="Times New Roman" w:cs="Times New Roman"/>
          <w:color w:val="002060"/>
          <w:sz w:val="24"/>
          <w:szCs w:val="24"/>
        </w:rPr>
        <w:t xml:space="preserve"> </w:t>
      </w:r>
      <w:r w:rsidRPr="00CD65A3">
        <w:rPr>
          <w:rFonts w:ascii="Times New Roman" w:hAnsi="Times New Roman" w:cs="Times New Roman"/>
          <w:color w:val="002060"/>
          <w:sz w:val="24"/>
          <w:szCs w:val="24"/>
        </w:rPr>
        <w:t>A.P. (DIR Series) Circular No. 05</w:t>
      </w:r>
      <w:r w:rsidR="006069E9" w:rsidRPr="00CD65A3">
        <w:rPr>
          <w:rFonts w:ascii="Times New Roman" w:hAnsi="Times New Roman" w:cs="Times New Roman"/>
          <w:color w:val="002060"/>
          <w:sz w:val="24"/>
          <w:szCs w:val="24"/>
        </w:rPr>
        <w:t xml:space="preserve"> dated 13</w:t>
      </w:r>
      <w:r w:rsidR="006069E9" w:rsidRPr="00CD65A3">
        <w:rPr>
          <w:rFonts w:ascii="Times New Roman" w:hAnsi="Times New Roman" w:cs="Times New Roman"/>
          <w:color w:val="002060"/>
          <w:sz w:val="24"/>
          <w:szCs w:val="24"/>
          <w:vertAlign w:val="superscript"/>
        </w:rPr>
        <w:t>th</w:t>
      </w:r>
      <w:r w:rsidR="006069E9" w:rsidRPr="00CD65A3">
        <w:rPr>
          <w:rFonts w:ascii="Times New Roman" w:hAnsi="Times New Roman" w:cs="Times New Roman"/>
          <w:color w:val="002060"/>
          <w:sz w:val="24"/>
          <w:szCs w:val="24"/>
        </w:rPr>
        <w:t xml:space="preserve"> November, 2020, has published </w:t>
      </w:r>
      <w:r w:rsidRPr="00CD65A3">
        <w:rPr>
          <w:rFonts w:ascii="Times New Roman" w:hAnsi="Times New Roman" w:cs="Times New Roman"/>
          <w:b/>
          <w:bCs/>
          <w:color w:val="002060"/>
          <w:sz w:val="28"/>
          <w:szCs w:val="28"/>
          <w:u w:val="single"/>
        </w:rPr>
        <w:t xml:space="preserve">Discontinuation of Returns/ Reports under Foreign Exchange Management Act, </w:t>
      </w:r>
      <w:proofErr w:type="gramStart"/>
      <w:r w:rsidRPr="00CD65A3">
        <w:rPr>
          <w:rFonts w:ascii="Times New Roman" w:hAnsi="Times New Roman" w:cs="Times New Roman"/>
          <w:b/>
          <w:bCs/>
          <w:color w:val="002060"/>
          <w:sz w:val="28"/>
          <w:szCs w:val="28"/>
          <w:u w:val="single"/>
        </w:rPr>
        <w:t xml:space="preserve">1999 </w:t>
      </w:r>
      <w:r w:rsidR="006069E9" w:rsidRPr="00CD65A3">
        <w:rPr>
          <w:rFonts w:ascii="Times New Roman" w:hAnsi="Times New Roman" w:cs="Times New Roman"/>
          <w:b/>
          <w:bCs/>
          <w:color w:val="002060"/>
          <w:sz w:val="24"/>
          <w:szCs w:val="24"/>
        </w:rPr>
        <w:t>”</w:t>
      </w:r>
      <w:proofErr w:type="gramEnd"/>
      <w:r w:rsidR="006069E9" w:rsidRPr="00CD65A3">
        <w:rPr>
          <w:rFonts w:ascii="Times New Roman" w:hAnsi="Times New Roman" w:cs="Times New Roman"/>
          <w:b/>
          <w:bCs/>
          <w:caps/>
          <w:color w:val="002060"/>
          <w:sz w:val="28"/>
          <w:szCs w:val="24"/>
        </w:rPr>
        <w:t xml:space="preserve"> </w:t>
      </w:r>
      <w:r w:rsidR="003239B8" w:rsidRPr="00CD65A3">
        <w:rPr>
          <w:rFonts w:ascii="Times New Roman" w:hAnsi="Times New Roman" w:cs="Times New Roman"/>
          <w:color w:val="002060"/>
          <w:sz w:val="24"/>
        </w:rPr>
        <w:t xml:space="preserve">in exercise of the powers conferred under sections </w:t>
      </w:r>
      <w:r w:rsidRPr="00CD65A3">
        <w:rPr>
          <w:rFonts w:ascii="Times New Roman" w:hAnsi="Times New Roman" w:cs="Times New Roman"/>
          <w:color w:val="002060"/>
          <w:sz w:val="24"/>
        </w:rPr>
        <w:t>Section 10(4) and 11(2) of the Foreign Exchange Management Act, 1999 (42 of 1999) and are without prejudice to permissions/approvals, if any, required under any other law.</w:t>
      </w:r>
    </w:p>
    <w:p w:rsidR="00CD65A3" w:rsidRPr="00CD65A3" w:rsidRDefault="006069E9" w:rsidP="00CD65A3">
      <w:pPr>
        <w:pStyle w:val="ListParagraph"/>
        <w:numPr>
          <w:ilvl w:val="0"/>
          <w:numId w:val="23"/>
        </w:numPr>
        <w:jc w:val="both"/>
        <w:rPr>
          <w:rFonts w:ascii="Times New Roman" w:hAnsi="Times New Roman" w:cs="Times New Roman"/>
          <w:color w:val="002060"/>
        </w:rPr>
      </w:pPr>
      <w:r w:rsidRPr="00CD65A3">
        <w:rPr>
          <w:rFonts w:ascii="Times New Roman" w:hAnsi="Times New Roman" w:cs="Times New Roman"/>
          <w:b/>
          <w:bCs/>
          <w:color w:val="002060"/>
          <w:sz w:val="28"/>
          <w:szCs w:val="24"/>
        </w:rPr>
        <w:t>The Circular is issued to :</w:t>
      </w:r>
      <w:r w:rsidR="00CD65A3">
        <w:rPr>
          <w:rFonts w:ascii="Times New Roman" w:hAnsi="Times New Roman" w:cs="Times New Roman"/>
          <w:b/>
          <w:bCs/>
          <w:color w:val="002060"/>
          <w:sz w:val="28"/>
          <w:szCs w:val="24"/>
        </w:rPr>
        <w:t xml:space="preserve"> </w:t>
      </w:r>
      <w:r w:rsidR="00CD65A3" w:rsidRPr="00CD65A3">
        <w:rPr>
          <w:rFonts w:ascii="Times New Roman" w:hAnsi="Times New Roman" w:cs="Times New Roman"/>
          <w:color w:val="002060"/>
        </w:rPr>
        <w:t xml:space="preserve">All </w:t>
      </w:r>
      <w:proofErr w:type="spellStart"/>
      <w:r w:rsidR="00CD65A3" w:rsidRPr="00CD65A3">
        <w:rPr>
          <w:rFonts w:ascii="Times New Roman" w:hAnsi="Times New Roman" w:cs="Times New Roman"/>
          <w:color w:val="002060"/>
        </w:rPr>
        <w:t>Authorised</w:t>
      </w:r>
      <w:proofErr w:type="spellEnd"/>
      <w:r w:rsidR="00CD65A3" w:rsidRPr="00CD65A3">
        <w:rPr>
          <w:rFonts w:ascii="Times New Roman" w:hAnsi="Times New Roman" w:cs="Times New Roman"/>
          <w:color w:val="002060"/>
        </w:rPr>
        <w:t xml:space="preserve"> Persons</w:t>
      </w:r>
    </w:p>
    <w:p w:rsidR="008F45D0" w:rsidRDefault="008F45D0" w:rsidP="00CD65A3">
      <w:pPr>
        <w:pStyle w:val="ListParagraph"/>
        <w:tabs>
          <w:tab w:val="left" w:pos="2160"/>
        </w:tabs>
        <w:spacing w:after="0" w:line="240" w:lineRule="auto"/>
        <w:jc w:val="both"/>
        <w:rPr>
          <w:rFonts w:ascii="Times New Roman" w:hAnsi="Times New Roman" w:cs="Times New Roman"/>
          <w:color w:val="002060"/>
        </w:rPr>
      </w:pPr>
    </w:p>
    <w:p w:rsidR="00B408FE" w:rsidRPr="00B408FE" w:rsidRDefault="00CD65A3" w:rsidP="00CD65A3">
      <w:pPr>
        <w:pStyle w:val="ListParagraph"/>
        <w:numPr>
          <w:ilvl w:val="0"/>
          <w:numId w:val="22"/>
        </w:numPr>
        <w:tabs>
          <w:tab w:val="left" w:pos="2160"/>
        </w:tabs>
        <w:spacing w:after="0" w:line="240" w:lineRule="auto"/>
        <w:jc w:val="both"/>
        <w:rPr>
          <w:rFonts w:ascii="Times New Roman" w:hAnsi="Times New Roman" w:cs="Times New Roman"/>
          <w:color w:val="002060"/>
          <w:sz w:val="18"/>
        </w:rPr>
      </w:pPr>
      <w:r>
        <w:rPr>
          <w:rFonts w:ascii="Times New Roman" w:hAnsi="Times New Roman" w:cs="Times New Roman"/>
          <w:b/>
          <w:color w:val="002060"/>
          <w:sz w:val="28"/>
        </w:rPr>
        <w:t>Aim and Vision of this</w:t>
      </w:r>
      <w:r w:rsidR="008F45D0" w:rsidRPr="008F45D0">
        <w:rPr>
          <w:rFonts w:ascii="Times New Roman" w:hAnsi="Times New Roman" w:cs="Times New Roman"/>
          <w:b/>
          <w:color w:val="002060"/>
          <w:sz w:val="28"/>
        </w:rPr>
        <w:t xml:space="preserve"> Circular: </w:t>
      </w:r>
    </w:p>
    <w:p w:rsidR="00B408FE" w:rsidRDefault="00CD65A3" w:rsidP="00B408FE">
      <w:pPr>
        <w:pStyle w:val="ListParagraph"/>
        <w:tabs>
          <w:tab w:val="left" w:pos="2160"/>
        </w:tabs>
        <w:spacing w:after="0" w:line="240" w:lineRule="auto"/>
        <w:jc w:val="both"/>
        <w:rPr>
          <w:rFonts w:ascii="Times New Roman" w:hAnsi="Times New Roman" w:cs="Times New Roman"/>
          <w:color w:val="002060"/>
          <w:sz w:val="24"/>
        </w:rPr>
      </w:pPr>
      <w:proofErr w:type="gramStart"/>
      <w:r w:rsidRPr="00CD65A3">
        <w:rPr>
          <w:rFonts w:ascii="Times New Roman" w:hAnsi="Times New Roman" w:cs="Times New Roman"/>
          <w:color w:val="002060"/>
          <w:sz w:val="24"/>
        </w:rPr>
        <w:t>to</w:t>
      </w:r>
      <w:proofErr w:type="gramEnd"/>
      <w:r w:rsidRPr="00CD65A3">
        <w:rPr>
          <w:rFonts w:ascii="Times New Roman" w:hAnsi="Times New Roman" w:cs="Times New Roman"/>
          <w:color w:val="002060"/>
          <w:sz w:val="24"/>
        </w:rPr>
        <w:t xml:space="preserve"> improve the ease of doing business and </w:t>
      </w:r>
    </w:p>
    <w:p w:rsidR="00B408FE" w:rsidRDefault="00CD65A3" w:rsidP="00B408FE">
      <w:pPr>
        <w:pStyle w:val="ListParagraph"/>
        <w:tabs>
          <w:tab w:val="left" w:pos="2160"/>
        </w:tabs>
        <w:spacing w:after="0" w:line="240" w:lineRule="auto"/>
        <w:jc w:val="both"/>
        <w:rPr>
          <w:rFonts w:ascii="Times New Roman" w:hAnsi="Times New Roman" w:cs="Times New Roman"/>
          <w:color w:val="002060"/>
          <w:sz w:val="24"/>
        </w:rPr>
      </w:pPr>
      <w:proofErr w:type="gramStart"/>
      <w:r w:rsidRPr="00CD65A3">
        <w:rPr>
          <w:rFonts w:ascii="Times New Roman" w:hAnsi="Times New Roman" w:cs="Times New Roman"/>
          <w:color w:val="002060"/>
          <w:sz w:val="24"/>
        </w:rPr>
        <w:t>reduce</w:t>
      </w:r>
      <w:proofErr w:type="gramEnd"/>
      <w:r w:rsidRPr="00CD65A3">
        <w:rPr>
          <w:rFonts w:ascii="Times New Roman" w:hAnsi="Times New Roman" w:cs="Times New Roman"/>
          <w:color w:val="002060"/>
          <w:sz w:val="24"/>
        </w:rPr>
        <w:t xml:space="preserve"> the cost of compliance, </w:t>
      </w:r>
    </w:p>
    <w:p w:rsidR="00B408FE" w:rsidRPr="00B408FE" w:rsidRDefault="00B408FE" w:rsidP="00B408FE">
      <w:pPr>
        <w:tabs>
          <w:tab w:val="left" w:pos="2160"/>
        </w:tabs>
        <w:spacing w:after="0" w:line="240" w:lineRule="auto"/>
        <w:jc w:val="both"/>
        <w:rPr>
          <w:rFonts w:ascii="Times New Roman" w:hAnsi="Times New Roman" w:cs="Times New Roman"/>
          <w:color w:val="002060"/>
          <w:sz w:val="10"/>
        </w:rPr>
      </w:pPr>
    </w:p>
    <w:p w:rsidR="00ED5747" w:rsidRPr="00B408FE" w:rsidRDefault="00B408FE" w:rsidP="00B408FE">
      <w:pPr>
        <w:tabs>
          <w:tab w:val="left" w:pos="2160"/>
        </w:tabs>
        <w:spacing w:after="0" w:line="240" w:lineRule="auto"/>
        <w:jc w:val="both"/>
        <w:rPr>
          <w:rFonts w:ascii="Times New Roman" w:hAnsi="Times New Roman" w:cs="Times New Roman"/>
          <w:color w:val="002060"/>
          <w:sz w:val="18"/>
        </w:rPr>
      </w:pPr>
      <w:r>
        <w:rPr>
          <w:rFonts w:ascii="Times New Roman" w:hAnsi="Times New Roman" w:cs="Times New Roman"/>
          <w:color w:val="002060"/>
          <w:sz w:val="24"/>
        </w:rPr>
        <w:t>T</w:t>
      </w:r>
      <w:r w:rsidR="00CD65A3" w:rsidRPr="00B408FE">
        <w:rPr>
          <w:rFonts w:ascii="Times New Roman" w:hAnsi="Times New Roman" w:cs="Times New Roman"/>
          <w:color w:val="002060"/>
          <w:sz w:val="24"/>
        </w:rPr>
        <w:t xml:space="preserve">he existing forms and reports prescribed under FEMA, 1999, were reviewed by the Reserve Bank. Accordingly, it has been decided to discontinue the 17 returns/reports as listed in the </w:t>
      </w:r>
      <w:r w:rsidR="00CD65A3" w:rsidRPr="00B408FE">
        <w:rPr>
          <w:rFonts w:ascii="Times New Roman" w:hAnsi="Times New Roman" w:cs="Times New Roman"/>
          <w:b/>
          <w:color w:val="002060"/>
          <w:sz w:val="24"/>
        </w:rPr>
        <w:t>Annexure</w:t>
      </w:r>
      <w:r w:rsidRPr="00B408FE">
        <w:rPr>
          <w:rFonts w:ascii="Times New Roman" w:hAnsi="Times New Roman" w:cs="Times New Roman"/>
          <w:b/>
          <w:color w:val="002060"/>
          <w:sz w:val="24"/>
        </w:rPr>
        <w:t xml:space="preserve"> A</w:t>
      </w:r>
      <w:r>
        <w:rPr>
          <w:rFonts w:ascii="Times New Roman" w:hAnsi="Times New Roman" w:cs="Times New Roman"/>
          <w:color w:val="002060"/>
          <w:sz w:val="24"/>
        </w:rPr>
        <w:t xml:space="preserve"> to this Circular as mentioned below</w:t>
      </w:r>
      <w:r w:rsidR="00CD65A3" w:rsidRPr="00B408FE">
        <w:rPr>
          <w:rFonts w:ascii="Times New Roman" w:hAnsi="Times New Roman" w:cs="Times New Roman"/>
          <w:color w:val="002060"/>
          <w:sz w:val="24"/>
        </w:rPr>
        <w:t xml:space="preserve"> with immediate effect.</w:t>
      </w:r>
    </w:p>
    <w:p w:rsidR="00CD65A3" w:rsidRDefault="00CD65A3" w:rsidP="00CD65A3">
      <w:pPr>
        <w:tabs>
          <w:tab w:val="left" w:pos="2160"/>
        </w:tabs>
        <w:spacing w:after="0" w:line="240" w:lineRule="auto"/>
        <w:jc w:val="both"/>
        <w:rPr>
          <w:rFonts w:ascii="Times New Roman" w:hAnsi="Times New Roman" w:cs="Times New Roman"/>
          <w:color w:val="002060"/>
        </w:rPr>
      </w:pPr>
    </w:p>
    <w:p w:rsidR="00CD65A3" w:rsidRPr="00CD65A3" w:rsidRDefault="00CD65A3" w:rsidP="00CD65A3">
      <w:pPr>
        <w:tabs>
          <w:tab w:val="left" w:pos="2160"/>
        </w:tabs>
        <w:spacing w:after="0" w:line="240" w:lineRule="auto"/>
        <w:jc w:val="both"/>
        <w:rPr>
          <w:rFonts w:ascii="Times New Roman" w:hAnsi="Times New Roman" w:cs="Times New Roman"/>
          <w:color w:val="002060"/>
        </w:rPr>
      </w:pPr>
    </w:p>
    <w:p w:rsidR="006069E9" w:rsidRPr="008F45D0" w:rsidRDefault="00ED5747" w:rsidP="00ED5747">
      <w:pPr>
        <w:pStyle w:val="ListParagraph"/>
        <w:numPr>
          <w:ilvl w:val="0"/>
          <w:numId w:val="18"/>
        </w:numPr>
        <w:tabs>
          <w:tab w:val="left" w:pos="2160"/>
        </w:tabs>
        <w:spacing w:after="0" w:line="240" w:lineRule="auto"/>
        <w:jc w:val="both"/>
        <w:rPr>
          <w:rFonts w:ascii="Times New Roman" w:hAnsi="Times New Roman" w:cs="Times New Roman"/>
          <w:b/>
          <w:bCs/>
          <w:color w:val="002060"/>
          <w:sz w:val="28"/>
          <w:u w:val="single"/>
        </w:rPr>
      </w:pPr>
      <w:r w:rsidRPr="008F45D0">
        <w:rPr>
          <w:rFonts w:ascii="Times New Roman" w:hAnsi="Times New Roman" w:cs="Times New Roman"/>
          <w:b/>
          <w:bCs/>
          <w:color w:val="002060"/>
          <w:sz w:val="28"/>
          <w:u w:val="single"/>
        </w:rPr>
        <w:t xml:space="preserve">Provisions of this </w:t>
      </w:r>
      <w:r w:rsidR="006069E9" w:rsidRPr="008F45D0">
        <w:rPr>
          <w:rFonts w:ascii="Times New Roman" w:hAnsi="Times New Roman" w:cs="Times New Roman"/>
          <w:b/>
          <w:bCs/>
          <w:color w:val="002060"/>
          <w:sz w:val="28"/>
          <w:u w:val="single"/>
        </w:rPr>
        <w:t>Circular</w:t>
      </w:r>
    </w:p>
    <w:p w:rsidR="009840C5" w:rsidRPr="00E84A0E" w:rsidRDefault="009840C5" w:rsidP="00A44706">
      <w:pPr>
        <w:pStyle w:val="NoSpacing"/>
        <w:jc w:val="both"/>
        <w:rPr>
          <w:rFonts w:ascii="Times New Roman" w:hAnsi="Times New Roman" w:cs="Times New Roman"/>
          <w:b/>
          <w:sz w:val="14"/>
          <w:u w:val="single"/>
        </w:rPr>
      </w:pPr>
    </w:p>
    <w:p w:rsidR="00E84A0E" w:rsidRPr="006840DF" w:rsidRDefault="00E84A0E" w:rsidP="00E84A0E">
      <w:pPr>
        <w:jc w:val="both"/>
      </w:pPr>
      <w:r w:rsidRPr="00E84A0E">
        <w:rPr>
          <w:rFonts w:ascii="Times New Roman" w:hAnsi="Times New Roman" w:cs="Times New Roman"/>
          <w:sz w:val="24"/>
        </w:rPr>
        <w:t xml:space="preserve">The attention of </w:t>
      </w:r>
      <w:proofErr w:type="spellStart"/>
      <w:r w:rsidRPr="00E84A0E">
        <w:rPr>
          <w:rFonts w:ascii="Times New Roman" w:hAnsi="Times New Roman" w:cs="Times New Roman"/>
          <w:sz w:val="24"/>
        </w:rPr>
        <w:t>Authorised</w:t>
      </w:r>
      <w:proofErr w:type="spellEnd"/>
      <w:r w:rsidRPr="00E84A0E">
        <w:rPr>
          <w:rFonts w:ascii="Times New Roman" w:hAnsi="Times New Roman" w:cs="Times New Roman"/>
          <w:sz w:val="24"/>
        </w:rPr>
        <w:t xml:space="preserve"> Persons is invited to the Master Direction - Reporting under Foreign Exchange Management Act, 1999 dated January 01, 2016</w:t>
      </w:r>
      <w:r>
        <w:rPr>
          <w:rFonts w:ascii="Times New Roman" w:hAnsi="Times New Roman" w:cs="Times New Roman"/>
          <w:sz w:val="24"/>
        </w:rPr>
        <w:t xml:space="preserve"> (</w:t>
      </w:r>
      <w:hyperlink r:id="rId5" w:history="1">
        <w:r w:rsidRPr="00E84A0E">
          <w:rPr>
            <w:rStyle w:val="Hyperlink"/>
            <w:rFonts w:ascii="Times New Roman" w:hAnsi="Times New Roman" w:cs="Times New Roman"/>
            <w:sz w:val="24"/>
          </w:rPr>
          <w:t>click here</w:t>
        </w:r>
      </w:hyperlink>
      <w:r>
        <w:rPr>
          <w:rFonts w:ascii="Times New Roman" w:hAnsi="Times New Roman" w:cs="Times New Roman"/>
          <w:sz w:val="24"/>
        </w:rPr>
        <w:t>)</w:t>
      </w:r>
      <w:r w:rsidRPr="00E84A0E">
        <w:rPr>
          <w:rFonts w:ascii="Times New Roman" w:hAnsi="Times New Roman" w:cs="Times New Roman"/>
          <w:sz w:val="24"/>
        </w:rPr>
        <w:t>, as amended from time to time, and other reporting related instructions issued by the Reserve Bank of India.</w:t>
      </w:r>
      <w:r w:rsidR="006840DF" w:rsidRPr="006840DF">
        <w:t xml:space="preserve"> </w:t>
      </w:r>
      <w:r w:rsidR="006840DF" w:rsidRPr="006840DF">
        <w:rPr>
          <w:rFonts w:ascii="Times New Roman" w:hAnsi="Times New Roman" w:cs="Times New Roman"/>
          <w:sz w:val="24"/>
        </w:rPr>
        <w:t>AD banks may bring the contents of this circular to the notice of their constituents.</w:t>
      </w:r>
    </w:p>
    <w:tbl>
      <w:tblPr>
        <w:tblW w:w="5000" w:type="pct"/>
        <w:tblBorders>
          <w:top w:val="single" w:sz="6" w:space="0" w:color="F7E8D5"/>
          <w:left w:val="single" w:sz="6" w:space="0" w:color="F7E8D5"/>
          <w:bottom w:val="single" w:sz="6" w:space="0" w:color="F7E8D5"/>
          <w:right w:val="single" w:sz="6" w:space="0" w:color="F7E8D5"/>
        </w:tblBorders>
        <w:tblCellMar>
          <w:top w:w="15" w:type="dxa"/>
          <w:left w:w="15" w:type="dxa"/>
          <w:bottom w:w="15" w:type="dxa"/>
          <w:right w:w="15" w:type="dxa"/>
        </w:tblCellMar>
        <w:tblLook w:val="04A0"/>
      </w:tblPr>
      <w:tblGrid>
        <w:gridCol w:w="9450"/>
      </w:tblGrid>
      <w:tr w:rsidR="000C7655" w:rsidRPr="000C7655" w:rsidTr="000C7655">
        <w:tc>
          <w:tcPr>
            <w:tcW w:w="0" w:type="auto"/>
            <w:tcBorders>
              <w:top w:val="single" w:sz="6" w:space="0" w:color="EFD1AA"/>
              <w:left w:val="single" w:sz="6" w:space="0" w:color="EFD1AA"/>
              <w:bottom w:val="single" w:sz="6" w:space="0" w:color="EFD1AA"/>
              <w:right w:val="single" w:sz="6" w:space="0" w:color="EFD1AA"/>
            </w:tcBorders>
            <w:tcMar>
              <w:top w:w="75" w:type="dxa"/>
              <w:left w:w="45" w:type="dxa"/>
              <w:bottom w:w="75" w:type="dxa"/>
              <w:right w:w="45" w:type="dxa"/>
            </w:tcMar>
            <w:vAlign w:val="center"/>
            <w:hideMark/>
          </w:tcPr>
          <w:tbl>
            <w:tblPr>
              <w:tblW w:w="5000" w:type="pct"/>
              <w:jc w:val="center"/>
              <w:tblCellMar>
                <w:top w:w="15" w:type="dxa"/>
                <w:left w:w="15" w:type="dxa"/>
                <w:bottom w:w="15" w:type="dxa"/>
                <w:right w:w="15" w:type="dxa"/>
              </w:tblCellMar>
              <w:tblLook w:val="04A0"/>
            </w:tblPr>
            <w:tblGrid>
              <w:gridCol w:w="9360"/>
            </w:tblGrid>
            <w:tr w:rsidR="000C7655" w:rsidRPr="000C7655">
              <w:trPr>
                <w:jc w:val="center"/>
              </w:trPr>
              <w:tc>
                <w:tcPr>
                  <w:tcW w:w="0" w:type="auto"/>
                  <w:tcBorders>
                    <w:top w:val="nil"/>
                    <w:left w:val="nil"/>
                    <w:bottom w:val="nil"/>
                    <w:right w:val="nil"/>
                  </w:tcBorders>
                  <w:tcMar>
                    <w:top w:w="15" w:type="dxa"/>
                    <w:left w:w="45" w:type="dxa"/>
                    <w:bottom w:w="15" w:type="dxa"/>
                    <w:right w:w="45" w:type="dxa"/>
                  </w:tcMar>
                  <w:vAlign w:val="center"/>
                  <w:hideMark/>
                </w:tcPr>
                <w:p w:rsidR="000C7655" w:rsidRPr="000C7655" w:rsidRDefault="000C7655" w:rsidP="000C7655">
                  <w:pPr>
                    <w:spacing w:before="100" w:beforeAutospacing="1" w:after="100" w:afterAutospacing="1" w:line="240" w:lineRule="auto"/>
                    <w:jc w:val="right"/>
                    <w:rPr>
                      <w:rFonts w:ascii="Times New Roman" w:eastAsia="Times New Roman" w:hAnsi="Times New Roman" w:cs="Times New Roman"/>
                      <w:b/>
                      <w:bCs/>
                    </w:rPr>
                  </w:pPr>
                  <w:r w:rsidRPr="000C7655">
                    <w:rPr>
                      <w:rFonts w:ascii="Times New Roman" w:eastAsia="Times New Roman" w:hAnsi="Times New Roman" w:cs="Times New Roman"/>
                      <w:b/>
                      <w:bCs/>
                      <w:sz w:val="28"/>
                      <w:u w:val="single"/>
                    </w:rPr>
                    <w:t>List of Discontinued Reports</w:t>
                  </w:r>
                  <w:r w:rsidRPr="000C7655">
                    <w:rPr>
                      <w:rFonts w:ascii="Times New Roman" w:eastAsia="Times New Roman" w:hAnsi="Times New Roman" w:cs="Times New Roman"/>
                      <w:b/>
                      <w:bCs/>
                      <w:sz w:val="28"/>
                    </w:rPr>
                    <w:t xml:space="preserve"> </w:t>
                  </w:r>
                  <w:r>
                    <w:rPr>
                      <w:rFonts w:ascii="Times New Roman" w:eastAsia="Times New Roman" w:hAnsi="Times New Roman" w:cs="Times New Roman"/>
                      <w:b/>
                      <w:bCs/>
                      <w:sz w:val="28"/>
                    </w:rPr>
                    <w:t xml:space="preserve">  </w:t>
                  </w:r>
                  <w:r w:rsidRPr="000C7655">
                    <w:rPr>
                      <w:rFonts w:ascii="Times New Roman" w:eastAsia="Times New Roman" w:hAnsi="Times New Roman" w:cs="Times New Roman"/>
                      <w:b/>
                      <w:bCs/>
                      <w:sz w:val="28"/>
                    </w:rPr>
                    <w:t xml:space="preserve">                    </w:t>
                  </w:r>
                  <w:r w:rsidRPr="000C7655">
                    <w:rPr>
                      <w:rFonts w:ascii="Times New Roman" w:eastAsia="Times New Roman" w:hAnsi="Times New Roman" w:cs="Times New Roman"/>
                      <w:b/>
                      <w:bCs/>
                      <w:color w:val="C00000"/>
                      <w:sz w:val="28"/>
                    </w:rPr>
                    <w:t>Annexure A</w:t>
                  </w:r>
                </w:p>
                <w:tbl>
                  <w:tblPr>
                    <w:tblW w:w="425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4A0"/>
                  </w:tblPr>
                  <w:tblGrid>
                    <w:gridCol w:w="414"/>
                    <w:gridCol w:w="4442"/>
                    <w:gridCol w:w="1557"/>
                    <w:gridCol w:w="1453"/>
                  </w:tblGrid>
                  <w:tr w:rsidR="000C7655" w:rsidRPr="000C7655">
                    <w:trPr>
                      <w:jc w:val="center"/>
                    </w:trPr>
                    <w:tc>
                      <w:tcPr>
                        <w:tcW w:w="250" w:type="pct"/>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b/>
                            <w:bCs/>
                          </w:rPr>
                        </w:pPr>
                        <w:proofErr w:type="spellStart"/>
                        <w:r w:rsidRPr="000C7655">
                          <w:rPr>
                            <w:rFonts w:ascii="Times New Roman" w:eastAsia="Times New Roman" w:hAnsi="Times New Roman" w:cs="Times New Roman"/>
                            <w:b/>
                            <w:bCs/>
                          </w:rPr>
                          <w:t>Sl</w:t>
                        </w:r>
                        <w:proofErr w:type="spellEnd"/>
                        <w:r w:rsidRPr="000C7655">
                          <w:rPr>
                            <w:rFonts w:ascii="Times New Roman" w:eastAsia="Times New Roman" w:hAnsi="Times New Roman" w:cs="Times New Roman"/>
                            <w:b/>
                            <w:bCs/>
                          </w:rPr>
                          <w:t xml:space="preserve"> No.</w:t>
                        </w:r>
                      </w:p>
                    </w:tc>
                    <w:tc>
                      <w:tcPr>
                        <w:tcW w:w="2850" w:type="pct"/>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b/>
                            <w:bCs/>
                          </w:rPr>
                        </w:pPr>
                        <w:r w:rsidRPr="000C7655">
                          <w:rPr>
                            <w:rFonts w:ascii="Times New Roman" w:eastAsia="Times New Roman" w:hAnsi="Times New Roman" w:cs="Times New Roman"/>
                            <w:b/>
                            <w:bCs/>
                          </w:rPr>
                          <w:t>Name of Report</w:t>
                        </w:r>
                      </w:p>
                    </w:tc>
                    <w:tc>
                      <w:tcPr>
                        <w:tcW w:w="950" w:type="pct"/>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b/>
                            <w:bCs/>
                          </w:rPr>
                        </w:pPr>
                        <w:r w:rsidRPr="000C7655">
                          <w:rPr>
                            <w:rFonts w:ascii="Times New Roman" w:eastAsia="Times New Roman" w:hAnsi="Times New Roman" w:cs="Times New Roman"/>
                            <w:b/>
                            <w:bCs/>
                          </w:rPr>
                          <w:t>Reporting Entity</w:t>
                        </w:r>
                      </w:p>
                    </w:tc>
                    <w:tc>
                      <w:tcPr>
                        <w:tcW w:w="950" w:type="pct"/>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b/>
                            <w:bCs/>
                          </w:rPr>
                        </w:pPr>
                        <w:r w:rsidRPr="000C7655">
                          <w:rPr>
                            <w:rFonts w:ascii="Times New Roman" w:eastAsia="Times New Roman" w:hAnsi="Times New Roman" w:cs="Times New Roman"/>
                            <w:b/>
                            <w:bCs/>
                          </w:rPr>
                          <w:t>Frequency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Category-wise transaction where the amount exceeds USD 5000 per transaction</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Category-II</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2</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Category-wise, transaction-wise statement where the amount exceeds USD 25,000 per transaction</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 II</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3</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Statement of Purchase transactions of USD 10,000 and above (including transactions of their franchisees)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FFMCs and AD Category- II</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4</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Extension of Liaison Offices (LOs)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As and when extension is granted</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lastRenderedPageBreak/>
                          <w:t>5</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Extension of Project Offices (POs)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As and when extension is granted</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6</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FII/FPI daily: Daily inflow/outflow of foreign fund on account of investment by FPIs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Daily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7</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FII/FPI Return (Monthly): Data relating to actual inflow /outflow of remittances on account of investments by Foreign Institutional Investors (FIIs) in the Indian Capital market</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8</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FVCI reporting: Inflows/outflows of remittances on account of investments by Foreign Venture Capital Investor (FVCIs) and Market value of Investments made by FVCIs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banks/Custodian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9</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Reporting of Inflow/Outflow details in respect of Mutual Fund by Asset Management Companies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Asset Management Companies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Quarterly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10</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Market value of FII Investment in India on fortnightly basis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Fortnightly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11</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Market value of FII Investment in India on Monthly basis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12</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FII holdings as percentage of floating stock</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13</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Form DRR for Issue/transfer of sponsored/unsponsored Depository Receipts (DRs)-Hardcopy@</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Custodian</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At the time of issue/transfer of depository receipts</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14</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 xml:space="preserve">ADR/GDR Movement Report- two way </w:t>
                        </w:r>
                        <w:proofErr w:type="spellStart"/>
                        <w:r w:rsidRPr="000C7655">
                          <w:rPr>
                            <w:rFonts w:ascii="Times New Roman" w:eastAsia="Times New Roman" w:hAnsi="Times New Roman" w:cs="Times New Roman"/>
                          </w:rPr>
                          <w:t>fungibility</w:t>
                        </w:r>
                        <w:proofErr w:type="spellEnd"/>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Category-I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15</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Repatriation of Sales proceeds of underlying shares represented by FCCBs/GDRs/ ADRs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Custodian</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16</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GDR/ADR underlying shares issued, re deposited and released monthly reporting</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Custodian</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jc w:val="center"/>
                          <w:rPr>
                            <w:rFonts w:ascii="Times New Roman" w:eastAsia="Times New Roman" w:hAnsi="Times New Roman" w:cs="Times New Roman"/>
                          </w:rPr>
                        </w:pPr>
                        <w:r w:rsidRPr="000C7655">
                          <w:rPr>
                            <w:rFonts w:ascii="Times New Roman" w:eastAsia="Times New Roman" w:hAnsi="Times New Roman" w:cs="Times New Roman"/>
                          </w:rPr>
                          <w:t>17</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Monitoring of disinvestments by Overseas Corporate Bodies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AD banks</w:t>
                        </w:r>
                      </w:p>
                    </w:tc>
                    <w:tc>
                      <w:tcPr>
                        <w:tcW w:w="0" w:type="auto"/>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Monthly</w:t>
                        </w:r>
                      </w:p>
                    </w:tc>
                  </w:tr>
                  <w:tr w:rsidR="000C7655" w:rsidRPr="000C7655">
                    <w:trPr>
                      <w:jc w:val="center"/>
                    </w:trPr>
                    <w:tc>
                      <w:tcPr>
                        <w:tcW w:w="0" w:type="auto"/>
                        <w:gridSpan w:val="4"/>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rsidR="000C7655" w:rsidRPr="000C7655" w:rsidRDefault="000C7655" w:rsidP="000C7655">
                        <w:pPr>
                          <w:spacing w:after="0" w:line="240" w:lineRule="auto"/>
                          <w:rPr>
                            <w:rFonts w:ascii="Times New Roman" w:eastAsia="Times New Roman" w:hAnsi="Times New Roman" w:cs="Times New Roman"/>
                          </w:rPr>
                        </w:pPr>
                        <w:r w:rsidRPr="000C7655">
                          <w:rPr>
                            <w:rFonts w:ascii="Times New Roman" w:eastAsia="Times New Roman" w:hAnsi="Times New Roman" w:cs="Times New Roman"/>
                          </w:rPr>
                          <w:t>@ Please note that it is only the hardcopy filing of form DRR that has been discontinued. The domestic custodian may continue to report the form DRR on FIRMS application in terms of Regulation 4 (5) of FEM (Mode of Payment and Reporting of Non-Debt Instruments) Regulations, 2019.</w:t>
                        </w:r>
                      </w:p>
                    </w:tc>
                  </w:tr>
                </w:tbl>
                <w:p w:rsidR="000C7655" w:rsidRPr="000C7655" w:rsidRDefault="000C7655" w:rsidP="000C7655">
                  <w:pPr>
                    <w:spacing w:after="0" w:line="240" w:lineRule="auto"/>
                    <w:rPr>
                      <w:rFonts w:ascii="Times New Roman" w:eastAsia="Times New Roman" w:hAnsi="Times New Roman" w:cs="Times New Roman"/>
                      <w:sz w:val="24"/>
                      <w:szCs w:val="24"/>
                    </w:rPr>
                  </w:pPr>
                </w:p>
              </w:tc>
            </w:tr>
          </w:tbl>
          <w:p w:rsidR="000C7655" w:rsidRPr="000C7655" w:rsidRDefault="000C7655" w:rsidP="000C7655">
            <w:pPr>
              <w:spacing w:after="0" w:line="240" w:lineRule="auto"/>
              <w:rPr>
                <w:rFonts w:ascii="Times New Roman" w:eastAsia="Times New Roman" w:hAnsi="Times New Roman" w:cs="Times New Roman"/>
                <w:sz w:val="24"/>
                <w:szCs w:val="24"/>
              </w:rPr>
            </w:pPr>
          </w:p>
        </w:tc>
      </w:tr>
    </w:tbl>
    <w:p w:rsidR="00E84A0E" w:rsidRPr="007F4DB4" w:rsidRDefault="00E84A0E" w:rsidP="00A44706">
      <w:pPr>
        <w:pStyle w:val="NoSpacing"/>
        <w:jc w:val="both"/>
        <w:rPr>
          <w:rFonts w:ascii="Times New Roman" w:hAnsi="Times New Roman" w:cs="Times New Roman"/>
          <w:b/>
          <w:sz w:val="24"/>
          <w:u w:val="single"/>
        </w:rPr>
      </w:pPr>
    </w:p>
    <w:p w:rsidR="0098186E" w:rsidRDefault="0098186E" w:rsidP="007B4CC0">
      <w:pPr>
        <w:pStyle w:val="NoSpacing"/>
        <w:jc w:val="both"/>
      </w:pPr>
    </w:p>
    <w:p w:rsidR="006069E9" w:rsidRPr="001A2057" w:rsidRDefault="00F741F3" w:rsidP="00A44706">
      <w:pPr>
        <w:pStyle w:val="NoSpacing"/>
        <w:jc w:val="both"/>
        <w:rPr>
          <w:rFonts w:ascii="Book Antiqua" w:hAnsi="Book Antiqua" w:cs="Times New Roman"/>
          <w:b/>
          <w:i/>
          <w:sz w:val="28"/>
          <w:u w:val="single"/>
        </w:rPr>
      </w:pPr>
      <w:r w:rsidRPr="00F741F3">
        <w:rPr>
          <w:rFonts w:ascii="Times New Roman" w:hAnsi="Times New Roman" w:cs="Times New Roman"/>
          <w:b/>
          <w:i/>
          <w:sz w:val="36"/>
          <w:u w:val="single"/>
        </w:rPr>
        <w:t>Link:</w:t>
      </w:r>
      <w:r w:rsidRPr="00F741F3">
        <w:rPr>
          <w:rFonts w:ascii="Times New Roman" w:hAnsi="Times New Roman" w:cs="Times New Roman"/>
          <w:b/>
          <w:i/>
          <w:sz w:val="36"/>
        </w:rPr>
        <w:t xml:space="preserve"> </w:t>
      </w:r>
      <w:hyperlink r:id="rId6" w:history="1">
        <w:r w:rsidR="001A2057" w:rsidRPr="001A2057">
          <w:rPr>
            <w:rStyle w:val="Hyperlink"/>
            <w:rFonts w:ascii="Book Antiqua" w:hAnsi="Book Antiqua"/>
            <w:i/>
            <w:sz w:val="24"/>
          </w:rPr>
          <w:t>https://www.rbi.org.in/Scripts/NotificationUser.aspx?Id=11994&amp;Mode=0</w:t>
        </w:r>
      </w:hyperlink>
      <w:r w:rsidR="001A2057" w:rsidRPr="001A2057">
        <w:rPr>
          <w:rFonts w:ascii="Book Antiqua" w:hAnsi="Book Antiqua"/>
          <w:i/>
          <w:sz w:val="24"/>
        </w:rPr>
        <w:t xml:space="preserve"> </w:t>
      </w:r>
      <w:r w:rsidRPr="001A2057">
        <w:rPr>
          <w:rFonts w:ascii="Book Antiqua" w:hAnsi="Book Antiqua" w:cs="Times New Roman"/>
          <w:b/>
          <w:i/>
          <w:sz w:val="28"/>
          <w:u w:val="single"/>
        </w:rPr>
        <w:t xml:space="preserve"> </w:t>
      </w:r>
    </w:p>
    <w:p w:rsidR="006069E9" w:rsidRPr="007F4DB4" w:rsidRDefault="006069E9" w:rsidP="00A44706">
      <w:pPr>
        <w:pStyle w:val="NoSpacing"/>
        <w:jc w:val="both"/>
        <w:rPr>
          <w:rFonts w:ascii="Times New Roman" w:hAnsi="Times New Roman" w:cs="Times New Roman"/>
          <w:b/>
          <w:i/>
          <w:sz w:val="24"/>
          <w:u w:val="single"/>
        </w:rPr>
      </w:pPr>
    </w:p>
    <w:p w:rsidR="00A406DA" w:rsidRDefault="004C6F53" w:rsidP="00A44706">
      <w:pPr>
        <w:pStyle w:val="NoSpacing"/>
        <w:jc w:val="both"/>
        <w:rPr>
          <w:rFonts w:ascii="Times New Roman" w:hAnsi="Times New Roman" w:cs="Times New Roman"/>
          <w:i/>
          <w:sz w:val="24"/>
        </w:rPr>
      </w:pPr>
      <w:r w:rsidRPr="007F4DB4">
        <w:rPr>
          <w:rFonts w:ascii="Times New Roman" w:hAnsi="Times New Roman" w:cs="Times New Roman"/>
          <w:b/>
          <w:i/>
          <w:sz w:val="24"/>
          <w:u w:val="single"/>
        </w:rPr>
        <w:t>Disclaimer:</w:t>
      </w:r>
      <w:r w:rsidRPr="007F4DB4">
        <w:rPr>
          <w:rFonts w:ascii="Times New Roman" w:hAnsi="Times New Roman" w:cs="Times New Roman"/>
          <w:b/>
          <w:sz w:val="24"/>
          <w:u w:val="single"/>
        </w:rPr>
        <w:t xml:space="preserve"> </w:t>
      </w:r>
      <w:r w:rsidRPr="007F4DB4">
        <w:rPr>
          <w:rFonts w:ascii="Times New Roman" w:hAnsi="Times New Roman" w:cs="Times New Roman"/>
          <w:i/>
          <w:sz w:val="24"/>
        </w:rPr>
        <w:t>Every effort has been made to avoid errors or omissions in this material. In spite of this, errors may creep in. Any mistake, error or discrepancy noted may be brought to our notice which shall be taken care of in the next edition. In no event the author shall be liable for any direct, indirect, special or incidental damage resulting from or arising out of or in connection with the use of this information.</w:t>
      </w:r>
    </w:p>
    <w:p w:rsidR="001205E3" w:rsidRDefault="001205E3" w:rsidP="00A44706">
      <w:pPr>
        <w:pStyle w:val="NoSpacing"/>
        <w:jc w:val="both"/>
        <w:rPr>
          <w:rFonts w:ascii="Times New Roman" w:hAnsi="Times New Roman" w:cs="Times New Roman"/>
          <w:i/>
          <w:sz w:val="24"/>
        </w:rPr>
      </w:pPr>
    </w:p>
    <w:sectPr w:rsidR="001205E3" w:rsidSect="004C6F53">
      <w:pgSz w:w="12240" w:h="15840"/>
      <w:pgMar w:top="99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40BB"/>
    <w:multiLevelType w:val="hybridMultilevel"/>
    <w:tmpl w:val="2C5C0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6151C"/>
    <w:multiLevelType w:val="hybridMultilevel"/>
    <w:tmpl w:val="DEB0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B6333"/>
    <w:multiLevelType w:val="hybridMultilevel"/>
    <w:tmpl w:val="C4CC4F96"/>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C87EC2"/>
    <w:multiLevelType w:val="hybridMultilevel"/>
    <w:tmpl w:val="40A0CB24"/>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B33D3C"/>
    <w:multiLevelType w:val="hybridMultilevel"/>
    <w:tmpl w:val="BFC0D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91DFC"/>
    <w:multiLevelType w:val="hybridMultilevel"/>
    <w:tmpl w:val="324CF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E24236"/>
    <w:multiLevelType w:val="hybridMultilevel"/>
    <w:tmpl w:val="94C6D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95F7B"/>
    <w:multiLevelType w:val="hybridMultilevel"/>
    <w:tmpl w:val="4A200326"/>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407EB6"/>
    <w:multiLevelType w:val="hybridMultilevel"/>
    <w:tmpl w:val="B7827CFC"/>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2E2185"/>
    <w:multiLevelType w:val="hybridMultilevel"/>
    <w:tmpl w:val="4B989D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2A3520"/>
    <w:multiLevelType w:val="hybridMultilevel"/>
    <w:tmpl w:val="8FF67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EE5E38"/>
    <w:multiLevelType w:val="hybridMultilevel"/>
    <w:tmpl w:val="DBA4DCC4"/>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F23F67"/>
    <w:multiLevelType w:val="hybridMultilevel"/>
    <w:tmpl w:val="31223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3E2D1D"/>
    <w:multiLevelType w:val="hybridMultilevel"/>
    <w:tmpl w:val="C5B0AF02"/>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8E17B2"/>
    <w:multiLevelType w:val="hybridMultilevel"/>
    <w:tmpl w:val="67DCFC34"/>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DA12AF"/>
    <w:multiLevelType w:val="hybridMultilevel"/>
    <w:tmpl w:val="F68883FC"/>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E0783C"/>
    <w:multiLevelType w:val="hybridMultilevel"/>
    <w:tmpl w:val="F5A8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100F46"/>
    <w:multiLevelType w:val="hybridMultilevel"/>
    <w:tmpl w:val="2BC4605C"/>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7A358F"/>
    <w:multiLevelType w:val="hybridMultilevel"/>
    <w:tmpl w:val="B89CD5BA"/>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D42367"/>
    <w:multiLevelType w:val="hybridMultilevel"/>
    <w:tmpl w:val="F9F277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30567E0"/>
    <w:multiLevelType w:val="hybridMultilevel"/>
    <w:tmpl w:val="A4A4A2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2E54F1"/>
    <w:multiLevelType w:val="hybridMultilevel"/>
    <w:tmpl w:val="DAEE8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A87E1E"/>
    <w:multiLevelType w:val="hybridMultilevel"/>
    <w:tmpl w:val="0CE88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11"/>
  </w:num>
  <w:num w:numId="4">
    <w:abstractNumId w:val="4"/>
  </w:num>
  <w:num w:numId="5">
    <w:abstractNumId w:val="1"/>
  </w:num>
  <w:num w:numId="6">
    <w:abstractNumId w:val="13"/>
  </w:num>
  <w:num w:numId="7">
    <w:abstractNumId w:val="15"/>
  </w:num>
  <w:num w:numId="8">
    <w:abstractNumId w:val="9"/>
  </w:num>
  <w:num w:numId="9">
    <w:abstractNumId w:val="3"/>
  </w:num>
  <w:num w:numId="10">
    <w:abstractNumId w:val="20"/>
  </w:num>
  <w:num w:numId="11">
    <w:abstractNumId w:val="8"/>
  </w:num>
  <w:num w:numId="12">
    <w:abstractNumId w:val="6"/>
  </w:num>
  <w:num w:numId="13">
    <w:abstractNumId w:val="7"/>
  </w:num>
  <w:num w:numId="14">
    <w:abstractNumId w:val="17"/>
  </w:num>
  <w:num w:numId="15">
    <w:abstractNumId w:val="21"/>
  </w:num>
  <w:num w:numId="16">
    <w:abstractNumId w:val="10"/>
  </w:num>
  <w:num w:numId="17">
    <w:abstractNumId w:val="5"/>
  </w:num>
  <w:num w:numId="18">
    <w:abstractNumId w:val="18"/>
  </w:num>
  <w:num w:numId="19">
    <w:abstractNumId w:val="19"/>
  </w:num>
  <w:num w:numId="20">
    <w:abstractNumId w:val="12"/>
  </w:num>
  <w:num w:numId="21">
    <w:abstractNumId w:val="0"/>
  </w:num>
  <w:num w:numId="22">
    <w:abstractNumId w:val="14"/>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0314"/>
    <w:rsid w:val="00025117"/>
    <w:rsid w:val="00077F51"/>
    <w:rsid w:val="0009076C"/>
    <w:rsid w:val="000A1AF4"/>
    <w:rsid w:val="000C34A6"/>
    <w:rsid w:val="000C7655"/>
    <w:rsid w:val="000E23C9"/>
    <w:rsid w:val="000F7B6D"/>
    <w:rsid w:val="00105528"/>
    <w:rsid w:val="00120314"/>
    <w:rsid w:val="001205E3"/>
    <w:rsid w:val="00133A76"/>
    <w:rsid w:val="001A2057"/>
    <w:rsid w:val="0024513F"/>
    <w:rsid w:val="00250616"/>
    <w:rsid w:val="00276542"/>
    <w:rsid w:val="002D01A9"/>
    <w:rsid w:val="00303736"/>
    <w:rsid w:val="003239B8"/>
    <w:rsid w:val="003771DA"/>
    <w:rsid w:val="004B2549"/>
    <w:rsid w:val="004C6F53"/>
    <w:rsid w:val="005645A6"/>
    <w:rsid w:val="00595ACB"/>
    <w:rsid w:val="005E6AE6"/>
    <w:rsid w:val="006069E9"/>
    <w:rsid w:val="006840DF"/>
    <w:rsid w:val="00687992"/>
    <w:rsid w:val="00690625"/>
    <w:rsid w:val="00726BD0"/>
    <w:rsid w:val="007B4CC0"/>
    <w:rsid w:val="007F4DB4"/>
    <w:rsid w:val="00805C40"/>
    <w:rsid w:val="0084027E"/>
    <w:rsid w:val="00854D9A"/>
    <w:rsid w:val="008655C6"/>
    <w:rsid w:val="00866800"/>
    <w:rsid w:val="008818D4"/>
    <w:rsid w:val="008F45D0"/>
    <w:rsid w:val="00910B8D"/>
    <w:rsid w:val="009213F2"/>
    <w:rsid w:val="009334DD"/>
    <w:rsid w:val="00970E2E"/>
    <w:rsid w:val="0098186E"/>
    <w:rsid w:val="009840C5"/>
    <w:rsid w:val="009C38DE"/>
    <w:rsid w:val="00A406DA"/>
    <w:rsid w:val="00A44706"/>
    <w:rsid w:val="00A8160A"/>
    <w:rsid w:val="00A925EF"/>
    <w:rsid w:val="00B408FE"/>
    <w:rsid w:val="00B80A93"/>
    <w:rsid w:val="00BF5835"/>
    <w:rsid w:val="00CD65A3"/>
    <w:rsid w:val="00DD00F5"/>
    <w:rsid w:val="00E11A12"/>
    <w:rsid w:val="00E84A0E"/>
    <w:rsid w:val="00ED5747"/>
    <w:rsid w:val="00F7215F"/>
    <w:rsid w:val="00F741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9E9"/>
  </w:style>
  <w:style w:type="paragraph" w:styleId="Heading1">
    <w:name w:val="heading 1"/>
    <w:basedOn w:val="Normal"/>
    <w:link w:val="Heading1Char"/>
    <w:uiPriority w:val="1"/>
    <w:qFormat/>
    <w:rsid w:val="007B4CC0"/>
    <w:pPr>
      <w:widowControl w:val="0"/>
      <w:autoSpaceDE w:val="0"/>
      <w:autoSpaceDN w:val="0"/>
      <w:spacing w:after="0" w:line="240" w:lineRule="auto"/>
      <w:ind w:left="140"/>
      <w:outlineLvl w:val="0"/>
    </w:pPr>
    <w:rPr>
      <w:rFonts w:ascii="Arial" w:eastAsia="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314"/>
    <w:pPr>
      <w:ind w:left="720"/>
      <w:contextualSpacing/>
    </w:pPr>
  </w:style>
  <w:style w:type="character" w:styleId="Hyperlink">
    <w:name w:val="Hyperlink"/>
    <w:basedOn w:val="DefaultParagraphFont"/>
    <w:uiPriority w:val="99"/>
    <w:unhideWhenUsed/>
    <w:rsid w:val="00120314"/>
    <w:rPr>
      <w:color w:val="0000FF" w:themeColor="hyperlink"/>
      <w:u w:val="single"/>
    </w:rPr>
  </w:style>
  <w:style w:type="paragraph" w:styleId="NormalWeb">
    <w:name w:val="Normal (Web)"/>
    <w:basedOn w:val="Normal"/>
    <w:uiPriority w:val="99"/>
    <w:semiHidden/>
    <w:unhideWhenUsed/>
    <w:rsid w:val="0012031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20314"/>
    <w:pPr>
      <w:spacing w:after="0" w:line="240" w:lineRule="auto"/>
    </w:pPr>
  </w:style>
  <w:style w:type="table" w:styleId="TableGrid">
    <w:name w:val="Table Grid"/>
    <w:basedOn w:val="TableNormal"/>
    <w:uiPriority w:val="59"/>
    <w:rsid w:val="00726B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9213F2"/>
    <w:pPr>
      <w:widowControl w:val="0"/>
      <w:autoSpaceDE w:val="0"/>
      <w:autoSpaceDN w:val="0"/>
      <w:spacing w:after="0" w:line="240" w:lineRule="auto"/>
    </w:pPr>
    <w:rPr>
      <w:rFonts w:ascii="Arial" w:eastAsia="Arial" w:hAnsi="Arial" w:cs="Arial"/>
    </w:rPr>
  </w:style>
  <w:style w:type="character" w:customStyle="1" w:styleId="Heading1Char">
    <w:name w:val="Heading 1 Char"/>
    <w:basedOn w:val="DefaultParagraphFont"/>
    <w:link w:val="Heading1"/>
    <w:uiPriority w:val="1"/>
    <w:rsid w:val="007B4CC0"/>
    <w:rPr>
      <w:rFonts w:ascii="Arial" w:eastAsia="Arial" w:hAnsi="Arial" w:cs="Arial"/>
      <w:b/>
      <w:bCs/>
      <w:sz w:val="24"/>
      <w:szCs w:val="24"/>
    </w:rPr>
  </w:style>
  <w:style w:type="paragraph" w:styleId="BodyText">
    <w:name w:val="Body Text"/>
    <w:basedOn w:val="Normal"/>
    <w:link w:val="BodyTextChar"/>
    <w:uiPriority w:val="1"/>
    <w:qFormat/>
    <w:rsid w:val="007B4CC0"/>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B4CC0"/>
    <w:rPr>
      <w:rFonts w:ascii="Arial" w:eastAsia="Arial" w:hAnsi="Arial" w:cs="Arial"/>
      <w:sz w:val="24"/>
      <w:szCs w:val="24"/>
    </w:rPr>
  </w:style>
  <w:style w:type="paragraph" w:customStyle="1" w:styleId="head">
    <w:name w:val="head"/>
    <w:basedOn w:val="Normal"/>
    <w:rsid w:val="000C76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5667279">
      <w:bodyDiv w:val="1"/>
      <w:marLeft w:val="0"/>
      <w:marRight w:val="0"/>
      <w:marTop w:val="0"/>
      <w:marBottom w:val="0"/>
      <w:divBdr>
        <w:top w:val="none" w:sz="0" w:space="0" w:color="auto"/>
        <w:left w:val="none" w:sz="0" w:space="0" w:color="auto"/>
        <w:bottom w:val="none" w:sz="0" w:space="0" w:color="auto"/>
        <w:right w:val="none" w:sz="0" w:space="0" w:color="auto"/>
      </w:divBdr>
      <w:divsChild>
        <w:div w:id="1192106337">
          <w:marLeft w:val="0"/>
          <w:marRight w:val="0"/>
          <w:marTop w:val="0"/>
          <w:marBottom w:val="0"/>
          <w:divBdr>
            <w:top w:val="none" w:sz="0" w:space="0" w:color="auto"/>
            <w:left w:val="none" w:sz="0" w:space="0" w:color="auto"/>
            <w:bottom w:val="none" w:sz="0" w:space="0" w:color="auto"/>
            <w:right w:val="none" w:sz="0" w:space="0" w:color="auto"/>
          </w:divBdr>
        </w:div>
      </w:divsChild>
    </w:div>
    <w:div w:id="812910197">
      <w:bodyDiv w:val="1"/>
      <w:marLeft w:val="0"/>
      <w:marRight w:val="0"/>
      <w:marTop w:val="0"/>
      <w:marBottom w:val="0"/>
      <w:divBdr>
        <w:top w:val="none" w:sz="0" w:space="0" w:color="auto"/>
        <w:left w:val="none" w:sz="0" w:space="0" w:color="auto"/>
        <w:bottom w:val="none" w:sz="0" w:space="0" w:color="auto"/>
        <w:right w:val="none" w:sz="0" w:space="0" w:color="auto"/>
      </w:divBdr>
    </w:div>
    <w:div w:id="1150709050">
      <w:bodyDiv w:val="1"/>
      <w:marLeft w:val="0"/>
      <w:marRight w:val="0"/>
      <w:marTop w:val="0"/>
      <w:marBottom w:val="0"/>
      <w:divBdr>
        <w:top w:val="none" w:sz="0" w:space="0" w:color="auto"/>
        <w:left w:val="none" w:sz="0" w:space="0" w:color="auto"/>
        <w:bottom w:val="none" w:sz="0" w:space="0" w:color="auto"/>
        <w:right w:val="none" w:sz="0" w:space="0" w:color="auto"/>
      </w:divBdr>
      <w:divsChild>
        <w:div w:id="1843860016">
          <w:marLeft w:val="0"/>
          <w:marRight w:val="0"/>
          <w:marTop w:val="0"/>
          <w:marBottom w:val="0"/>
          <w:divBdr>
            <w:top w:val="none" w:sz="0" w:space="0" w:color="auto"/>
            <w:left w:val="none" w:sz="0" w:space="0" w:color="auto"/>
            <w:bottom w:val="none" w:sz="0" w:space="0" w:color="auto"/>
            <w:right w:val="none" w:sz="0" w:space="0" w:color="auto"/>
          </w:divBdr>
        </w:div>
      </w:divsChild>
    </w:div>
    <w:div w:id="1218009012">
      <w:bodyDiv w:val="1"/>
      <w:marLeft w:val="0"/>
      <w:marRight w:val="0"/>
      <w:marTop w:val="0"/>
      <w:marBottom w:val="0"/>
      <w:divBdr>
        <w:top w:val="none" w:sz="0" w:space="0" w:color="auto"/>
        <w:left w:val="none" w:sz="0" w:space="0" w:color="auto"/>
        <w:bottom w:val="none" w:sz="0" w:space="0" w:color="auto"/>
        <w:right w:val="none" w:sz="0" w:space="0" w:color="auto"/>
      </w:divBdr>
    </w:div>
    <w:div w:id="2125609309">
      <w:bodyDiv w:val="1"/>
      <w:marLeft w:val="0"/>
      <w:marRight w:val="0"/>
      <w:marTop w:val="0"/>
      <w:marBottom w:val="0"/>
      <w:divBdr>
        <w:top w:val="none" w:sz="0" w:space="0" w:color="auto"/>
        <w:left w:val="none" w:sz="0" w:space="0" w:color="auto"/>
        <w:bottom w:val="none" w:sz="0" w:space="0" w:color="auto"/>
        <w:right w:val="none" w:sz="0" w:space="0" w:color="auto"/>
      </w:divBdr>
      <w:divsChild>
        <w:div w:id="1445297848">
          <w:marLeft w:val="0"/>
          <w:marRight w:val="0"/>
          <w:marTop w:val="0"/>
          <w:marBottom w:val="0"/>
          <w:divBdr>
            <w:top w:val="none" w:sz="0" w:space="0" w:color="auto"/>
            <w:left w:val="none" w:sz="0" w:space="0" w:color="auto"/>
            <w:bottom w:val="none" w:sz="0" w:space="0" w:color="auto"/>
            <w:right w:val="none" w:sz="0" w:space="0" w:color="auto"/>
          </w:divBdr>
        </w:div>
        <w:div w:id="272521043">
          <w:marLeft w:val="0"/>
          <w:marRight w:val="0"/>
          <w:marTop w:val="0"/>
          <w:marBottom w:val="0"/>
          <w:divBdr>
            <w:top w:val="none" w:sz="0" w:space="0" w:color="auto"/>
            <w:left w:val="none" w:sz="0" w:space="0" w:color="auto"/>
            <w:bottom w:val="none" w:sz="0" w:space="0" w:color="auto"/>
            <w:right w:val="none" w:sz="0" w:space="0" w:color="auto"/>
          </w:divBdr>
        </w:div>
        <w:div w:id="992753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bi.org.in/Scripts/NotificationUser.aspx?Id=11994&amp;Mode=0" TargetMode="External"/><Relationship Id="rId5" Type="http://schemas.openxmlformats.org/officeDocument/2006/relationships/hyperlink" Target="https://www.rbi.org.in/Scripts/BS_ViewMasDirections.aspx?id=1020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2</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51</cp:revision>
  <dcterms:created xsi:type="dcterms:W3CDTF">2020-10-18T04:04:00Z</dcterms:created>
  <dcterms:modified xsi:type="dcterms:W3CDTF">2020-11-16T05:46:00Z</dcterms:modified>
</cp:coreProperties>
</file>