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7FDF3D" w14:textId="723C4B97" w:rsidR="003B37BF" w:rsidRPr="00C7779E" w:rsidRDefault="000012DD" w:rsidP="003847AD">
      <w:pPr>
        <w:shd w:val="clear" w:color="auto" w:fill="FDE9D9" w:themeFill="accent6" w:themeFillTint="33"/>
        <w:ind w:right="380"/>
        <w:jc w:val="both"/>
        <w:rPr>
          <w:rFonts w:ascii="Book Antiqua" w:hAnsi="Book Antiqua"/>
          <w:b/>
          <w:bCs/>
          <w:caps/>
          <w:sz w:val="32"/>
          <w:szCs w:val="32"/>
          <w:u w:val="single"/>
        </w:rPr>
      </w:pPr>
      <w:r w:rsidRPr="00C7779E">
        <w:rPr>
          <w:rFonts w:ascii="Book Antiqua" w:hAnsi="Book Antiqua"/>
          <w:b/>
          <w:bCs/>
          <w:caps/>
          <w:sz w:val="32"/>
          <w:szCs w:val="32"/>
          <w:u w:val="single"/>
        </w:rPr>
        <w:t>SEB</w:t>
      </w:r>
      <w:r w:rsidR="00DC16A6" w:rsidRPr="00C7779E">
        <w:rPr>
          <w:rFonts w:ascii="Book Antiqua" w:hAnsi="Book Antiqua"/>
          <w:b/>
          <w:bCs/>
          <w:caps/>
          <w:sz w:val="32"/>
          <w:szCs w:val="32"/>
          <w:u w:val="single"/>
        </w:rPr>
        <w:t>I</w:t>
      </w:r>
      <w:r w:rsidR="00C7779E" w:rsidRPr="00C7779E">
        <w:rPr>
          <w:rFonts w:ascii="Book Antiqua" w:hAnsi="Book Antiqua"/>
          <w:b/>
          <w:bCs/>
          <w:caps/>
          <w:sz w:val="32"/>
          <w:szCs w:val="32"/>
          <w:u w:val="single"/>
        </w:rPr>
        <w:t xml:space="preserve"> </w:t>
      </w:r>
      <w:r w:rsidR="00086891" w:rsidRPr="00C7779E">
        <w:rPr>
          <w:rFonts w:ascii="Book Antiqua" w:hAnsi="Book Antiqua"/>
          <w:b/>
          <w:bCs/>
          <w:caps/>
          <w:sz w:val="32"/>
          <w:szCs w:val="32"/>
          <w:u w:val="single"/>
        </w:rPr>
        <w:t>Procedural Guidelines for Proxy Advisors</w:t>
      </w:r>
    </w:p>
    <w:p w14:paraId="416014EF" w14:textId="77777777" w:rsidR="000012DD" w:rsidRDefault="000012DD" w:rsidP="003847AD">
      <w:pPr>
        <w:ind w:right="380"/>
        <w:jc w:val="both"/>
      </w:pPr>
    </w:p>
    <w:p w14:paraId="795261F8" w14:textId="0A33D931" w:rsidR="00F4544D" w:rsidRPr="00086891" w:rsidRDefault="003B37BF" w:rsidP="003847AD">
      <w:pPr>
        <w:ind w:right="380"/>
        <w:jc w:val="both"/>
        <w:rPr>
          <w:rFonts w:ascii="Book Antiqua" w:hAnsi="Book Antiqua"/>
          <w:sz w:val="24"/>
          <w:szCs w:val="24"/>
        </w:rPr>
      </w:pPr>
      <w:r w:rsidRPr="003B37BF">
        <w:rPr>
          <w:rFonts w:ascii="Book Antiqua" w:hAnsi="Book Antiqua"/>
          <w:sz w:val="24"/>
          <w:szCs w:val="24"/>
        </w:rPr>
        <w:t xml:space="preserve">Securities Exchange Board of India (SEBI) vide </w:t>
      </w:r>
      <w:r w:rsidR="00CF53E1">
        <w:rPr>
          <w:rFonts w:ascii="Book Antiqua" w:hAnsi="Book Antiqua"/>
          <w:sz w:val="24"/>
          <w:szCs w:val="24"/>
        </w:rPr>
        <w:t>Circular</w:t>
      </w:r>
      <w:r w:rsidR="000012DD">
        <w:rPr>
          <w:rFonts w:ascii="Book Antiqua" w:hAnsi="Book Antiqua"/>
          <w:sz w:val="24"/>
          <w:szCs w:val="24"/>
        </w:rPr>
        <w:t xml:space="preserve"> </w:t>
      </w:r>
      <w:r w:rsidR="008E28BD">
        <w:rPr>
          <w:rFonts w:ascii="Book Antiqua" w:hAnsi="Book Antiqua"/>
          <w:sz w:val="24"/>
          <w:szCs w:val="24"/>
        </w:rPr>
        <w:t xml:space="preserve">No. </w:t>
      </w:r>
      <w:r w:rsidR="00086891" w:rsidRPr="00086891">
        <w:rPr>
          <w:rFonts w:ascii="Book Antiqua" w:hAnsi="Book Antiqua"/>
          <w:sz w:val="24"/>
          <w:szCs w:val="24"/>
        </w:rPr>
        <w:t>SEBI/HO/IMD/DF1/CIR/P/2020/147</w:t>
      </w:r>
      <w:r w:rsidR="00086891">
        <w:rPr>
          <w:rFonts w:ascii="Book Antiqua" w:hAnsi="Book Antiqua"/>
          <w:sz w:val="24"/>
          <w:szCs w:val="24"/>
        </w:rPr>
        <w:t xml:space="preserve"> </w:t>
      </w:r>
      <w:r w:rsidRPr="003B37BF">
        <w:rPr>
          <w:rFonts w:ascii="Book Antiqua" w:hAnsi="Book Antiqua"/>
          <w:sz w:val="24"/>
          <w:szCs w:val="24"/>
        </w:rPr>
        <w:t xml:space="preserve">dated </w:t>
      </w:r>
      <w:r w:rsidR="00086891">
        <w:rPr>
          <w:rFonts w:ascii="Book Antiqua" w:hAnsi="Book Antiqua"/>
          <w:sz w:val="24"/>
          <w:szCs w:val="24"/>
        </w:rPr>
        <w:t>03</w:t>
      </w:r>
      <w:r w:rsidR="00086891" w:rsidRPr="00086891">
        <w:rPr>
          <w:rFonts w:ascii="Book Antiqua" w:hAnsi="Book Antiqua"/>
          <w:sz w:val="24"/>
          <w:szCs w:val="24"/>
          <w:vertAlign w:val="superscript"/>
        </w:rPr>
        <w:t>rd</w:t>
      </w:r>
      <w:r w:rsidR="00086891">
        <w:rPr>
          <w:rFonts w:ascii="Book Antiqua" w:hAnsi="Book Antiqua"/>
          <w:sz w:val="24"/>
          <w:szCs w:val="24"/>
        </w:rPr>
        <w:t xml:space="preserve"> August</w:t>
      </w:r>
      <w:r w:rsidRPr="003B37BF">
        <w:rPr>
          <w:rFonts w:ascii="Book Antiqua" w:hAnsi="Book Antiqua"/>
          <w:sz w:val="24"/>
          <w:szCs w:val="24"/>
        </w:rPr>
        <w:t xml:space="preserve">, 2020 </w:t>
      </w:r>
      <w:r w:rsidR="00033642" w:rsidRPr="00033642">
        <w:rPr>
          <w:rFonts w:ascii="Book Antiqua" w:hAnsi="Book Antiqua"/>
          <w:sz w:val="24"/>
          <w:szCs w:val="24"/>
        </w:rPr>
        <w:t>issued in exercise of powers conferred by Section 11(1) of the</w:t>
      </w:r>
      <w:r w:rsidR="00033642">
        <w:rPr>
          <w:rFonts w:ascii="Book Antiqua" w:hAnsi="Book Antiqua"/>
          <w:sz w:val="24"/>
          <w:szCs w:val="24"/>
        </w:rPr>
        <w:t xml:space="preserve"> </w:t>
      </w:r>
      <w:r w:rsidR="00033642" w:rsidRPr="00033642">
        <w:rPr>
          <w:rFonts w:ascii="Book Antiqua" w:hAnsi="Book Antiqua"/>
          <w:sz w:val="24"/>
          <w:szCs w:val="24"/>
        </w:rPr>
        <w:t>Securities and Exchange Board of India Act, 1992</w:t>
      </w:r>
      <w:r w:rsidR="00086891">
        <w:rPr>
          <w:rFonts w:ascii="Book Antiqua" w:hAnsi="Book Antiqua"/>
          <w:sz w:val="24"/>
          <w:szCs w:val="24"/>
        </w:rPr>
        <w:t xml:space="preserve"> </w:t>
      </w:r>
      <w:r w:rsidRPr="003B37BF">
        <w:rPr>
          <w:rFonts w:ascii="Book Antiqua" w:hAnsi="Book Antiqua"/>
          <w:sz w:val="24"/>
          <w:szCs w:val="24"/>
        </w:rPr>
        <w:t xml:space="preserve">has </w:t>
      </w:r>
      <w:r w:rsidR="00A33E5A" w:rsidRPr="003B37BF">
        <w:rPr>
          <w:rFonts w:ascii="Book Antiqua" w:hAnsi="Book Antiqua"/>
          <w:sz w:val="24"/>
          <w:szCs w:val="24"/>
        </w:rPr>
        <w:t>come</w:t>
      </w:r>
      <w:r w:rsidRPr="003B37BF">
        <w:rPr>
          <w:rFonts w:ascii="Book Antiqua" w:hAnsi="Book Antiqua"/>
          <w:sz w:val="24"/>
          <w:szCs w:val="24"/>
        </w:rPr>
        <w:t xml:space="preserve"> out </w:t>
      </w:r>
      <w:r w:rsidR="00086891" w:rsidRPr="003B37BF">
        <w:rPr>
          <w:rFonts w:ascii="Book Antiqua" w:hAnsi="Book Antiqua"/>
          <w:sz w:val="24"/>
          <w:szCs w:val="24"/>
        </w:rPr>
        <w:t xml:space="preserve">with </w:t>
      </w:r>
      <w:r w:rsidR="00086891" w:rsidRPr="00086891">
        <w:rPr>
          <w:rFonts w:ascii="Book Antiqua" w:hAnsi="Book Antiqua"/>
          <w:b/>
          <w:bCs/>
          <w:sz w:val="24"/>
          <w:szCs w:val="24"/>
          <w:u w:val="single"/>
        </w:rPr>
        <w:t>Procedural Guidelines for Proxy Advisors</w:t>
      </w:r>
      <w:r w:rsidR="00086891">
        <w:rPr>
          <w:rFonts w:ascii="Book Antiqua" w:hAnsi="Book Antiqua"/>
          <w:b/>
          <w:bCs/>
          <w:sz w:val="24"/>
          <w:szCs w:val="24"/>
        </w:rPr>
        <w:t xml:space="preserve"> </w:t>
      </w:r>
      <w:r w:rsidR="00086891" w:rsidRPr="00086891">
        <w:rPr>
          <w:rFonts w:ascii="Book Antiqua" w:hAnsi="Book Antiqua"/>
          <w:b/>
          <w:bCs/>
          <w:sz w:val="24"/>
          <w:szCs w:val="24"/>
        </w:rPr>
        <w:t xml:space="preserve"> </w:t>
      </w:r>
      <w:r w:rsidR="00086891" w:rsidRPr="00086891">
        <w:rPr>
          <w:rFonts w:ascii="Book Antiqua" w:hAnsi="Book Antiqua"/>
          <w:sz w:val="24"/>
          <w:szCs w:val="24"/>
        </w:rPr>
        <w:t>to protect the interests of investors in securities and to promote the development of, and to regulate the securities market.</w:t>
      </w:r>
    </w:p>
    <w:p w14:paraId="419D91EB" w14:textId="54F3AD0D" w:rsidR="00086891" w:rsidRDefault="00086891" w:rsidP="003847AD">
      <w:pPr>
        <w:ind w:right="380"/>
        <w:jc w:val="both"/>
        <w:rPr>
          <w:rFonts w:ascii="Book Antiqua" w:hAnsi="Book Antiqua"/>
          <w:b/>
          <w:bCs/>
          <w:sz w:val="24"/>
          <w:szCs w:val="24"/>
          <w:u w:val="single"/>
        </w:rPr>
      </w:pPr>
    </w:p>
    <w:p w14:paraId="5F183488" w14:textId="61CAE60F" w:rsidR="00F4544D" w:rsidRPr="00EE1665" w:rsidRDefault="00EE1665" w:rsidP="003847AD">
      <w:pPr>
        <w:ind w:right="380"/>
        <w:jc w:val="both"/>
        <w:rPr>
          <w:rFonts w:ascii="Book Antiqua" w:hAnsi="Book Antiqua"/>
          <w:b/>
          <w:bCs/>
          <w:sz w:val="24"/>
          <w:szCs w:val="24"/>
        </w:rPr>
      </w:pPr>
      <w:r w:rsidRPr="00EE1665">
        <w:rPr>
          <w:rFonts w:ascii="Book Antiqua" w:hAnsi="Book Antiqua"/>
          <w:b/>
          <w:bCs/>
          <w:sz w:val="24"/>
          <w:szCs w:val="24"/>
        </w:rPr>
        <w:t>The Circular is issued to:</w:t>
      </w:r>
    </w:p>
    <w:p w14:paraId="3FE8AF88" w14:textId="501E03A7" w:rsidR="00EE1665" w:rsidRDefault="00FC64AB" w:rsidP="003847AD">
      <w:pPr>
        <w:pStyle w:val="ListParagraph"/>
        <w:numPr>
          <w:ilvl w:val="0"/>
          <w:numId w:val="30"/>
        </w:numPr>
        <w:ind w:right="380"/>
        <w:rPr>
          <w:rFonts w:ascii="Book Antiqua" w:hAnsi="Book Antiqua"/>
          <w:sz w:val="24"/>
          <w:szCs w:val="24"/>
        </w:rPr>
      </w:pPr>
      <w:r w:rsidRPr="00FC64AB">
        <w:rPr>
          <w:rFonts w:ascii="Book Antiqua" w:hAnsi="Book Antiqua"/>
          <w:sz w:val="24"/>
          <w:szCs w:val="24"/>
        </w:rPr>
        <w:t>All SEBI registered Proxy Advisors</w:t>
      </w:r>
    </w:p>
    <w:p w14:paraId="2A7EEE38" w14:textId="0BCFC0CB" w:rsidR="008B483D" w:rsidRDefault="008B483D" w:rsidP="008B483D">
      <w:pPr>
        <w:ind w:right="380"/>
        <w:rPr>
          <w:rFonts w:ascii="Book Antiqua" w:hAnsi="Book Antiqua"/>
          <w:sz w:val="24"/>
          <w:szCs w:val="24"/>
        </w:rPr>
      </w:pPr>
    </w:p>
    <w:p w14:paraId="60C6124D" w14:textId="77777777" w:rsidR="008B483D" w:rsidRPr="008B483D" w:rsidRDefault="008B483D" w:rsidP="008B483D">
      <w:pPr>
        <w:pStyle w:val="ListParagraph"/>
        <w:numPr>
          <w:ilvl w:val="0"/>
          <w:numId w:val="30"/>
        </w:numPr>
        <w:ind w:right="380"/>
        <w:rPr>
          <w:rFonts w:ascii="Book Antiqua" w:hAnsi="Book Antiqua"/>
          <w:sz w:val="24"/>
          <w:szCs w:val="24"/>
        </w:rPr>
      </w:pPr>
      <w:r w:rsidRPr="008B483D">
        <w:rPr>
          <w:rFonts w:ascii="Book Antiqua" w:hAnsi="Book Antiqua"/>
          <w:b/>
          <w:bCs/>
          <w:sz w:val="24"/>
          <w:szCs w:val="24"/>
        </w:rPr>
        <w:t>Applicability of the Circular:</w:t>
      </w:r>
      <w:r w:rsidRPr="008B483D">
        <w:rPr>
          <w:rFonts w:ascii="Book Antiqua" w:hAnsi="Book Antiqua"/>
          <w:sz w:val="24"/>
          <w:szCs w:val="24"/>
        </w:rPr>
        <w:t xml:space="preserve"> </w:t>
      </w:r>
    </w:p>
    <w:p w14:paraId="3C23D69B" w14:textId="1A91A726" w:rsidR="008B483D" w:rsidRPr="008B483D" w:rsidRDefault="008B483D" w:rsidP="008B483D">
      <w:pPr>
        <w:ind w:right="380"/>
        <w:rPr>
          <w:rFonts w:ascii="Book Antiqua" w:hAnsi="Book Antiqua"/>
          <w:sz w:val="24"/>
          <w:szCs w:val="24"/>
        </w:rPr>
      </w:pPr>
      <w:r w:rsidRPr="008B483D">
        <w:rPr>
          <w:rFonts w:ascii="Book Antiqua" w:hAnsi="Book Antiqua"/>
          <w:sz w:val="24"/>
          <w:szCs w:val="24"/>
        </w:rPr>
        <w:t>applicable with effect from September 1, 2020.</w:t>
      </w:r>
    </w:p>
    <w:p w14:paraId="63F1A838" w14:textId="62D34131" w:rsidR="000F0263" w:rsidRDefault="000F0263" w:rsidP="003847AD">
      <w:pPr>
        <w:ind w:right="380"/>
        <w:jc w:val="both"/>
        <w:rPr>
          <w:rFonts w:ascii="Book Antiqua" w:hAnsi="Book Antiqua"/>
          <w:sz w:val="24"/>
          <w:szCs w:val="24"/>
        </w:rPr>
      </w:pPr>
    </w:p>
    <w:p w14:paraId="16D3DF30" w14:textId="4A482B72" w:rsidR="00033642" w:rsidRDefault="00FE213C" w:rsidP="003847AD">
      <w:pPr>
        <w:pStyle w:val="ListParagraph"/>
        <w:numPr>
          <w:ilvl w:val="0"/>
          <w:numId w:val="30"/>
        </w:numPr>
        <w:ind w:right="380"/>
        <w:rPr>
          <w:rFonts w:ascii="Book Antiqua" w:hAnsi="Book Antiqua"/>
          <w:b/>
          <w:bCs/>
          <w:sz w:val="28"/>
          <w:szCs w:val="28"/>
        </w:rPr>
      </w:pPr>
      <w:r w:rsidRPr="00BE2AEB">
        <w:rPr>
          <w:rFonts w:ascii="Book Antiqua" w:hAnsi="Book Antiqua"/>
          <w:b/>
          <w:bCs/>
          <w:sz w:val="28"/>
          <w:szCs w:val="28"/>
        </w:rPr>
        <w:t>Applicable Provisions:</w:t>
      </w:r>
    </w:p>
    <w:p w14:paraId="4DB7870F" w14:textId="77777777" w:rsidR="00CE67DC" w:rsidRPr="00CE67DC" w:rsidRDefault="00CE67DC" w:rsidP="003847AD">
      <w:pPr>
        <w:ind w:right="380"/>
        <w:jc w:val="both"/>
        <w:rPr>
          <w:rFonts w:ascii="Book Antiqua" w:hAnsi="Book Antiqua"/>
          <w:b/>
          <w:bCs/>
          <w:sz w:val="28"/>
          <w:szCs w:val="28"/>
        </w:rPr>
      </w:pPr>
    </w:p>
    <w:p w14:paraId="1FB0CDF7" w14:textId="2C7B1F0E" w:rsidR="00BE2AEB" w:rsidRPr="00CE67DC" w:rsidRDefault="00BE2AEB" w:rsidP="003847AD">
      <w:pPr>
        <w:ind w:right="380"/>
        <w:jc w:val="both"/>
        <w:rPr>
          <w:rFonts w:ascii="Book Antiqua" w:hAnsi="Book Antiqua"/>
          <w:b/>
          <w:bCs/>
          <w:sz w:val="24"/>
          <w:szCs w:val="24"/>
        </w:rPr>
      </w:pPr>
      <w:r w:rsidRPr="00CE67DC">
        <w:rPr>
          <w:rFonts w:ascii="Book Antiqua" w:hAnsi="Book Antiqua"/>
          <w:b/>
          <w:bCs/>
          <w:sz w:val="24"/>
          <w:szCs w:val="24"/>
        </w:rPr>
        <w:t xml:space="preserve">Securities </w:t>
      </w:r>
      <w:proofErr w:type="gramStart"/>
      <w:r w:rsidRPr="00CE67DC">
        <w:rPr>
          <w:rFonts w:ascii="Book Antiqua" w:hAnsi="Book Antiqua"/>
          <w:b/>
          <w:bCs/>
          <w:sz w:val="24"/>
          <w:szCs w:val="24"/>
        </w:rPr>
        <w:t>And</w:t>
      </w:r>
      <w:proofErr w:type="gramEnd"/>
      <w:r w:rsidRPr="00CE67DC">
        <w:rPr>
          <w:rFonts w:ascii="Book Antiqua" w:hAnsi="Book Antiqua"/>
          <w:b/>
          <w:bCs/>
          <w:sz w:val="24"/>
          <w:szCs w:val="24"/>
        </w:rPr>
        <w:t xml:space="preserve"> Exchange Board Of India (Research Analyst) Regulations, 2014</w:t>
      </w:r>
    </w:p>
    <w:p w14:paraId="60996C3A" w14:textId="77777777" w:rsidR="00BE2AEB" w:rsidRPr="00CE67DC" w:rsidRDefault="00BE2AEB" w:rsidP="003847AD">
      <w:pPr>
        <w:ind w:right="380"/>
        <w:jc w:val="both"/>
        <w:rPr>
          <w:rFonts w:ascii="Book Antiqua" w:hAnsi="Book Antiqua"/>
          <w:sz w:val="10"/>
          <w:szCs w:val="10"/>
        </w:rPr>
      </w:pPr>
    </w:p>
    <w:p w14:paraId="6E8731B6" w14:textId="2AC2195A" w:rsidR="00BE2AEB" w:rsidRPr="00BE2AEB" w:rsidRDefault="00BE2AEB" w:rsidP="003847AD">
      <w:pPr>
        <w:ind w:right="380"/>
        <w:jc w:val="both"/>
        <w:rPr>
          <w:rFonts w:ascii="Book Antiqua" w:hAnsi="Book Antiqua"/>
          <w:b/>
          <w:bCs/>
          <w:sz w:val="24"/>
          <w:szCs w:val="24"/>
        </w:rPr>
      </w:pPr>
      <w:r w:rsidRPr="00BE2AEB">
        <w:rPr>
          <w:rFonts w:ascii="Book Antiqua" w:hAnsi="Book Antiqua"/>
          <w:b/>
          <w:bCs/>
          <w:sz w:val="24"/>
          <w:szCs w:val="24"/>
        </w:rPr>
        <w:t xml:space="preserve">Regulation 24(2) </w:t>
      </w:r>
    </w:p>
    <w:p w14:paraId="38F9B89E" w14:textId="795063B6" w:rsidR="00BE2AEB" w:rsidRPr="00FF2196" w:rsidRDefault="00BE2AEB" w:rsidP="003847AD">
      <w:pPr>
        <w:ind w:right="380"/>
        <w:jc w:val="both"/>
        <w:rPr>
          <w:rFonts w:ascii="Book Antiqua" w:hAnsi="Book Antiqua"/>
          <w:i/>
          <w:iCs/>
          <w:sz w:val="24"/>
          <w:szCs w:val="24"/>
        </w:rPr>
      </w:pPr>
      <w:r w:rsidRPr="00FF2196">
        <w:rPr>
          <w:rFonts w:ascii="Book Antiqua" w:hAnsi="Book Antiqua"/>
          <w:i/>
          <w:iCs/>
          <w:sz w:val="24"/>
          <w:szCs w:val="24"/>
        </w:rPr>
        <w:t>Research analyst or research entity shall abide by Code of Conduct as specified in</w:t>
      </w:r>
      <w:r w:rsidR="00FF2196" w:rsidRPr="00FF2196">
        <w:rPr>
          <w:rFonts w:ascii="Book Antiqua" w:hAnsi="Book Antiqua"/>
          <w:i/>
          <w:iCs/>
          <w:sz w:val="24"/>
          <w:szCs w:val="24"/>
        </w:rPr>
        <w:t xml:space="preserve"> </w:t>
      </w:r>
      <w:r w:rsidRPr="00FF2196">
        <w:rPr>
          <w:rFonts w:ascii="Book Antiqua" w:hAnsi="Book Antiqua"/>
          <w:i/>
          <w:iCs/>
          <w:sz w:val="24"/>
          <w:szCs w:val="24"/>
        </w:rPr>
        <w:t>Third Schedule.</w:t>
      </w:r>
    </w:p>
    <w:p w14:paraId="7D7B37F3" w14:textId="7B1E5A16" w:rsidR="00BE2AEB" w:rsidRPr="00CE67DC" w:rsidRDefault="00BE2AEB" w:rsidP="003847AD">
      <w:pPr>
        <w:ind w:right="380"/>
        <w:jc w:val="both"/>
        <w:rPr>
          <w:rFonts w:ascii="Book Antiqua" w:hAnsi="Book Antiqua"/>
          <w:sz w:val="14"/>
          <w:szCs w:val="14"/>
        </w:rPr>
      </w:pPr>
    </w:p>
    <w:p w14:paraId="56730516" w14:textId="5AAC4328" w:rsidR="00BE2AEB" w:rsidRPr="00BE2AEB" w:rsidRDefault="00BE2AEB" w:rsidP="003847AD">
      <w:pPr>
        <w:ind w:right="380"/>
        <w:jc w:val="both"/>
        <w:rPr>
          <w:rFonts w:ascii="Book Antiqua" w:hAnsi="Book Antiqua"/>
          <w:b/>
          <w:bCs/>
          <w:sz w:val="24"/>
          <w:szCs w:val="24"/>
        </w:rPr>
      </w:pPr>
      <w:r w:rsidRPr="00BE2AEB">
        <w:rPr>
          <w:rFonts w:ascii="Book Antiqua" w:hAnsi="Book Antiqua"/>
          <w:b/>
          <w:bCs/>
          <w:sz w:val="24"/>
          <w:szCs w:val="24"/>
        </w:rPr>
        <w:t xml:space="preserve">Regulation 23(1): </w:t>
      </w:r>
    </w:p>
    <w:p w14:paraId="1D993E5C" w14:textId="002D77CD" w:rsidR="00BE2AEB" w:rsidRPr="00FF2196" w:rsidRDefault="00BE2AEB" w:rsidP="003847AD">
      <w:pPr>
        <w:pStyle w:val="ListParagraph"/>
        <w:numPr>
          <w:ilvl w:val="0"/>
          <w:numId w:val="32"/>
        </w:numPr>
        <w:ind w:right="380"/>
        <w:rPr>
          <w:rFonts w:ascii="Book Antiqua" w:hAnsi="Book Antiqua"/>
          <w:i/>
          <w:iCs/>
        </w:rPr>
      </w:pPr>
      <w:r w:rsidRPr="00FF2196">
        <w:rPr>
          <w:rFonts w:ascii="Book Antiqua" w:hAnsi="Book Antiqua"/>
          <w:i/>
          <w:iCs/>
        </w:rPr>
        <w:t>All the provisions of Chapter II, III, IV, V and VI shall apply mutatis mutandis to</w:t>
      </w:r>
      <w:r w:rsidRPr="00FF2196">
        <w:rPr>
          <w:rFonts w:ascii="Book Antiqua" w:hAnsi="Book Antiqua"/>
          <w:i/>
          <w:iCs/>
        </w:rPr>
        <w:t xml:space="preserve"> </w:t>
      </w:r>
      <w:r w:rsidRPr="00FF2196">
        <w:rPr>
          <w:rFonts w:ascii="Book Antiqua" w:hAnsi="Book Antiqua"/>
          <w:i/>
          <w:iCs/>
        </w:rPr>
        <w:t>the proxy adviser:</w:t>
      </w:r>
    </w:p>
    <w:p w14:paraId="6F6CB1C0" w14:textId="1EB9BAA6" w:rsidR="00BE2AEB" w:rsidRPr="00FF2196" w:rsidRDefault="00BE2AEB" w:rsidP="003847AD">
      <w:pPr>
        <w:pStyle w:val="ListParagraph"/>
        <w:numPr>
          <w:ilvl w:val="0"/>
          <w:numId w:val="32"/>
        </w:numPr>
        <w:ind w:right="380"/>
        <w:rPr>
          <w:rFonts w:ascii="Book Antiqua" w:hAnsi="Book Antiqua"/>
          <w:i/>
          <w:iCs/>
        </w:rPr>
      </w:pPr>
      <w:r w:rsidRPr="00FF2196">
        <w:rPr>
          <w:rFonts w:ascii="Book Antiqua" w:hAnsi="Book Antiqua"/>
          <w:i/>
          <w:iCs/>
        </w:rPr>
        <w:t>Provided that the employees of proxy advisors engaged in providing proxy advisory</w:t>
      </w:r>
      <w:r w:rsidRPr="00FF2196">
        <w:rPr>
          <w:rFonts w:ascii="Book Antiqua" w:hAnsi="Book Antiqua"/>
          <w:i/>
          <w:iCs/>
        </w:rPr>
        <w:t xml:space="preserve"> </w:t>
      </w:r>
      <w:r w:rsidRPr="00FF2196">
        <w:rPr>
          <w:rFonts w:ascii="Book Antiqua" w:hAnsi="Book Antiqua"/>
          <w:i/>
          <w:iCs/>
        </w:rPr>
        <w:t>services shall be required to have a minimum qualification of being a graduate in any</w:t>
      </w:r>
      <w:r w:rsidRPr="00FF2196">
        <w:rPr>
          <w:rFonts w:ascii="Book Antiqua" w:hAnsi="Book Antiqua"/>
          <w:i/>
          <w:iCs/>
        </w:rPr>
        <w:t xml:space="preserve"> </w:t>
      </w:r>
      <w:r w:rsidRPr="00FF2196">
        <w:rPr>
          <w:rFonts w:ascii="Book Antiqua" w:hAnsi="Book Antiqua"/>
          <w:i/>
          <w:iCs/>
        </w:rPr>
        <w:t>discipline:</w:t>
      </w:r>
    </w:p>
    <w:p w14:paraId="770487EF" w14:textId="145D0691" w:rsidR="00BE2AEB" w:rsidRPr="00FF2196" w:rsidRDefault="00BE2AEB" w:rsidP="003847AD">
      <w:pPr>
        <w:pStyle w:val="ListParagraph"/>
        <w:numPr>
          <w:ilvl w:val="0"/>
          <w:numId w:val="32"/>
        </w:numPr>
        <w:ind w:right="380"/>
        <w:rPr>
          <w:rFonts w:ascii="Book Antiqua" w:hAnsi="Book Antiqua"/>
          <w:i/>
          <w:iCs/>
        </w:rPr>
      </w:pPr>
      <w:r w:rsidRPr="00FF2196">
        <w:rPr>
          <w:rFonts w:ascii="Book Antiqua" w:hAnsi="Book Antiqua"/>
          <w:i/>
          <w:iCs/>
        </w:rPr>
        <w:t>Provided further that certification requirements for employees of proxy advisors</w:t>
      </w:r>
      <w:r w:rsidRPr="00FF2196">
        <w:rPr>
          <w:rFonts w:ascii="Book Antiqua" w:hAnsi="Book Antiqua"/>
          <w:i/>
          <w:iCs/>
        </w:rPr>
        <w:t xml:space="preserve"> </w:t>
      </w:r>
      <w:r w:rsidRPr="00FF2196">
        <w:rPr>
          <w:rFonts w:ascii="Book Antiqua" w:hAnsi="Book Antiqua"/>
          <w:i/>
          <w:iCs/>
        </w:rPr>
        <w:t>engaged in providing proxy advisory services shall be as specified by the Board:</w:t>
      </w:r>
    </w:p>
    <w:p w14:paraId="62A26E4F" w14:textId="384C0B3C" w:rsidR="00BE2AEB" w:rsidRPr="00FF2196" w:rsidRDefault="00BE2AEB" w:rsidP="003847AD">
      <w:pPr>
        <w:pStyle w:val="ListParagraph"/>
        <w:numPr>
          <w:ilvl w:val="0"/>
          <w:numId w:val="32"/>
        </w:numPr>
        <w:ind w:right="380"/>
        <w:rPr>
          <w:rFonts w:ascii="Book Antiqua" w:hAnsi="Book Antiqua"/>
          <w:i/>
          <w:iCs/>
        </w:rPr>
      </w:pPr>
      <w:r w:rsidRPr="00FF2196">
        <w:rPr>
          <w:rFonts w:ascii="Book Antiqua" w:hAnsi="Book Antiqua"/>
          <w:i/>
          <w:iCs/>
        </w:rPr>
        <w:t>Provided further that time period for compliance with capital adequacy as provided in</w:t>
      </w:r>
      <w:r w:rsidRPr="00FF2196">
        <w:rPr>
          <w:rFonts w:ascii="Book Antiqua" w:hAnsi="Book Antiqua"/>
          <w:i/>
          <w:iCs/>
        </w:rPr>
        <w:t xml:space="preserve"> </w:t>
      </w:r>
      <w:r w:rsidRPr="00FF2196">
        <w:rPr>
          <w:rFonts w:ascii="Book Antiqua" w:hAnsi="Book Antiqua"/>
          <w:i/>
          <w:iCs/>
        </w:rPr>
        <w:t>sub-regulation (3) of regulation 8, for proxy advisors shall be three years.</w:t>
      </w:r>
    </w:p>
    <w:p w14:paraId="329AB635" w14:textId="77777777" w:rsidR="00862E3F" w:rsidRDefault="00862E3F" w:rsidP="003847AD">
      <w:pPr>
        <w:pStyle w:val="ListParagraph"/>
        <w:ind w:left="720" w:right="380" w:firstLine="0"/>
        <w:rPr>
          <w:rFonts w:ascii="Book Antiqua" w:hAnsi="Book Antiqua"/>
          <w:i/>
          <w:iCs/>
        </w:rPr>
      </w:pPr>
    </w:p>
    <w:p w14:paraId="73C9F355" w14:textId="3E6FC32C" w:rsidR="00FE213C" w:rsidRDefault="00FE213C" w:rsidP="003847AD">
      <w:pPr>
        <w:ind w:right="380"/>
        <w:jc w:val="both"/>
        <w:rPr>
          <w:rFonts w:ascii="Book Antiqua" w:hAnsi="Book Antiqua"/>
          <w:sz w:val="24"/>
          <w:szCs w:val="24"/>
        </w:rPr>
      </w:pPr>
      <w:r w:rsidRPr="00862E3F">
        <w:rPr>
          <w:rFonts w:ascii="Book Antiqua" w:hAnsi="Book Antiqua"/>
          <w:sz w:val="24"/>
          <w:szCs w:val="24"/>
        </w:rPr>
        <w:t>Regulation 24(2) read with 23(1) of SEBI (Research Analyst) Regulations, 2014 mandates proxy</w:t>
      </w:r>
      <w:r w:rsidRPr="00862E3F">
        <w:rPr>
          <w:rFonts w:ascii="Book Antiqua" w:hAnsi="Book Antiqua"/>
          <w:sz w:val="24"/>
          <w:szCs w:val="24"/>
        </w:rPr>
        <w:t xml:space="preserve"> </w:t>
      </w:r>
      <w:r w:rsidRPr="00862E3F">
        <w:rPr>
          <w:rFonts w:ascii="Book Antiqua" w:hAnsi="Book Antiqua"/>
          <w:sz w:val="24"/>
          <w:szCs w:val="24"/>
        </w:rPr>
        <w:t>advisors to abide by Code of Conduct specified therein. It is decided that proxy advisors shall also</w:t>
      </w:r>
      <w:r w:rsidRPr="00862E3F">
        <w:rPr>
          <w:rFonts w:ascii="Book Antiqua" w:hAnsi="Book Antiqua"/>
          <w:sz w:val="24"/>
          <w:szCs w:val="24"/>
        </w:rPr>
        <w:t xml:space="preserve"> </w:t>
      </w:r>
      <w:r w:rsidRPr="00862E3F">
        <w:rPr>
          <w:rFonts w:ascii="Book Antiqua" w:hAnsi="Book Antiqua"/>
          <w:sz w:val="24"/>
          <w:szCs w:val="24"/>
        </w:rPr>
        <w:t>comply with the following procedural guidelines</w:t>
      </w:r>
    </w:p>
    <w:p w14:paraId="609F4154" w14:textId="589A2541" w:rsidR="00CE67DC" w:rsidRDefault="00CE67DC" w:rsidP="003847AD">
      <w:pPr>
        <w:ind w:right="380"/>
        <w:jc w:val="both"/>
        <w:rPr>
          <w:rFonts w:ascii="Book Antiqua" w:hAnsi="Book Antiqua"/>
          <w:sz w:val="24"/>
          <w:szCs w:val="24"/>
        </w:rPr>
      </w:pPr>
    </w:p>
    <w:p w14:paraId="6E7CE847" w14:textId="24AE642A" w:rsidR="008B31A0" w:rsidRPr="008B483D" w:rsidRDefault="008B31A0" w:rsidP="003847AD">
      <w:pPr>
        <w:ind w:right="380"/>
        <w:jc w:val="both"/>
        <w:rPr>
          <w:rFonts w:ascii="Book Antiqua" w:hAnsi="Book Antiqua"/>
          <w:b/>
          <w:bCs/>
          <w:sz w:val="24"/>
          <w:szCs w:val="24"/>
        </w:rPr>
      </w:pPr>
      <w:r w:rsidRPr="008B483D">
        <w:rPr>
          <w:rFonts w:ascii="Book Antiqua" w:hAnsi="Book Antiqua"/>
          <w:b/>
          <w:bCs/>
          <w:sz w:val="24"/>
          <w:szCs w:val="24"/>
        </w:rPr>
        <w:t>1. V</w:t>
      </w:r>
      <w:r w:rsidRPr="008B483D">
        <w:rPr>
          <w:rFonts w:ascii="Book Antiqua" w:hAnsi="Book Antiqua"/>
          <w:b/>
          <w:bCs/>
          <w:sz w:val="24"/>
          <w:szCs w:val="24"/>
        </w:rPr>
        <w:t>oting recommendation policies and disclos</w:t>
      </w:r>
      <w:r w:rsidRPr="008B483D">
        <w:rPr>
          <w:rFonts w:ascii="Book Antiqua" w:hAnsi="Book Antiqua"/>
          <w:b/>
          <w:bCs/>
          <w:sz w:val="24"/>
          <w:szCs w:val="24"/>
        </w:rPr>
        <w:t>ure</w:t>
      </w:r>
    </w:p>
    <w:p w14:paraId="2C94247A" w14:textId="7ED28D1F" w:rsidR="00CE67DC" w:rsidRPr="008B483D" w:rsidRDefault="008B31A0" w:rsidP="003847AD">
      <w:pPr>
        <w:pStyle w:val="ListParagraph"/>
        <w:numPr>
          <w:ilvl w:val="0"/>
          <w:numId w:val="33"/>
        </w:numPr>
        <w:ind w:right="380"/>
        <w:rPr>
          <w:rFonts w:ascii="Book Antiqua" w:hAnsi="Book Antiqua"/>
          <w:sz w:val="24"/>
          <w:szCs w:val="24"/>
        </w:rPr>
      </w:pPr>
      <w:r w:rsidRPr="008B483D">
        <w:rPr>
          <w:rFonts w:ascii="Book Antiqua" w:hAnsi="Book Antiqua"/>
          <w:sz w:val="24"/>
          <w:szCs w:val="24"/>
        </w:rPr>
        <w:t>Proxy Advisors shall formulate the voting recommendation policies and disclose the updated voting recommendation policies to its clients.</w:t>
      </w:r>
    </w:p>
    <w:p w14:paraId="6CA8FAC6" w14:textId="77777777" w:rsidR="008B31A0" w:rsidRPr="008B483D" w:rsidRDefault="008B31A0" w:rsidP="003847AD">
      <w:pPr>
        <w:pStyle w:val="ListParagraph"/>
        <w:numPr>
          <w:ilvl w:val="0"/>
          <w:numId w:val="33"/>
        </w:numPr>
        <w:ind w:right="380"/>
        <w:rPr>
          <w:rFonts w:ascii="Book Antiqua" w:hAnsi="Book Antiqua"/>
          <w:sz w:val="24"/>
          <w:szCs w:val="24"/>
        </w:rPr>
      </w:pPr>
      <w:r w:rsidRPr="008B483D">
        <w:rPr>
          <w:rFonts w:ascii="Book Antiqua" w:hAnsi="Book Antiqua"/>
          <w:sz w:val="24"/>
          <w:szCs w:val="24"/>
        </w:rPr>
        <w:t xml:space="preserve">Proxy Advisors shall ensure that the policies should be reviewed at least once annually. </w:t>
      </w:r>
    </w:p>
    <w:p w14:paraId="4B913271" w14:textId="51455A60" w:rsidR="008B31A0" w:rsidRPr="008B483D" w:rsidRDefault="008B31A0" w:rsidP="003847AD">
      <w:pPr>
        <w:pStyle w:val="ListParagraph"/>
        <w:numPr>
          <w:ilvl w:val="0"/>
          <w:numId w:val="33"/>
        </w:numPr>
        <w:ind w:right="380"/>
        <w:rPr>
          <w:rFonts w:ascii="Book Antiqua" w:hAnsi="Book Antiqua"/>
          <w:sz w:val="24"/>
          <w:szCs w:val="24"/>
        </w:rPr>
      </w:pPr>
      <w:r w:rsidRPr="008B483D">
        <w:rPr>
          <w:rFonts w:ascii="Book Antiqua" w:hAnsi="Book Antiqua"/>
          <w:sz w:val="24"/>
          <w:szCs w:val="24"/>
        </w:rPr>
        <w:t>The voting recommendation policies shall also disclose the circumstances when not to provide a voting recommendation</w:t>
      </w:r>
    </w:p>
    <w:p w14:paraId="43BCBA07" w14:textId="32A343E6" w:rsidR="008B31A0" w:rsidRDefault="008B31A0" w:rsidP="003847AD">
      <w:pPr>
        <w:ind w:right="380"/>
        <w:jc w:val="both"/>
        <w:rPr>
          <w:rFonts w:ascii="Book Antiqua" w:hAnsi="Book Antiqua"/>
          <w:sz w:val="24"/>
          <w:szCs w:val="24"/>
        </w:rPr>
      </w:pPr>
    </w:p>
    <w:p w14:paraId="3C70A4CC" w14:textId="486F0292" w:rsidR="00AC5F9F" w:rsidRDefault="00AC5F9F" w:rsidP="003847AD">
      <w:pPr>
        <w:ind w:right="380"/>
        <w:jc w:val="both"/>
        <w:rPr>
          <w:rFonts w:ascii="Book Antiqua" w:hAnsi="Book Antiqua"/>
          <w:sz w:val="24"/>
          <w:szCs w:val="24"/>
        </w:rPr>
      </w:pPr>
    </w:p>
    <w:p w14:paraId="65C27A6C" w14:textId="77777777" w:rsidR="00AC5F9F" w:rsidRPr="008B483D" w:rsidRDefault="00AC5F9F" w:rsidP="003847AD">
      <w:pPr>
        <w:ind w:right="380"/>
        <w:jc w:val="both"/>
        <w:rPr>
          <w:rFonts w:ascii="Book Antiqua" w:hAnsi="Book Antiqua"/>
          <w:sz w:val="24"/>
          <w:szCs w:val="24"/>
        </w:rPr>
      </w:pPr>
    </w:p>
    <w:p w14:paraId="4059B832" w14:textId="4B3A9F5C" w:rsidR="002D2822" w:rsidRPr="008B483D" w:rsidRDefault="002D2822" w:rsidP="003847AD">
      <w:pPr>
        <w:ind w:right="380"/>
        <w:jc w:val="both"/>
        <w:rPr>
          <w:rFonts w:ascii="Book Antiqua" w:hAnsi="Book Antiqua"/>
          <w:b/>
          <w:bCs/>
          <w:sz w:val="24"/>
          <w:szCs w:val="24"/>
        </w:rPr>
      </w:pPr>
      <w:r w:rsidRPr="008B483D">
        <w:rPr>
          <w:rFonts w:ascii="Book Antiqua" w:hAnsi="Book Antiqua"/>
          <w:b/>
          <w:bCs/>
          <w:sz w:val="24"/>
          <w:szCs w:val="24"/>
        </w:rPr>
        <w:lastRenderedPageBreak/>
        <w:t xml:space="preserve">2. </w:t>
      </w:r>
      <w:r w:rsidR="00DC5C66" w:rsidRPr="008B483D">
        <w:rPr>
          <w:rFonts w:ascii="Book Antiqua" w:hAnsi="Book Antiqua"/>
          <w:b/>
          <w:bCs/>
          <w:sz w:val="24"/>
          <w:szCs w:val="24"/>
        </w:rPr>
        <w:t>M</w:t>
      </w:r>
      <w:r w:rsidR="00DC5C66" w:rsidRPr="008B483D">
        <w:rPr>
          <w:rFonts w:ascii="Book Antiqua" w:hAnsi="Book Antiqua"/>
          <w:b/>
          <w:bCs/>
          <w:sz w:val="24"/>
          <w:szCs w:val="24"/>
        </w:rPr>
        <w:t xml:space="preserve">ethodologies and </w:t>
      </w:r>
      <w:r w:rsidR="00DC5C66" w:rsidRPr="008B483D">
        <w:rPr>
          <w:rFonts w:ascii="Book Antiqua" w:hAnsi="Book Antiqua"/>
          <w:b/>
          <w:bCs/>
          <w:sz w:val="24"/>
          <w:szCs w:val="24"/>
        </w:rPr>
        <w:t>P</w:t>
      </w:r>
      <w:r w:rsidR="00DC5C66" w:rsidRPr="008B483D">
        <w:rPr>
          <w:rFonts w:ascii="Book Antiqua" w:hAnsi="Book Antiqua"/>
          <w:b/>
          <w:bCs/>
          <w:sz w:val="24"/>
          <w:szCs w:val="24"/>
        </w:rPr>
        <w:t>rocesses</w:t>
      </w:r>
      <w:r w:rsidR="00DC5C66" w:rsidRPr="008B483D">
        <w:rPr>
          <w:rFonts w:ascii="Book Antiqua" w:hAnsi="Book Antiqua"/>
          <w:b/>
          <w:bCs/>
          <w:sz w:val="24"/>
          <w:szCs w:val="24"/>
        </w:rPr>
        <w:t>:</w:t>
      </w:r>
    </w:p>
    <w:p w14:paraId="4C579C3A" w14:textId="77777777" w:rsidR="00DC5C66" w:rsidRPr="008B483D" w:rsidRDefault="00DC5C66" w:rsidP="003847AD">
      <w:pPr>
        <w:ind w:right="380"/>
        <w:jc w:val="both"/>
        <w:rPr>
          <w:rFonts w:ascii="Book Antiqua" w:hAnsi="Book Antiqua"/>
          <w:sz w:val="24"/>
          <w:szCs w:val="24"/>
        </w:rPr>
      </w:pPr>
      <w:r w:rsidRPr="008B483D">
        <w:rPr>
          <w:rFonts w:ascii="Book Antiqua" w:hAnsi="Book Antiqua"/>
          <w:sz w:val="24"/>
          <w:szCs w:val="24"/>
        </w:rPr>
        <w:t>Proxy Advisors shall disclose the methodologies and processes followed in the development of</w:t>
      </w:r>
    </w:p>
    <w:p w14:paraId="23006849" w14:textId="5346E11A" w:rsidR="00DC5C66" w:rsidRPr="008B483D" w:rsidRDefault="00DC5C66" w:rsidP="003847AD">
      <w:pPr>
        <w:ind w:right="380"/>
        <w:jc w:val="both"/>
        <w:rPr>
          <w:rFonts w:ascii="Book Antiqua" w:hAnsi="Book Antiqua"/>
          <w:sz w:val="24"/>
          <w:szCs w:val="24"/>
        </w:rPr>
      </w:pPr>
      <w:r w:rsidRPr="008B483D">
        <w:rPr>
          <w:rFonts w:ascii="Book Antiqua" w:hAnsi="Book Antiqua"/>
          <w:sz w:val="24"/>
          <w:szCs w:val="24"/>
        </w:rPr>
        <w:t>their research and corresponding recommendations to its clients</w:t>
      </w:r>
    </w:p>
    <w:p w14:paraId="61367550" w14:textId="013F7A39" w:rsidR="005D3470" w:rsidRPr="008B483D" w:rsidRDefault="005D3470" w:rsidP="003847AD">
      <w:pPr>
        <w:ind w:right="380"/>
        <w:jc w:val="both"/>
        <w:rPr>
          <w:rFonts w:ascii="Book Antiqua" w:hAnsi="Book Antiqua"/>
          <w:sz w:val="24"/>
          <w:szCs w:val="24"/>
        </w:rPr>
      </w:pPr>
    </w:p>
    <w:p w14:paraId="7B408F5B" w14:textId="34FA0053" w:rsidR="005D3470" w:rsidRPr="008B483D" w:rsidRDefault="005D3470" w:rsidP="003847AD">
      <w:pPr>
        <w:ind w:right="380"/>
        <w:jc w:val="both"/>
        <w:rPr>
          <w:rFonts w:ascii="Book Antiqua" w:hAnsi="Book Antiqua"/>
          <w:b/>
          <w:bCs/>
          <w:sz w:val="24"/>
          <w:szCs w:val="24"/>
        </w:rPr>
      </w:pPr>
      <w:r w:rsidRPr="008B483D">
        <w:rPr>
          <w:rFonts w:ascii="Book Antiqua" w:hAnsi="Book Antiqua"/>
          <w:b/>
          <w:bCs/>
          <w:sz w:val="24"/>
          <w:szCs w:val="24"/>
        </w:rPr>
        <w:t xml:space="preserve">3. </w:t>
      </w:r>
      <w:r w:rsidRPr="008B483D">
        <w:rPr>
          <w:rFonts w:ascii="Book Antiqua" w:hAnsi="Book Antiqua"/>
          <w:b/>
          <w:bCs/>
          <w:sz w:val="24"/>
          <w:szCs w:val="24"/>
        </w:rPr>
        <w:t>factual errors</w:t>
      </w:r>
      <w:r w:rsidRPr="008B483D">
        <w:rPr>
          <w:rFonts w:ascii="Book Antiqua" w:hAnsi="Book Antiqua"/>
          <w:b/>
          <w:bCs/>
          <w:sz w:val="24"/>
          <w:szCs w:val="24"/>
        </w:rPr>
        <w:t xml:space="preserve"> </w:t>
      </w:r>
      <w:r w:rsidRPr="008B483D">
        <w:rPr>
          <w:rFonts w:ascii="Book Antiqua" w:hAnsi="Book Antiqua"/>
          <w:b/>
          <w:bCs/>
          <w:sz w:val="24"/>
          <w:szCs w:val="24"/>
        </w:rPr>
        <w:t>or material revisions to the report</w:t>
      </w:r>
    </w:p>
    <w:p w14:paraId="4C081F8A" w14:textId="156C11DA" w:rsidR="008B31A0" w:rsidRPr="008B483D" w:rsidRDefault="005D3470" w:rsidP="003847AD">
      <w:pPr>
        <w:ind w:right="380"/>
        <w:jc w:val="both"/>
        <w:rPr>
          <w:rFonts w:ascii="Book Antiqua" w:hAnsi="Book Antiqua"/>
          <w:sz w:val="24"/>
          <w:szCs w:val="24"/>
        </w:rPr>
      </w:pPr>
      <w:r w:rsidRPr="008B483D">
        <w:rPr>
          <w:rFonts w:ascii="Book Antiqua" w:hAnsi="Book Antiqua"/>
          <w:sz w:val="24"/>
          <w:szCs w:val="24"/>
        </w:rPr>
        <w:t>Proxy Advisors shall alert clients, within 24 hours of receipt of information, about any factual errors or material revisions to the report</w:t>
      </w:r>
    </w:p>
    <w:p w14:paraId="6DF5A37F" w14:textId="038E2E09" w:rsidR="008C36CF" w:rsidRPr="008B483D" w:rsidRDefault="008C36CF" w:rsidP="003847AD">
      <w:pPr>
        <w:ind w:right="380"/>
        <w:jc w:val="both"/>
        <w:rPr>
          <w:rFonts w:ascii="Book Antiqua" w:hAnsi="Book Antiqua"/>
          <w:sz w:val="24"/>
          <w:szCs w:val="24"/>
        </w:rPr>
      </w:pPr>
    </w:p>
    <w:p w14:paraId="0088BC28" w14:textId="35B9FF5C" w:rsidR="008C36CF" w:rsidRPr="008B483D" w:rsidRDefault="008C36CF" w:rsidP="003847AD">
      <w:pPr>
        <w:ind w:right="380"/>
        <w:jc w:val="both"/>
        <w:rPr>
          <w:rFonts w:ascii="Book Antiqua" w:hAnsi="Book Antiqua"/>
          <w:b/>
          <w:bCs/>
          <w:sz w:val="24"/>
          <w:szCs w:val="24"/>
        </w:rPr>
      </w:pPr>
      <w:r w:rsidRPr="008B483D">
        <w:rPr>
          <w:rFonts w:ascii="Book Antiqua" w:hAnsi="Book Antiqua"/>
          <w:b/>
          <w:bCs/>
          <w:sz w:val="24"/>
          <w:szCs w:val="24"/>
        </w:rPr>
        <w:t>4. Communication:</w:t>
      </w:r>
    </w:p>
    <w:p w14:paraId="3B862FC8" w14:textId="12A4BB7B" w:rsidR="008C36CF" w:rsidRPr="008B483D" w:rsidRDefault="008C36CF" w:rsidP="003847AD">
      <w:pPr>
        <w:ind w:right="380"/>
        <w:jc w:val="both"/>
        <w:rPr>
          <w:rFonts w:ascii="Book Antiqua" w:hAnsi="Book Antiqua"/>
          <w:sz w:val="24"/>
          <w:szCs w:val="24"/>
        </w:rPr>
      </w:pPr>
      <w:r w:rsidRPr="008B483D">
        <w:rPr>
          <w:rFonts w:ascii="Book Antiqua" w:hAnsi="Book Antiqua"/>
          <w:sz w:val="24"/>
          <w:szCs w:val="24"/>
        </w:rPr>
        <w:t>Proxy Advisors shall have a stated process to communicate with its clients and the company</w:t>
      </w:r>
    </w:p>
    <w:p w14:paraId="54B9186D" w14:textId="5BEAF705" w:rsidR="008C36CF" w:rsidRPr="008B483D" w:rsidRDefault="008C36CF" w:rsidP="003847AD">
      <w:pPr>
        <w:ind w:right="380"/>
        <w:jc w:val="both"/>
        <w:rPr>
          <w:rFonts w:ascii="Book Antiqua" w:hAnsi="Book Antiqua"/>
          <w:sz w:val="24"/>
          <w:szCs w:val="24"/>
        </w:rPr>
      </w:pPr>
    </w:p>
    <w:p w14:paraId="60136A75" w14:textId="52DA8F32" w:rsidR="008C36CF" w:rsidRPr="008B483D" w:rsidRDefault="008C36CF" w:rsidP="003847AD">
      <w:pPr>
        <w:ind w:right="380"/>
        <w:jc w:val="both"/>
        <w:rPr>
          <w:rFonts w:ascii="Book Antiqua" w:hAnsi="Book Antiqua"/>
          <w:b/>
          <w:bCs/>
          <w:sz w:val="24"/>
          <w:szCs w:val="24"/>
        </w:rPr>
      </w:pPr>
      <w:r w:rsidRPr="008B483D">
        <w:rPr>
          <w:rFonts w:ascii="Book Antiqua" w:hAnsi="Book Antiqua"/>
          <w:b/>
          <w:bCs/>
          <w:sz w:val="24"/>
          <w:szCs w:val="24"/>
        </w:rPr>
        <w:t xml:space="preserve">5. </w:t>
      </w:r>
      <w:r w:rsidR="003847AD" w:rsidRPr="008B483D">
        <w:rPr>
          <w:rFonts w:ascii="Book Antiqua" w:hAnsi="Book Antiqua"/>
          <w:b/>
          <w:bCs/>
          <w:sz w:val="24"/>
          <w:szCs w:val="24"/>
        </w:rPr>
        <w:t>Reporting:</w:t>
      </w:r>
    </w:p>
    <w:p w14:paraId="73C51B5A" w14:textId="77777777" w:rsidR="003847AD" w:rsidRPr="008B483D" w:rsidRDefault="003847AD" w:rsidP="003847AD">
      <w:pPr>
        <w:pStyle w:val="ListParagraph"/>
        <w:numPr>
          <w:ilvl w:val="0"/>
          <w:numId w:val="34"/>
        </w:numPr>
        <w:ind w:right="380"/>
        <w:rPr>
          <w:rFonts w:ascii="Book Antiqua" w:hAnsi="Book Antiqua"/>
          <w:sz w:val="24"/>
          <w:szCs w:val="24"/>
        </w:rPr>
      </w:pPr>
      <w:r w:rsidRPr="008B483D">
        <w:rPr>
          <w:rFonts w:ascii="Book Antiqua" w:hAnsi="Book Antiqua"/>
          <w:sz w:val="24"/>
          <w:szCs w:val="24"/>
        </w:rPr>
        <w:t xml:space="preserve">Proxy Advisors shall share their report with its clients and the company at the same time. </w:t>
      </w:r>
    </w:p>
    <w:p w14:paraId="6FB70171" w14:textId="77777777" w:rsidR="003847AD" w:rsidRPr="008B483D" w:rsidRDefault="003847AD" w:rsidP="003847AD">
      <w:pPr>
        <w:pStyle w:val="ListParagraph"/>
        <w:numPr>
          <w:ilvl w:val="0"/>
          <w:numId w:val="34"/>
        </w:numPr>
        <w:ind w:right="380"/>
        <w:rPr>
          <w:rFonts w:ascii="Book Antiqua" w:hAnsi="Book Antiqua"/>
          <w:sz w:val="24"/>
          <w:szCs w:val="24"/>
        </w:rPr>
      </w:pPr>
      <w:r w:rsidRPr="008B483D">
        <w:rPr>
          <w:rFonts w:ascii="Book Antiqua" w:hAnsi="Book Antiqua"/>
          <w:sz w:val="24"/>
          <w:szCs w:val="24"/>
        </w:rPr>
        <w:t xml:space="preserve">This sharing policy should be disclosed by proxy advisors on their website. </w:t>
      </w:r>
    </w:p>
    <w:p w14:paraId="77812F7F" w14:textId="77777777" w:rsidR="003847AD" w:rsidRPr="008B483D" w:rsidRDefault="003847AD" w:rsidP="003847AD">
      <w:pPr>
        <w:pStyle w:val="ListParagraph"/>
        <w:numPr>
          <w:ilvl w:val="0"/>
          <w:numId w:val="34"/>
        </w:numPr>
        <w:ind w:right="380"/>
        <w:rPr>
          <w:rFonts w:ascii="Book Antiqua" w:hAnsi="Book Antiqua"/>
          <w:sz w:val="24"/>
          <w:szCs w:val="24"/>
        </w:rPr>
      </w:pPr>
      <w:r w:rsidRPr="008B483D">
        <w:rPr>
          <w:rFonts w:ascii="Book Antiqua" w:hAnsi="Book Antiqua"/>
          <w:sz w:val="24"/>
          <w:szCs w:val="24"/>
        </w:rPr>
        <w:t xml:space="preserve">Timeline to receive comments from company may be defined by proxy advisors and all comments/clarifications received from the company, within timeline, shall be included as an addendum to the report. </w:t>
      </w:r>
    </w:p>
    <w:p w14:paraId="25B45E7D" w14:textId="691EA33B" w:rsidR="003847AD" w:rsidRPr="008B483D" w:rsidRDefault="003847AD" w:rsidP="003847AD">
      <w:pPr>
        <w:ind w:right="380"/>
        <w:jc w:val="both"/>
        <w:rPr>
          <w:rFonts w:ascii="Book Antiqua" w:hAnsi="Book Antiqua"/>
          <w:sz w:val="24"/>
          <w:szCs w:val="24"/>
        </w:rPr>
      </w:pPr>
      <w:r w:rsidRPr="008B483D">
        <w:rPr>
          <w:rFonts w:ascii="Book Antiqua" w:hAnsi="Book Antiqua"/>
          <w:b/>
          <w:bCs/>
          <w:sz w:val="24"/>
          <w:szCs w:val="24"/>
          <w:u w:val="single"/>
        </w:rPr>
        <w:t>If the company has a different viewpoint on the recommendations stated in the report</w:t>
      </w:r>
      <w:r w:rsidRPr="008B483D">
        <w:rPr>
          <w:rFonts w:ascii="Book Antiqua" w:hAnsi="Book Antiqua"/>
          <w:sz w:val="24"/>
          <w:szCs w:val="24"/>
        </w:rPr>
        <w:t xml:space="preserve"> of the proxy advisors, then proxy advisors, after taking into account the said viewpoint, may either revise the recommendation in the addendum report or issue an addendum to the report with its remarks, as considered appropriate.</w:t>
      </w:r>
    </w:p>
    <w:p w14:paraId="5768ECB1" w14:textId="6F4D2F78" w:rsidR="00985B01" w:rsidRPr="008B483D" w:rsidRDefault="00985B01" w:rsidP="003847AD">
      <w:pPr>
        <w:ind w:right="380"/>
        <w:jc w:val="both"/>
        <w:rPr>
          <w:rFonts w:ascii="Book Antiqua" w:hAnsi="Book Antiqua"/>
          <w:sz w:val="24"/>
          <w:szCs w:val="24"/>
        </w:rPr>
      </w:pPr>
    </w:p>
    <w:p w14:paraId="7F230161" w14:textId="497DCE40" w:rsidR="00985B01" w:rsidRPr="008B483D" w:rsidRDefault="00985B01" w:rsidP="003847AD">
      <w:pPr>
        <w:ind w:right="380"/>
        <w:jc w:val="both"/>
        <w:rPr>
          <w:rFonts w:ascii="Book Antiqua" w:hAnsi="Book Antiqua"/>
          <w:b/>
          <w:bCs/>
          <w:sz w:val="24"/>
          <w:szCs w:val="24"/>
        </w:rPr>
      </w:pPr>
      <w:r w:rsidRPr="008B483D">
        <w:rPr>
          <w:rFonts w:ascii="Book Antiqua" w:hAnsi="Book Antiqua"/>
          <w:b/>
          <w:bCs/>
          <w:sz w:val="24"/>
          <w:szCs w:val="24"/>
        </w:rPr>
        <w:t xml:space="preserve">6. </w:t>
      </w:r>
      <w:r w:rsidR="00421951" w:rsidRPr="008B483D">
        <w:rPr>
          <w:rFonts w:ascii="Book Antiqua" w:hAnsi="Book Antiqua"/>
          <w:b/>
          <w:bCs/>
          <w:sz w:val="24"/>
          <w:szCs w:val="24"/>
        </w:rPr>
        <w:t>disclose in recommendations</w:t>
      </w:r>
    </w:p>
    <w:p w14:paraId="7A5E40CB" w14:textId="4DB82241" w:rsidR="00421951" w:rsidRPr="008B483D" w:rsidRDefault="00421951" w:rsidP="003847AD">
      <w:pPr>
        <w:ind w:right="380"/>
        <w:jc w:val="both"/>
        <w:rPr>
          <w:rFonts w:ascii="Book Antiqua" w:hAnsi="Book Antiqua"/>
          <w:sz w:val="24"/>
          <w:szCs w:val="24"/>
        </w:rPr>
      </w:pPr>
      <w:r w:rsidRPr="008B483D">
        <w:rPr>
          <w:rFonts w:ascii="Book Antiqua" w:hAnsi="Book Antiqua"/>
          <w:sz w:val="24"/>
          <w:szCs w:val="24"/>
        </w:rPr>
        <w:t>Proxy Advisors shall clearly disclose in their recommendations the legal requirement vis-a-vis higher standard they are suggesting if any, and the rationale behind the recommendation of higher standards</w:t>
      </w:r>
    </w:p>
    <w:p w14:paraId="2C070922" w14:textId="24F617F3" w:rsidR="00421951" w:rsidRPr="008B483D" w:rsidRDefault="00421951" w:rsidP="003847AD">
      <w:pPr>
        <w:ind w:right="380"/>
        <w:jc w:val="both"/>
        <w:rPr>
          <w:rFonts w:ascii="Book Antiqua" w:hAnsi="Book Antiqua"/>
          <w:sz w:val="24"/>
          <w:szCs w:val="24"/>
        </w:rPr>
      </w:pPr>
    </w:p>
    <w:p w14:paraId="10017A68" w14:textId="07D2DEA8" w:rsidR="00421951" w:rsidRPr="008B483D" w:rsidRDefault="00421951" w:rsidP="003847AD">
      <w:pPr>
        <w:ind w:right="380"/>
        <w:jc w:val="both"/>
        <w:rPr>
          <w:rFonts w:ascii="Book Antiqua" w:hAnsi="Book Antiqua"/>
          <w:b/>
          <w:bCs/>
          <w:sz w:val="24"/>
          <w:szCs w:val="24"/>
        </w:rPr>
      </w:pPr>
      <w:r w:rsidRPr="008B483D">
        <w:rPr>
          <w:rFonts w:ascii="Book Antiqua" w:hAnsi="Book Antiqua"/>
          <w:b/>
          <w:bCs/>
          <w:sz w:val="24"/>
          <w:szCs w:val="24"/>
        </w:rPr>
        <w:t xml:space="preserve">7. </w:t>
      </w:r>
      <w:r w:rsidRPr="008B483D">
        <w:rPr>
          <w:rFonts w:ascii="Book Antiqua" w:hAnsi="Book Antiqua"/>
          <w:b/>
          <w:bCs/>
          <w:sz w:val="24"/>
          <w:szCs w:val="24"/>
        </w:rPr>
        <w:t>disclos</w:t>
      </w:r>
      <w:r w:rsidRPr="008B483D">
        <w:rPr>
          <w:rFonts w:ascii="Book Antiqua" w:hAnsi="Book Antiqua"/>
          <w:b/>
          <w:bCs/>
          <w:sz w:val="24"/>
          <w:szCs w:val="24"/>
        </w:rPr>
        <w:t>ure of</w:t>
      </w:r>
      <w:r w:rsidRPr="008B483D">
        <w:rPr>
          <w:rFonts w:ascii="Book Antiqua" w:hAnsi="Book Antiqua"/>
          <w:b/>
          <w:bCs/>
          <w:sz w:val="24"/>
          <w:szCs w:val="24"/>
        </w:rPr>
        <w:t xml:space="preserve"> conflict of interest</w:t>
      </w:r>
    </w:p>
    <w:p w14:paraId="6E1FA988" w14:textId="77777777" w:rsidR="008A6E70" w:rsidRPr="008B483D" w:rsidRDefault="00421951" w:rsidP="008A6E70">
      <w:pPr>
        <w:pStyle w:val="ListParagraph"/>
        <w:numPr>
          <w:ilvl w:val="0"/>
          <w:numId w:val="35"/>
        </w:numPr>
        <w:ind w:right="380"/>
        <w:rPr>
          <w:rFonts w:ascii="Book Antiqua" w:hAnsi="Book Antiqua"/>
          <w:sz w:val="24"/>
          <w:szCs w:val="24"/>
        </w:rPr>
      </w:pPr>
      <w:r w:rsidRPr="008B483D">
        <w:rPr>
          <w:rFonts w:ascii="Book Antiqua" w:hAnsi="Book Antiqua"/>
          <w:sz w:val="24"/>
          <w:szCs w:val="24"/>
        </w:rPr>
        <w:t xml:space="preserve">Proxy Advisors shall disclose conflict of interest on every specific document where they are giving their advice. </w:t>
      </w:r>
    </w:p>
    <w:p w14:paraId="5A32D0A6" w14:textId="51601558" w:rsidR="00421951" w:rsidRPr="008B483D" w:rsidRDefault="00421951" w:rsidP="008A6E70">
      <w:pPr>
        <w:pStyle w:val="ListParagraph"/>
        <w:numPr>
          <w:ilvl w:val="0"/>
          <w:numId w:val="35"/>
        </w:numPr>
        <w:ind w:right="380"/>
        <w:rPr>
          <w:rFonts w:ascii="Book Antiqua" w:hAnsi="Book Antiqua"/>
          <w:sz w:val="24"/>
          <w:szCs w:val="24"/>
        </w:rPr>
      </w:pPr>
      <w:r w:rsidRPr="008B483D">
        <w:rPr>
          <w:rFonts w:ascii="Book Antiqua" w:hAnsi="Book Antiqua"/>
          <w:sz w:val="24"/>
          <w:szCs w:val="24"/>
        </w:rPr>
        <w:t>Further, the disclosures should especially address possible areas of potential conflict and the safeguards that have been put in place to mitigate possible conflicts of interest.</w:t>
      </w:r>
    </w:p>
    <w:p w14:paraId="028FA439" w14:textId="5B9BC299" w:rsidR="00421951" w:rsidRPr="008B483D" w:rsidRDefault="00421951" w:rsidP="003847AD">
      <w:pPr>
        <w:ind w:right="380"/>
        <w:jc w:val="both"/>
        <w:rPr>
          <w:rFonts w:ascii="Book Antiqua" w:hAnsi="Book Antiqua"/>
          <w:sz w:val="24"/>
          <w:szCs w:val="24"/>
        </w:rPr>
      </w:pPr>
    </w:p>
    <w:p w14:paraId="018541A7" w14:textId="403A1C02" w:rsidR="00421951" w:rsidRPr="008B483D" w:rsidRDefault="00421951" w:rsidP="0091030F">
      <w:pPr>
        <w:ind w:right="380"/>
        <w:jc w:val="both"/>
        <w:rPr>
          <w:rFonts w:ascii="Book Antiqua" w:hAnsi="Book Antiqua"/>
          <w:sz w:val="24"/>
          <w:szCs w:val="24"/>
        </w:rPr>
      </w:pPr>
      <w:r w:rsidRPr="008B483D">
        <w:rPr>
          <w:rFonts w:ascii="Book Antiqua" w:hAnsi="Book Antiqua"/>
          <w:sz w:val="24"/>
          <w:szCs w:val="24"/>
        </w:rPr>
        <w:t xml:space="preserve">8. </w:t>
      </w:r>
      <w:r w:rsidR="0091030F" w:rsidRPr="008B483D">
        <w:rPr>
          <w:rFonts w:ascii="Book Antiqua" w:hAnsi="Book Antiqua"/>
          <w:sz w:val="24"/>
          <w:szCs w:val="24"/>
        </w:rPr>
        <w:t>Proxy Advisors shall establish clear procedures to disclose, manage and/or mitigate any potential</w:t>
      </w:r>
      <w:r w:rsidR="0091030F" w:rsidRPr="008B483D">
        <w:rPr>
          <w:rFonts w:ascii="Book Antiqua" w:hAnsi="Book Antiqua"/>
          <w:sz w:val="24"/>
          <w:szCs w:val="24"/>
        </w:rPr>
        <w:t xml:space="preserve"> </w:t>
      </w:r>
      <w:r w:rsidR="0091030F" w:rsidRPr="008B483D">
        <w:rPr>
          <w:rFonts w:ascii="Book Antiqua" w:hAnsi="Book Antiqua"/>
          <w:sz w:val="24"/>
          <w:szCs w:val="24"/>
        </w:rPr>
        <w:t>conflicts of interest resulting from other business activities including consulting services, if any,</w:t>
      </w:r>
      <w:r w:rsidR="0091030F" w:rsidRPr="008B483D">
        <w:rPr>
          <w:rFonts w:ascii="Book Antiqua" w:hAnsi="Book Antiqua"/>
          <w:sz w:val="24"/>
          <w:szCs w:val="24"/>
        </w:rPr>
        <w:t xml:space="preserve"> </w:t>
      </w:r>
      <w:r w:rsidR="0091030F" w:rsidRPr="008B483D">
        <w:rPr>
          <w:rFonts w:ascii="Book Antiqua" w:hAnsi="Book Antiqua"/>
          <w:sz w:val="24"/>
          <w:szCs w:val="24"/>
        </w:rPr>
        <w:t>undertaken by them and disclose the same to clients.</w:t>
      </w:r>
    </w:p>
    <w:p w14:paraId="10384F53" w14:textId="77777777" w:rsidR="00033642" w:rsidRPr="00421951" w:rsidRDefault="00033642" w:rsidP="003847AD">
      <w:pPr>
        <w:ind w:right="380"/>
        <w:jc w:val="both"/>
        <w:rPr>
          <w:rFonts w:ascii="Book Antiqua" w:hAnsi="Book Antiqua"/>
          <w:i/>
          <w:iCs/>
          <w:sz w:val="24"/>
          <w:szCs w:val="24"/>
        </w:rPr>
      </w:pPr>
    </w:p>
    <w:p w14:paraId="674EA42E" w14:textId="78452D14" w:rsidR="00D8062E" w:rsidRDefault="001825C9" w:rsidP="003847AD">
      <w:pPr>
        <w:ind w:right="380"/>
        <w:jc w:val="both"/>
        <w:rPr>
          <w:rFonts w:ascii="Book Antiqua" w:hAnsi="Book Antiqua"/>
          <w:sz w:val="24"/>
          <w:szCs w:val="24"/>
        </w:rPr>
      </w:pPr>
      <w:r w:rsidRPr="00A813CC">
        <w:rPr>
          <w:rFonts w:ascii="Book Antiqua" w:hAnsi="Book Antiqua"/>
          <w:b/>
          <w:bCs/>
          <w:sz w:val="24"/>
          <w:szCs w:val="24"/>
          <w:u w:val="single"/>
        </w:rPr>
        <w:t>Link of the Circular:</w:t>
      </w:r>
      <w:r w:rsidRPr="00A813CC">
        <w:rPr>
          <w:rFonts w:ascii="Book Antiqua" w:hAnsi="Book Antiqua"/>
          <w:sz w:val="24"/>
          <w:szCs w:val="24"/>
        </w:rPr>
        <w:t xml:space="preserve"> </w:t>
      </w:r>
    </w:p>
    <w:p w14:paraId="10DF4451" w14:textId="452EDD5C" w:rsidR="008E2705" w:rsidRPr="00A813CC" w:rsidRDefault="00286BFC" w:rsidP="003847AD">
      <w:pPr>
        <w:ind w:right="380"/>
        <w:jc w:val="both"/>
        <w:rPr>
          <w:rFonts w:ascii="Book Antiqua" w:hAnsi="Book Antiqua"/>
          <w:sz w:val="24"/>
          <w:szCs w:val="24"/>
        </w:rPr>
      </w:pPr>
      <w:hyperlink r:id="rId7" w:history="1">
        <w:r w:rsidR="008E2705" w:rsidRPr="0060284E">
          <w:rPr>
            <w:rStyle w:val="Hyperlink"/>
            <w:rFonts w:ascii="Book Antiqua" w:hAnsi="Book Antiqua"/>
            <w:sz w:val="24"/>
            <w:szCs w:val="24"/>
          </w:rPr>
          <w:t>https://www.sebi.gov.in/legal/circulars/aug-2020/procedural-guidelines-for-proxy-advisors_47250.html</w:t>
        </w:r>
      </w:hyperlink>
      <w:r w:rsidR="008E2705">
        <w:rPr>
          <w:rFonts w:ascii="Book Antiqua" w:hAnsi="Book Antiqua"/>
          <w:sz w:val="24"/>
          <w:szCs w:val="24"/>
        </w:rPr>
        <w:t xml:space="preserve"> </w:t>
      </w:r>
    </w:p>
    <w:p w14:paraId="3F50BF32" w14:textId="77777777" w:rsidR="008E2705" w:rsidRDefault="008E2705" w:rsidP="003847AD">
      <w:pPr>
        <w:ind w:right="380"/>
        <w:jc w:val="both"/>
      </w:pPr>
    </w:p>
    <w:p w14:paraId="0366BA57" w14:textId="056CF070" w:rsidR="00CE6DDF" w:rsidRPr="00CE6DDF" w:rsidRDefault="00CE6DDF" w:rsidP="003847AD">
      <w:pPr>
        <w:ind w:right="380"/>
        <w:jc w:val="both"/>
        <w:rPr>
          <w:rFonts w:ascii="Palatino Linotype" w:hAnsi="Palatino Linotype"/>
          <w:b/>
          <w:bCs/>
          <w:sz w:val="28"/>
          <w:szCs w:val="28"/>
          <w:u w:val="single"/>
        </w:rPr>
      </w:pPr>
      <w:r w:rsidRPr="00CE6DDF">
        <w:rPr>
          <w:rFonts w:ascii="Palatino Linotype" w:hAnsi="Palatino Linotype"/>
          <w:b/>
          <w:bCs/>
          <w:sz w:val="28"/>
          <w:szCs w:val="28"/>
          <w:u w:val="single"/>
        </w:rPr>
        <w:lastRenderedPageBreak/>
        <w:t>Disclaimer:</w:t>
      </w:r>
    </w:p>
    <w:p w14:paraId="2E16AFE0" w14:textId="77777777" w:rsidR="00CE6DDF" w:rsidRPr="00CE6DDF" w:rsidRDefault="00CE6DDF" w:rsidP="003847AD">
      <w:pPr>
        <w:ind w:right="380"/>
        <w:jc w:val="both"/>
        <w:rPr>
          <w:b/>
          <w:bCs/>
          <w:sz w:val="28"/>
          <w:szCs w:val="28"/>
          <w:u w:val="single"/>
        </w:rPr>
      </w:pPr>
    </w:p>
    <w:p w14:paraId="65499F0E" w14:textId="278BA08D" w:rsidR="00DA30AB" w:rsidRDefault="00CE6DDF" w:rsidP="003847AD">
      <w:pPr>
        <w:ind w:right="380"/>
        <w:jc w:val="both"/>
        <w:rPr>
          <w:rFonts w:ascii="Palatino Linotype" w:hAnsi="Palatino Linotype"/>
          <w:i/>
          <w:iCs/>
          <w:sz w:val="20"/>
          <w:szCs w:val="20"/>
        </w:rPr>
      </w:pPr>
      <w:r w:rsidRPr="00C7361E">
        <w:rPr>
          <w:rFonts w:ascii="Palatino Linotype" w:hAnsi="Palatino Linotype"/>
          <w:i/>
          <w:iCs/>
          <w:sz w:val="20"/>
          <w:szCs w:val="20"/>
        </w:rPr>
        <w:t>IN NO EVENT THE AUTHOR SHALL BE LIABLE FOR ANY DIRECT, INDIRECT, SPECIAL OR INCIDENTAL DAMAGE RESULTING FROM OR ARISING OUT OF OR IN CONNECTION WITH THE USE OF THIS INFORMATION.</w:t>
      </w:r>
    </w:p>
    <w:p w14:paraId="329B0A5B" w14:textId="00E90354" w:rsidR="005E435F" w:rsidRDefault="005E435F" w:rsidP="003847AD">
      <w:pPr>
        <w:ind w:right="380"/>
        <w:jc w:val="both"/>
        <w:rPr>
          <w:rFonts w:ascii="Palatino Linotype" w:hAnsi="Palatino Linotype"/>
          <w:i/>
          <w:iCs/>
          <w:sz w:val="20"/>
          <w:szCs w:val="20"/>
        </w:rPr>
      </w:pPr>
    </w:p>
    <w:sectPr w:rsidR="005E435F" w:rsidSect="001535F6">
      <w:headerReference w:type="default" r:id="rId8"/>
      <w:footerReference w:type="default" r:id="rId9"/>
      <w:pgSz w:w="12240" w:h="15840"/>
      <w:pgMar w:top="1080" w:right="780" w:bottom="1060" w:left="1720" w:header="667"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044A95" w14:textId="77777777" w:rsidR="00286BFC" w:rsidRDefault="00286BFC">
      <w:r>
        <w:separator/>
      </w:r>
    </w:p>
  </w:endnote>
  <w:endnote w:type="continuationSeparator" w:id="0">
    <w:p w14:paraId="0AC4847F" w14:textId="77777777" w:rsidR="00286BFC" w:rsidRDefault="00286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A6807" w14:textId="5438B5C0" w:rsidR="00A4249E" w:rsidRDefault="00A4249E">
    <w:pPr>
      <w:pStyle w:val="BodyText"/>
      <w:spacing w:line="14" w:lineRule="auto"/>
      <w:rPr>
        <w:sz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05473" w14:textId="77777777" w:rsidR="00286BFC" w:rsidRDefault="00286BFC">
      <w:r>
        <w:separator/>
      </w:r>
    </w:p>
  </w:footnote>
  <w:footnote w:type="continuationSeparator" w:id="0">
    <w:p w14:paraId="56C7578B" w14:textId="77777777" w:rsidR="00286BFC" w:rsidRDefault="00286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67D8C" w14:textId="77777777" w:rsidR="00A4249E" w:rsidRDefault="00A424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70D0"/>
    <w:multiLevelType w:val="hybridMultilevel"/>
    <w:tmpl w:val="DE90B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664F55"/>
    <w:multiLevelType w:val="hybridMultilevel"/>
    <w:tmpl w:val="4EC6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A7678"/>
    <w:multiLevelType w:val="hybridMultilevel"/>
    <w:tmpl w:val="48EAA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42321"/>
    <w:multiLevelType w:val="hybridMultilevel"/>
    <w:tmpl w:val="0442A6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60808"/>
    <w:multiLevelType w:val="hybridMultilevel"/>
    <w:tmpl w:val="994EC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D688B"/>
    <w:multiLevelType w:val="hybridMultilevel"/>
    <w:tmpl w:val="EBB4F8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48A"/>
    <w:multiLevelType w:val="hybridMultilevel"/>
    <w:tmpl w:val="E48081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04897"/>
    <w:multiLevelType w:val="hybridMultilevel"/>
    <w:tmpl w:val="0D862810"/>
    <w:lvl w:ilvl="0" w:tplc="498A98BC">
      <w:start w:val="1"/>
      <w:numFmt w:val="decimal"/>
      <w:lvlText w:val="%1."/>
      <w:lvlJc w:val="left"/>
      <w:pPr>
        <w:ind w:left="345" w:hanging="249"/>
      </w:pPr>
      <w:rPr>
        <w:rFonts w:ascii="Arial" w:eastAsia="Arial" w:hAnsi="Arial" w:cs="Arial" w:hint="default"/>
        <w:spacing w:val="-2"/>
        <w:w w:val="102"/>
        <w:sz w:val="22"/>
        <w:szCs w:val="22"/>
        <w:lang w:val="en-US" w:eastAsia="en-US" w:bidi="en-US"/>
      </w:rPr>
    </w:lvl>
    <w:lvl w:ilvl="1" w:tplc="CC5213D0">
      <w:numFmt w:val="bullet"/>
      <w:lvlText w:val="•"/>
      <w:lvlJc w:val="left"/>
      <w:pPr>
        <w:ind w:left="611" w:hanging="249"/>
      </w:pPr>
      <w:rPr>
        <w:rFonts w:hint="default"/>
        <w:lang w:val="en-US" w:eastAsia="en-US" w:bidi="en-US"/>
      </w:rPr>
    </w:lvl>
    <w:lvl w:ilvl="2" w:tplc="999A1012">
      <w:numFmt w:val="bullet"/>
      <w:lvlText w:val="•"/>
      <w:lvlJc w:val="left"/>
      <w:pPr>
        <w:ind w:left="882" w:hanging="249"/>
      </w:pPr>
      <w:rPr>
        <w:rFonts w:hint="default"/>
        <w:lang w:val="en-US" w:eastAsia="en-US" w:bidi="en-US"/>
      </w:rPr>
    </w:lvl>
    <w:lvl w:ilvl="3" w:tplc="C7DE278A">
      <w:numFmt w:val="bullet"/>
      <w:lvlText w:val="•"/>
      <w:lvlJc w:val="left"/>
      <w:pPr>
        <w:ind w:left="1153" w:hanging="249"/>
      </w:pPr>
      <w:rPr>
        <w:rFonts w:hint="default"/>
        <w:lang w:val="en-US" w:eastAsia="en-US" w:bidi="en-US"/>
      </w:rPr>
    </w:lvl>
    <w:lvl w:ilvl="4" w:tplc="1E700098">
      <w:numFmt w:val="bullet"/>
      <w:lvlText w:val="•"/>
      <w:lvlJc w:val="left"/>
      <w:pPr>
        <w:ind w:left="1424" w:hanging="249"/>
      </w:pPr>
      <w:rPr>
        <w:rFonts w:hint="default"/>
        <w:lang w:val="en-US" w:eastAsia="en-US" w:bidi="en-US"/>
      </w:rPr>
    </w:lvl>
    <w:lvl w:ilvl="5" w:tplc="330E0CCA">
      <w:numFmt w:val="bullet"/>
      <w:lvlText w:val="•"/>
      <w:lvlJc w:val="left"/>
      <w:pPr>
        <w:ind w:left="1696" w:hanging="249"/>
      </w:pPr>
      <w:rPr>
        <w:rFonts w:hint="default"/>
        <w:lang w:val="en-US" w:eastAsia="en-US" w:bidi="en-US"/>
      </w:rPr>
    </w:lvl>
    <w:lvl w:ilvl="6" w:tplc="E9CCC57C">
      <w:numFmt w:val="bullet"/>
      <w:lvlText w:val="•"/>
      <w:lvlJc w:val="left"/>
      <w:pPr>
        <w:ind w:left="1967" w:hanging="249"/>
      </w:pPr>
      <w:rPr>
        <w:rFonts w:hint="default"/>
        <w:lang w:val="en-US" w:eastAsia="en-US" w:bidi="en-US"/>
      </w:rPr>
    </w:lvl>
    <w:lvl w:ilvl="7" w:tplc="B64E6B9C">
      <w:numFmt w:val="bullet"/>
      <w:lvlText w:val="•"/>
      <w:lvlJc w:val="left"/>
      <w:pPr>
        <w:ind w:left="2238" w:hanging="249"/>
      </w:pPr>
      <w:rPr>
        <w:rFonts w:hint="default"/>
        <w:lang w:val="en-US" w:eastAsia="en-US" w:bidi="en-US"/>
      </w:rPr>
    </w:lvl>
    <w:lvl w:ilvl="8" w:tplc="D9F40E0E">
      <w:numFmt w:val="bullet"/>
      <w:lvlText w:val="•"/>
      <w:lvlJc w:val="left"/>
      <w:pPr>
        <w:ind w:left="2509" w:hanging="249"/>
      </w:pPr>
      <w:rPr>
        <w:rFonts w:hint="default"/>
        <w:lang w:val="en-US" w:eastAsia="en-US" w:bidi="en-US"/>
      </w:rPr>
    </w:lvl>
  </w:abstractNum>
  <w:abstractNum w:abstractNumId="8" w15:restartNumberingAfterBreak="0">
    <w:nsid w:val="29A96685"/>
    <w:multiLevelType w:val="hybridMultilevel"/>
    <w:tmpl w:val="AF9C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5E5E8E"/>
    <w:multiLevelType w:val="hybridMultilevel"/>
    <w:tmpl w:val="B65A4A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21D5F"/>
    <w:multiLevelType w:val="hybridMultilevel"/>
    <w:tmpl w:val="09A678A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FAC7736"/>
    <w:multiLevelType w:val="hybridMultilevel"/>
    <w:tmpl w:val="38383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26246D"/>
    <w:multiLevelType w:val="hybridMultilevel"/>
    <w:tmpl w:val="4A669088"/>
    <w:lvl w:ilvl="0" w:tplc="3A36BB24">
      <w:start w:val="1"/>
      <w:numFmt w:val="decimal"/>
      <w:lvlText w:val="%1."/>
      <w:lvlJc w:val="left"/>
      <w:pPr>
        <w:ind w:left="345" w:hanging="249"/>
      </w:pPr>
      <w:rPr>
        <w:rFonts w:ascii="Arial" w:eastAsia="Arial" w:hAnsi="Arial" w:cs="Arial" w:hint="default"/>
        <w:spacing w:val="-2"/>
        <w:w w:val="102"/>
        <w:sz w:val="22"/>
        <w:szCs w:val="22"/>
        <w:lang w:val="en-US" w:eastAsia="en-US" w:bidi="en-US"/>
      </w:rPr>
    </w:lvl>
    <w:lvl w:ilvl="1" w:tplc="E3EA3A8A">
      <w:numFmt w:val="bullet"/>
      <w:lvlText w:val="•"/>
      <w:lvlJc w:val="left"/>
      <w:pPr>
        <w:ind w:left="611" w:hanging="249"/>
      </w:pPr>
      <w:rPr>
        <w:rFonts w:hint="default"/>
        <w:lang w:val="en-US" w:eastAsia="en-US" w:bidi="en-US"/>
      </w:rPr>
    </w:lvl>
    <w:lvl w:ilvl="2" w:tplc="3230C822">
      <w:numFmt w:val="bullet"/>
      <w:lvlText w:val="•"/>
      <w:lvlJc w:val="left"/>
      <w:pPr>
        <w:ind w:left="882" w:hanging="249"/>
      </w:pPr>
      <w:rPr>
        <w:rFonts w:hint="default"/>
        <w:lang w:val="en-US" w:eastAsia="en-US" w:bidi="en-US"/>
      </w:rPr>
    </w:lvl>
    <w:lvl w:ilvl="3" w:tplc="70F01514">
      <w:numFmt w:val="bullet"/>
      <w:lvlText w:val="•"/>
      <w:lvlJc w:val="left"/>
      <w:pPr>
        <w:ind w:left="1153" w:hanging="249"/>
      </w:pPr>
      <w:rPr>
        <w:rFonts w:hint="default"/>
        <w:lang w:val="en-US" w:eastAsia="en-US" w:bidi="en-US"/>
      </w:rPr>
    </w:lvl>
    <w:lvl w:ilvl="4" w:tplc="F9222CCC">
      <w:numFmt w:val="bullet"/>
      <w:lvlText w:val="•"/>
      <w:lvlJc w:val="left"/>
      <w:pPr>
        <w:ind w:left="1424" w:hanging="249"/>
      </w:pPr>
      <w:rPr>
        <w:rFonts w:hint="default"/>
        <w:lang w:val="en-US" w:eastAsia="en-US" w:bidi="en-US"/>
      </w:rPr>
    </w:lvl>
    <w:lvl w:ilvl="5" w:tplc="EF784D26">
      <w:numFmt w:val="bullet"/>
      <w:lvlText w:val="•"/>
      <w:lvlJc w:val="left"/>
      <w:pPr>
        <w:ind w:left="1696" w:hanging="249"/>
      </w:pPr>
      <w:rPr>
        <w:rFonts w:hint="default"/>
        <w:lang w:val="en-US" w:eastAsia="en-US" w:bidi="en-US"/>
      </w:rPr>
    </w:lvl>
    <w:lvl w:ilvl="6" w:tplc="12885A64">
      <w:numFmt w:val="bullet"/>
      <w:lvlText w:val="•"/>
      <w:lvlJc w:val="left"/>
      <w:pPr>
        <w:ind w:left="1967" w:hanging="249"/>
      </w:pPr>
      <w:rPr>
        <w:rFonts w:hint="default"/>
        <w:lang w:val="en-US" w:eastAsia="en-US" w:bidi="en-US"/>
      </w:rPr>
    </w:lvl>
    <w:lvl w:ilvl="7" w:tplc="22A46626">
      <w:numFmt w:val="bullet"/>
      <w:lvlText w:val="•"/>
      <w:lvlJc w:val="left"/>
      <w:pPr>
        <w:ind w:left="2238" w:hanging="249"/>
      </w:pPr>
      <w:rPr>
        <w:rFonts w:hint="default"/>
        <w:lang w:val="en-US" w:eastAsia="en-US" w:bidi="en-US"/>
      </w:rPr>
    </w:lvl>
    <w:lvl w:ilvl="8" w:tplc="30BC1728">
      <w:numFmt w:val="bullet"/>
      <w:lvlText w:val="•"/>
      <w:lvlJc w:val="left"/>
      <w:pPr>
        <w:ind w:left="2509" w:hanging="249"/>
      </w:pPr>
      <w:rPr>
        <w:rFonts w:hint="default"/>
        <w:lang w:val="en-US" w:eastAsia="en-US" w:bidi="en-US"/>
      </w:rPr>
    </w:lvl>
  </w:abstractNum>
  <w:abstractNum w:abstractNumId="13" w15:restartNumberingAfterBreak="0">
    <w:nsid w:val="45311A66"/>
    <w:multiLevelType w:val="hybridMultilevel"/>
    <w:tmpl w:val="C94C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261141"/>
    <w:multiLevelType w:val="hybridMultilevel"/>
    <w:tmpl w:val="4D7CF522"/>
    <w:lvl w:ilvl="0" w:tplc="E1C86500">
      <w:start w:val="1"/>
      <w:numFmt w:val="decimal"/>
      <w:lvlText w:val="%1."/>
      <w:lvlJc w:val="left"/>
      <w:pPr>
        <w:ind w:left="345" w:hanging="248"/>
      </w:pPr>
      <w:rPr>
        <w:rFonts w:ascii="Arial" w:eastAsia="Arial" w:hAnsi="Arial" w:cs="Arial" w:hint="default"/>
        <w:spacing w:val="-4"/>
        <w:w w:val="102"/>
        <w:sz w:val="22"/>
        <w:szCs w:val="22"/>
        <w:lang w:val="en-US" w:eastAsia="en-US" w:bidi="en-US"/>
      </w:rPr>
    </w:lvl>
    <w:lvl w:ilvl="1" w:tplc="29B432B0">
      <w:numFmt w:val="bullet"/>
      <w:lvlText w:val="•"/>
      <w:lvlJc w:val="left"/>
      <w:pPr>
        <w:ind w:left="478" w:hanging="248"/>
      </w:pPr>
      <w:rPr>
        <w:rFonts w:hint="default"/>
        <w:lang w:val="en-US" w:eastAsia="en-US" w:bidi="en-US"/>
      </w:rPr>
    </w:lvl>
    <w:lvl w:ilvl="2" w:tplc="D8DAB5F2">
      <w:numFmt w:val="bullet"/>
      <w:lvlText w:val="•"/>
      <w:lvlJc w:val="left"/>
      <w:pPr>
        <w:ind w:left="616" w:hanging="248"/>
      </w:pPr>
      <w:rPr>
        <w:rFonts w:hint="default"/>
        <w:lang w:val="en-US" w:eastAsia="en-US" w:bidi="en-US"/>
      </w:rPr>
    </w:lvl>
    <w:lvl w:ilvl="3" w:tplc="89120622">
      <w:numFmt w:val="bullet"/>
      <w:lvlText w:val="•"/>
      <w:lvlJc w:val="left"/>
      <w:pPr>
        <w:ind w:left="754" w:hanging="248"/>
      </w:pPr>
      <w:rPr>
        <w:rFonts w:hint="default"/>
        <w:lang w:val="en-US" w:eastAsia="en-US" w:bidi="en-US"/>
      </w:rPr>
    </w:lvl>
    <w:lvl w:ilvl="4" w:tplc="8C04219A">
      <w:numFmt w:val="bullet"/>
      <w:lvlText w:val="•"/>
      <w:lvlJc w:val="left"/>
      <w:pPr>
        <w:ind w:left="893" w:hanging="248"/>
      </w:pPr>
      <w:rPr>
        <w:rFonts w:hint="default"/>
        <w:lang w:val="en-US" w:eastAsia="en-US" w:bidi="en-US"/>
      </w:rPr>
    </w:lvl>
    <w:lvl w:ilvl="5" w:tplc="6F4A0A18">
      <w:numFmt w:val="bullet"/>
      <w:lvlText w:val="•"/>
      <w:lvlJc w:val="left"/>
      <w:pPr>
        <w:ind w:left="1031" w:hanging="248"/>
      </w:pPr>
      <w:rPr>
        <w:rFonts w:hint="default"/>
        <w:lang w:val="en-US" w:eastAsia="en-US" w:bidi="en-US"/>
      </w:rPr>
    </w:lvl>
    <w:lvl w:ilvl="6" w:tplc="AA46CA10">
      <w:numFmt w:val="bullet"/>
      <w:lvlText w:val="•"/>
      <w:lvlJc w:val="left"/>
      <w:pPr>
        <w:ind w:left="1169" w:hanging="248"/>
      </w:pPr>
      <w:rPr>
        <w:rFonts w:hint="default"/>
        <w:lang w:val="en-US" w:eastAsia="en-US" w:bidi="en-US"/>
      </w:rPr>
    </w:lvl>
    <w:lvl w:ilvl="7" w:tplc="79F04CC0">
      <w:numFmt w:val="bullet"/>
      <w:lvlText w:val="•"/>
      <w:lvlJc w:val="left"/>
      <w:pPr>
        <w:ind w:left="1308" w:hanging="248"/>
      </w:pPr>
      <w:rPr>
        <w:rFonts w:hint="default"/>
        <w:lang w:val="en-US" w:eastAsia="en-US" w:bidi="en-US"/>
      </w:rPr>
    </w:lvl>
    <w:lvl w:ilvl="8" w:tplc="ECC4D144">
      <w:numFmt w:val="bullet"/>
      <w:lvlText w:val="•"/>
      <w:lvlJc w:val="left"/>
      <w:pPr>
        <w:ind w:left="1446" w:hanging="248"/>
      </w:pPr>
      <w:rPr>
        <w:rFonts w:hint="default"/>
        <w:lang w:val="en-US" w:eastAsia="en-US" w:bidi="en-US"/>
      </w:rPr>
    </w:lvl>
  </w:abstractNum>
  <w:abstractNum w:abstractNumId="15" w15:restartNumberingAfterBreak="0">
    <w:nsid w:val="4B485249"/>
    <w:multiLevelType w:val="hybridMultilevel"/>
    <w:tmpl w:val="E3DAE7D8"/>
    <w:lvl w:ilvl="0" w:tplc="1012092E">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9C90E672">
      <w:numFmt w:val="bullet"/>
      <w:lvlText w:val="•"/>
      <w:lvlJc w:val="left"/>
      <w:pPr>
        <w:ind w:left="262" w:hanging="250"/>
      </w:pPr>
      <w:rPr>
        <w:rFonts w:hint="default"/>
        <w:lang w:val="en-US" w:eastAsia="en-US" w:bidi="en-US"/>
      </w:rPr>
    </w:lvl>
    <w:lvl w:ilvl="2" w:tplc="699616BA">
      <w:numFmt w:val="bullet"/>
      <w:lvlText w:val="•"/>
      <w:lvlJc w:val="left"/>
      <w:pPr>
        <w:ind w:left="424" w:hanging="250"/>
      </w:pPr>
      <w:rPr>
        <w:rFonts w:hint="default"/>
        <w:lang w:val="en-US" w:eastAsia="en-US" w:bidi="en-US"/>
      </w:rPr>
    </w:lvl>
    <w:lvl w:ilvl="3" w:tplc="5C04575C">
      <w:numFmt w:val="bullet"/>
      <w:lvlText w:val="•"/>
      <w:lvlJc w:val="left"/>
      <w:pPr>
        <w:ind w:left="586" w:hanging="250"/>
      </w:pPr>
      <w:rPr>
        <w:rFonts w:hint="default"/>
        <w:lang w:val="en-US" w:eastAsia="en-US" w:bidi="en-US"/>
      </w:rPr>
    </w:lvl>
    <w:lvl w:ilvl="4" w:tplc="DF3C8398">
      <w:numFmt w:val="bullet"/>
      <w:lvlText w:val="•"/>
      <w:lvlJc w:val="left"/>
      <w:pPr>
        <w:ind w:left="749" w:hanging="250"/>
      </w:pPr>
      <w:rPr>
        <w:rFonts w:hint="default"/>
        <w:lang w:val="en-US" w:eastAsia="en-US" w:bidi="en-US"/>
      </w:rPr>
    </w:lvl>
    <w:lvl w:ilvl="5" w:tplc="EB4AFD5A">
      <w:numFmt w:val="bullet"/>
      <w:lvlText w:val="•"/>
      <w:lvlJc w:val="left"/>
      <w:pPr>
        <w:ind w:left="911" w:hanging="250"/>
      </w:pPr>
      <w:rPr>
        <w:rFonts w:hint="default"/>
        <w:lang w:val="en-US" w:eastAsia="en-US" w:bidi="en-US"/>
      </w:rPr>
    </w:lvl>
    <w:lvl w:ilvl="6" w:tplc="E8B4D8B2">
      <w:numFmt w:val="bullet"/>
      <w:lvlText w:val="•"/>
      <w:lvlJc w:val="left"/>
      <w:pPr>
        <w:ind w:left="1073" w:hanging="250"/>
      </w:pPr>
      <w:rPr>
        <w:rFonts w:hint="default"/>
        <w:lang w:val="en-US" w:eastAsia="en-US" w:bidi="en-US"/>
      </w:rPr>
    </w:lvl>
    <w:lvl w:ilvl="7" w:tplc="B9023720">
      <w:numFmt w:val="bullet"/>
      <w:lvlText w:val="•"/>
      <w:lvlJc w:val="left"/>
      <w:pPr>
        <w:ind w:left="1236" w:hanging="250"/>
      </w:pPr>
      <w:rPr>
        <w:rFonts w:hint="default"/>
        <w:lang w:val="en-US" w:eastAsia="en-US" w:bidi="en-US"/>
      </w:rPr>
    </w:lvl>
    <w:lvl w:ilvl="8" w:tplc="284E82C0">
      <w:numFmt w:val="bullet"/>
      <w:lvlText w:val="•"/>
      <w:lvlJc w:val="left"/>
      <w:pPr>
        <w:ind w:left="1398" w:hanging="250"/>
      </w:pPr>
      <w:rPr>
        <w:rFonts w:hint="default"/>
        <w:lang w:val="en-US" w:eastAsia="en-US" w:bidi="en-US"/>
      </w:rPr>
    </w:lvl>
  </w:abstractNum>
  <w:abstractNum w:abstractNumId="16" w15:restartNumberingAfterBreak="0">
    <w:nsid w:val="4F860D35"/>
    <w:multiLevelType w:val="hybridMultilevel"/>
    <w:tmpl w:val="DDC4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B7568F"/>
    <w:multiLevelType w:val="hybridMultilevel"/>
    <w:tmpl w:val="FD94D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A55AB"/>
    <w:multiLevelType w:val="hybridMultilevel"/>
    <w:tmpl w:val="88CA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A5D94"/>
    <w:multiLevelType w:val="hybridMultilevel"/>
    <w:tmpl w:val="5370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361CC1"/>
    <w:multiLevelType w:val="hybridMultilevel"/>
    <w:tmpl w:val="9BF44B50"/>
    <w:lvl w:ilvl="0" w:tplc="CC5EB978">
      <w:start w:val="1"/>
      <w:numFmt w:val="decimal"/>
      <w:lvlText w:val="%1."/>
      <w:lvlJc w:val="left"/>
      <w:pPr>
        <w:ind w:left="495" w:hanging="338"/>
      </w:pPr>
      <w:rPr>
        <w:rFonts w:ascii="Arial" w:eastAsia="Arial" w:hAnsi="Arial" w:cs="Arial" w:hint="default"/>
        <w:spacing w:val="-2"/>
        <w:w w:val="102"/>
        <w:sz w:val="22"/>
        <w:szCs w:val="22"/>
        <w:lang w:val="en-US" w:eastAsia="en-US" w:bidi="en-US"/>
      </w:rPr>
    </w:lvl>
    <w:lvl w:ilvl="1" w:tplc="C2469F18">
      <w:start w:val="1"/>
      <w:numFmt w:val="decimal"/>
      <w:lvlText w:val="%1.%2."/>
      <w:lvlJc w:val="left"/>
      <w:pPr>
        <w:ind w:left="900" w:hanging="469"/>
      </w:pPr>
      <w:rPr>
        <w:rFonts w:ascii="Arial" w:eastAsia="Arial" w:hAnsi="Arial" w:cs="Arial" w:hint="default"/>
        <w:spacing w:val="-2"/>
        <w:w w:val="102"/>
        <w:sz w:val="22"/>
        <w:szCs w:val="22"/>
        <w:lang w:val="en-US" w:eastAsia="en-US" w:bidi="en-US"/>
      </w:rPr>
    </w:lvl>
    <w:lvl w:ilvl="2" w:tplc="0060A702">
      <w:numFmt w:val="bullet"/>
      <w:lvlText w:val="•"/>
      <w:lvlJc w:val="left"/>
      <w:pPr>
        <w:ind w:left="1882" w:hanging="469"/>
      </w:pPr>
      <w:rPr>
        <w:rFonts w:hint="default"/>
        <w:lang w:val="en-US" w:eastAsia="en-US" w:bidi="en-US"/>
      </w:rPr>
    </w:lvl>
    <w:lvl w:ilvl="3" w:tplc="79949D9E">
      <w:numFmt w:val="bullet"/>
      <w:lvlText w:val="•"/>
      <w:lvlJc w:val="left"/>
      <w:pPr>
        <w:ind w:left="2864" w:hanging="469"/>
      </w:pPr>
      <w:rPr>
        <w:rFonts w:hint="default"/>
        <w:lang w:val="en-US" w:eastAsia="en-US" w:bidi="en-US"/>
      </w:rPr>
    </w:lvl>
    <w:lvl w:ilvl="4" w:tplc="2F624376">
      <w:numFmt w:val="bullet"/>
      <w:lvlText w:val="•"/>
      <w:lvlJc w:val="left"/>
      <w:pPr>
        <w:ind w:left="3846" w:hanging="469"/>
      </w:pPr>
      <w:rPr>
        <w:rFonts w:hint="default"/>
        <w:lang w:val="en-US" w:eastAsia="en-US" w:bidi="en-US"/>
      </w:rPr>
    </w:lvl>
    <w:lvl w:ilvl="5" w:tplc="5D5AD6E8">
      <w:numFmt w:val="bullet"/>
      <w:lvlText w:val="•"/>
      <w:lvlJc w:val="left"/>
      <w:pPr>
        <w:ind w:left="4828" w:hanging="469"/>
      </w:pPr>
      <w:rPr>
        <w:rFonts w:hint="default"/>
        <w:lang w:val="en-US" w:eastAsia="en-US" w:bidi="en-US"/>
      </w:rPr>
    </w:lvl>
    <w:lvl w:ilvl="6" w:tplc="FC4A57C8">
      <w:numFmt w:val="bullet"/>
      <w:lvlText w:val="•"/>
      <w:lvlJc w:val="left"/>
      <w:pPr>
        <w:ind w:left="5811" w:hanging="469"/>
      </w:pPr>
      <w:rPr>
        <w:rFonts w:hint="default"/>
        <w:lang w:val="en-US" w:eastAsia="en-US" w:bidi="en-US"/>
      </w:rPr>
    </w:lvl>
    <w:lvl w:ilvl="7" w:tplc="FC58576C">
      <w:numFmt w:val="bullet"/>
      <w:lvlText w:val="•"/>
      <w:lvlJc w:val="left"/>
      <w:pPr>
        <w:ind w:left="6793" w:hanging="469"/>
      </w:pPr>
      <w:rPr>
        <w:rFonts w:hint="default"/>
        <w:lang w:val="en-US" w:eastAsia="en-US" w:bidi="en-US"/>
      </w:rPr>
    </w:lvl>
    <w:lvl w:ilvl="8" w:tplc="3AE26626">
      <w:numFmt w:val="bullet"/>
      <w:lvlText w:val="•"/>
      <w:lvlJc w:val="left"/>
      <w:pPr>
        <w:ind w:left="7775" w:hanging="469"/>
      </w:pPr>
      <w:rPr>
        <w:rFonts w:hint="default"/>
        <w:lang w:val="en-US" w:eastAsia="en-US" w:bidi="en-US"/>
      </w:rPr>
    </w:lvl>
  </w:abstractNum>
  <w:abstractNum w:abstractNumId="21" w15:restartNumberingAfterBreak="0">
    <w:nsid w:val="56BA733F"/>
    <w:multiLevelType w:val="hybridMultilevel"/>
    <w:tmpl w:val="1BE0D4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786947"/>
    <w:multiLevelType w:val="hybridMultilevel"/>
    <w:tmpl w:val="08808B1E"/>
    <w:lvl w:ilvl="0" w:tplc="8856B536">
      <w:start w:val="1"/>
      <w:numFmt w:val="decimal"/>
      <w:lvlText w:val="%1."/>
      <w:lvlJc w:val="left"/>
      <w:pPr>
        <w:ind w:left="557" w:hanging="401"/>
      </w:pPr>
      <w:rPr>
        <w:rFonts w:ascii="Arial" w:eastAsia="Arial" w:hAnsi="Arial" w:cs="Arial" w:hint="default"/>
        <w:spacing w:val="-2"/>
        <w:w w:val="102"/>
        <w:sz w:val="22"/>
        <w:szCs w:val="22"/>
        <w:lang w:val="en-US" w:eastAsia="en-US" w:bidi="en-US"/>
      </w:rPr>
    </w:lvl>
    <w:lvl w:ilvl="1" w:tplc="4E22C550">
      <w:start w:val="1"/>
      <w:numFmt w:val="decimal"/>
      <w:lvlText w:val="%1.%2."/>
      <w:lvlJc w:val="left"/>
      <w:pPr>
        <w:ind w:left="900" w:hanging="407"/>
      </w:pPr>
      <w:rPr>
        <w:rFonts w:ascii="Arial" w:eastAsia="Arial" w:hAnsi="Arial" w:cs="Arial" w:hint="default"/>
        <w:spacing w:val="-2"/>
        <w:w w:val="102"/>
        <w:sz w:val="22"/>
        <w:szCs w:val="22"/>
        <w:lang w:val="en-US" w:eastAsia="en-US" w:bidi="en-US"/>
      </w:rPr>
    </w:lvl>
    <w:lvl w:ilvl="2" w:tplc="21BA53A2">
      <w:numFmt w:val="bullet"/>
      <w:lvlText w:val="•"/>
      <w:lvlJc w:val="left"/>
      <w:pPr>
        <w:ind w:left="1882" w:hanging="407"/>
      </w:pPr>
      <w:rPr>
        <w:rFonts w:hint="default"/>
        <w:lang w:val="en-US" w:eastAsia="en-US" w:bidi="en-US"/>
      </w:rPr>
    </w:lvl>
    <w:lvl w:ilvl="3" w:tplc="D466F5FC">
      <w:numFmt w:val="bullet"/>
      <w:lvlText w:val="•"/>
      <w:lvlJc w:val="left"/>
      <w:pPr>
        <w:ind w:left="2864" w:hanging="407"/>
      </w:pPr>
      <w:rPr>
        <w:rFonts w:hint="default"/>
        <w:lang w:val="en-US" w:eastAsia="en-US" w:bidi="en-US"/>
      </w:rPr>
    </w:lvl>
    <w:lvl w:ilvl="4" w:tplc="8B1405A8">
      <w:numFmt w:val="bullet"/>
      <w:lvlText w:val="•"/>
      <w:lvlJc w:val="left"/>
      <w:pPr>
        <w:ind w:left="3846" w:hanging="407"/>
      </w:pPr>
      <w:rPr>
        <w:rFonts w:hint="default"/>
        <w:lang w:val="en-US" w:eastAsia="en-US" w:bidi="en-US"/>
      </w:rPr>
    </w:lvl>
    <w:lvl w:ilvl="5" w:tplc="72327D0A">
      <w:numFmt w:val="bullet"/>
      <w:lvlText w:val="•"/>
      <w:lvlJc w:val="left"/>
      <w:pPr>
        <w:ind w:left="4828" w:hanging="407"/>
      </w:pPr>
      <w:rPr>
        <w:rFonts w:hint="default"/>
        <w:lang w:val="en-US" w:eastAsia="en-US" w:bidi="en-US"/>
      </w:rPr>
    </w:lvl>
    <w:lvl w:ilvl="6" w:tplc="5C08239C">
      <w:numFmt w:val="bullet"/>
      <w:lvlText w:val="•"/>
      <w:lvlJc w:val="left"/>
      <w:pPr>
        <w:ind w:left="5811" w:hanging="407"/>
      </w:pPr>
      <w:rPr>
        <w:rFonts w:hint="default"/>
        <w:lang w:val="en-US" w:eastAsia="en-US" w:bidi="en-US"/>
      </w:rPr>
    </w:lvl>
    <w:lvl w:ilvl="7" w:tplc="825A2B68">
      <w:numFmt w:val="bullet"/>
      <w:lvlText w:val="•"/>
      <w:lvlJc w:val="left"/>
      <w:pPr>
        <w:ind w:left="6793" w:hanging="407"/>
      </w:pPr>
      <w:rPr>
        <w:rFonts w:hint="default"/>
        <w:lang w:val="en-US" w:eastAsia="en-US" w:bidi="en-US"/>
      </w:rPr>
    </w:lvl>
    <w:lvl w:ilvl="8" w:tplc="B80C30CE">
      <w:numFmt w:val="bullet"/>
      <w:lvlText w:val="•"/>
      <w:lvlJc w:val="left"/>
      <w:pPr>
        <w:ind w:left="7775" w:hanging="407"/>
      </w:pPr>
      <w:rPr>
        <w:rFonts w:hint="default"/>
        <w:lang w:val="en-US" w:eastAsia="en-US" w:bidi="en-US"/>
      </w:rPr>
    </w:lvl>
  </w:abstractNum>
  <w:abstractNum w:abstractNumId="23" w15:restartNumberingAfterBreak="0">
    <w:nsid w:val="5F446CFA"/>
    <w:multiLevelType w:val="hybridMultilevel"/>
    <w:tmpl w:val="F7DEA05A"/>
    <w:lvl w:ilvl="0" w:tplc="34DC47CE">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16644476">
      <w:numFmt w:val="bullet"/>
      <w:lvlText w:val="•"/>
      <w:lvlJc w:val="left"/>
      <w:pPr>
        <w:ind w:left="262" w:hanging="250"/>
      </w:pPr>
      <w:rPr>
        <w:rFonts w:hint="default"/>
        <w:lang w:val="en-US" w:eastAsia="en-US" w:bidi="en-US"/>
      </w:rPr>
    </w:lvl>
    <w:lvl w:ilvl="2" w:tplc="D09209B8">
      <w:numFmt w:val="bullet"/>
      <w:lvlText w:val="•"/>
      <w:lvlJc w:val="left"/>
      <w:pPr>
        <w:ind w:left="424" w:hanging="250"/>
      </w:pPr>
      <w:rPr>
        <w:rFonts w:hint="default"/>
        <w:lang w:val="en-US" w:eastAsia="en-US" w:bidi="en-US"/>
      </w:rPr>
    </w:lvl>
    <w:lvl w:ilvl="3" w:tplc="59A2F2A6">
      <w:numFmt w:val="bullet"/>
      <w:lvlText w:val="•"/>
      <w:lvlJc w:val="left"/>
      <w:pPr>
        <w:ind w:left="586" w:hanging="250"/>
      </w:pPr>
      <w:rPr>
        <w:rFonts w:hint="default"/>
        <w:lang w:val="en-US" w:eastAsia="en-US" w:bidi="en-US"/>
      </w:rPr>
    </w:lvl>
    <w:lvl w:ilvl="4" w:tplc="81A409A8">
      <w:numFmt w:val="bullet"/>
      <w:lvlText w:val="•"/>
      <w:lvlJc w:val="left"/>
      <w:pPr>
        <w:ind w:left="749" w:hanging="250"/>
      </w:pPr>
      <w:rPr>
        <w:rFonts w:hint="default"/>
        <w:lang w:val="en-US" w:eastAsia="en-US" w:bidi="en-US"/>
      </w:rPr>
    </w:lvl>
    <w:lvl w:ilvl="5" w:tplc="F2B256EA">
      <w:numFmt w:val="bullet"/>
      <w:lvlText w:val="•"/>
      <w:lvlJc w:val="left"/>
      <w:pPr>
        <w:ind w:left="911" w:hanging="250"/>
      </w:pPr>
      <w:rPr>
        <w:rFonts w:hint="default"/>
        <w:lang w:val="en-US" w:eastAsia="en-US" w:bidi="en-US"/>
      </w:rPr>
    </w:lvl>
    <w:lvl w:ilvl="6" w:tplc="BD2CB682">
      <w:numFmt w:val="bullet"/>
      <w:lvlText w:val="•"/>
      <w:lvlJc w:val="left"/>
      <w:pPr>
        <w:ind w:left="1073" w:hanging="250"/>
      </w:pPr>
      <w:rPr>
        <w:rFonts w:hint="default"/>
        <w:lang w:val="en-US" w:eastAsia="en-US" w:bidi="en-US"/>
      </w:rPr>
    </w:lvl>
    <w:lvl w:ilvl="7" w:tplc="2AE8533A">
      <w:numFmt w:val="bullet"/>
      <w:lvlText w:val="•"/>
      <w:lvlJc w:val="left"/>
      <w:pPr>
        <w:ind w:left="1236" w:hanging="250"/>
      </w:pPr>
      <w:rPr>
        <w:rFonts w:hint="default"/>
        <w:lang w:val="en-US" w:eastAsia="en-US" w:bidi="en-US"/>
      </w:rPr>
    </w:lvl>
    <w:lvl w:ilvl="8" w:tplc="3322298A">
      <w:numFmt w:val="bullet"/>
      <w:lvlText w:val="•"/>
      <w:lvlJc w:val="left"/>
      <w:pPr>
        <w:ind w:left="1398" w:hanging="250"/>
      </w:pPr>
      <w:rPr>
        <w:rFonts w:hint="default"/>
        <w:lang w:val="en-US" w:eastAsia="en-US" w:bidi="en-US"/>
      </w:rPr>
    </w:lvl>
  </w:abstractNum>
  <w:abstractNum w:abstractNumId="24" w15:restartNumberingAfterBreak="0">
    <w:nsid w:val="67526FE4"/>
    <w:multiLevelType w:val="hybridMultilevel"/>
    <w:tmpl w:val="9312C342"/>
    <w:lvl w:ilvl="0" w:tplc="3EEAE882">
      <w:start w:val="1"/>
      <w:numFmt w:val="decimal"/>
      <w:lvlText w:val="%1."/>
      <w:lvlJc w:val="left"/>
      <w:pPr>
        <w:ind w:left="97" w:hanging="248"/>
      </w:pPr>
      <w:rPr>
        <w:rFonts w:ascii="Arial" w:eastAsia="Arial" w:hAnsi="Arial" w:cs="Arial" w:hint="default"/>
        <w:spacing w:val="-4"/>
        <w:w w:val="102"/>
        <w:sz w:val="22"/>
        <w:szCs w:val="22"/>
        <w:lang w:val="en-US" w:eastAsia="en-US" w:bidi="en-US"/>
      </w:rPr>
    </w:lvl>
    <w:lvl w:ilvl="1" w:tplc="485A2904">
      <w:numFmt w:val="bullet"/>
      <w:lvlText w:val="•"/>
      <w:lvlJc w:val="left"/>
      <w:pPr>
        <w:ind w:left="262" w:hanging="248"/>
      </w:pPr>
      <w:rPr>
        <w:rFonts w:hint="default"/>
        <w:lang w:val="en-US" w:eastAsia="en-US" w:bidi="en-US"/>
      </w:rPr>
    </w:lvl>
    <w:lvl w:ilvl="2" w:tplc="CA76B694">
      <w:numFmt w:val="bullet"/>
      <w:lvlText w:val="•"/>
      <w:lvlJc w:val="left"/>
      <w:pPr>
        <w:ind w:left="424" w:hanging="248"/>
      </w:pPr>
      <w:rPr>
        <w:rFonts w:hint="default"/>
        <w:lang w:val="en-US" w:eastAsia="en-US" w:bidi="en-US"/>
      </w:rPr>
    </w:lvl>
    <w:lvl w:ilvl="3" w:tplc="D15C39AA">
      <w:numFmt w:val="bullet"/>
      <w:lvlText w:val="•"/>
      <w:lvlJc w:val="left"/>
      <w:pPr>
        <w:ind w:left="586" w:hanging="248"/>
      </w:pPr>
      <w:rPr>
        <w:rFonts w:hint="default"/>
        <w:lang w:val="en-US" w:eastAsia="en-US" w:bidi="en-US"/>
      </w:rPr>
    </w:lvl>
    <w:lvl w:ilvl="4" w:tplc="780CF6C6">
      <w:numFmt w:val="bullet"/>
      <w:lvlText w:val="•"/>
      <w:lvlJc w:val="left"/>
      <w:pPr>
        <w:ind w:left="749" w:hanging="248"/>
      </w:pPr>
      <w:rPr>
        <w:rFonts w:hint="default"/>
        <w:lang w:val="en-US" w:eastAsia="en-US" w:bidi="en-US"/>
      </w:rPr>
    </w:lvl>
    <w:lvl w:ilvl="5" w:tplc="BC0CD1D2">
      <w:numFmt w:val="bullet"/>
      <w:lvlText w:val="•"/>
      <w:lvlJc w:val="left"/>
      <w:pPr>
        <w:ind w:left="911" w:hanging="248"/>
      </w:pPr>
      <w:rPr>
        <w:rFonts w:hint="default"/>
        <w:lang w:val="en-US" w:eastAsia="en-US" w:bidi="en-US"/>
      </w:rPr>
    </w:lvl>
    <w:lvl w:ilvl="6" w:tplc="EE7A82FE">
      <w:numFmt w:val="bullet"/>
      <w:lvlText w:val="•"/>
      <w:lvlJc w:val="left"/>
      <w:pPr>
        <w:ind w:left="1073" w:hanging="248"/>
      </w:pPr>
      <w:rPr>
        <w:rFonts w:hint="default"/>
        <w:lang w:val="en-US" w:eastAsia="en-US" w:bidi="en-US"/>
      </w:rPr>
    </w:lvl>
    <w:lvl w:ilvl="7" w:tplc="D27EA156">
      <w:numFmt w:val="bullet"/>
      <w:lvlText w:val="•"/>
      <w:lvlJc w:val="left"/>
      <w:pPr>
        <w:ind w:left="1236" w:hanging="248"/>
      </w:pPr>
      <w:rPr>
        <w:rFonts w:hint="default"/>
        <w:lang w:val="en-US" w:eastAsia="en-US" w:bidi="en-US"/>
      </w:rPr>
    </w:lvl>
    <w:lvl w:ilvl="8" w:tplc="094C0FF6">
      <w:numFmt w:val="bullet"/>
      <w:lvlText w:val="•"/>
      <w:lvlJc w:val="left"/>
      <w:pPr>
        <w:ind w:left="1398" w:hanging="248"/>
      </w:pPr>
      <w:rPr>
        <w:rFonts w:hint="default"/>
        <w:lang w:val="en-US" w:eastAsia="en-US" w:bidi="en-US"/>
      </w:rPr>
    </w:lvl>
  </w:abstractNum>
  <w:abstractNum w:abstractNumId="25" w15:restartNumberingAfterBreak="0">
    <w:nsid w:val="6A4E1396"/>
    <w:multiLevelType w:val="hybridMultilevel"/>
    <w:tmpl w:val="4AE2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E0913"/>
    <w:multiLevelType w:val="hybridMultilevel"/>
    <w:tmpl w:val="2820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0605E"/>
    <w:multiLevelType w:val="hybridMultilevel"/>
    <w:tmpl w:val="9ACE5F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A42BFC"/>
    <w:multiLevelType w:val="hybridMultilevel"/>
    <w:tmpl w:val="43F44E6A"/>
    <w:lvl w:ilvl="0" w:tplc="ADC8708A">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E932CE6E">
      <w:numFmt w:val="bullet"/>
      <w:lvlText w:val="•"/>
      <w:lvlJc w:val="left"/>
      <w:pPr>
        <w:ind w:left="262" w:hanging="250"/>
      </w:pPr>
      <w:rPr>
        <w:rFonts w:hint="default"/>
        <w:lang w:val="en-US" w:eastAsia="en-US" w:bidi="en-US"/>
      </w:rPr>
    </w:lvl>
    <w:lvl w:ilvl="2" w:tplc="107821C6">
      <w:numFmt w:val="bullet"/>
      <w:lvlText w:val="•"/>
      <w:lvlJc w:val="left"/>
      <w:pPr>
        <w:ind w:left="424" w:hanging="250"/>
      </w:pPr>
      <w:rPr>
        <w:rFonts w:hint="default"/>
        <w:lang w:val="en-US" w:eastAsia="en-US" w:bidi="en-US"/>
      </w:rPr>
    </w:lvl>
    <w:lvl w:ilvl="3" w:tplc="066259F6">
      <w:numFmt w:val="bullet"/>
      <w:lvlText w:val="•"/>
      <w:lvlJc w:val="left"/>
      <w:pPr>
        <w:ind w:left="586" w:hanging="250"/>
      </w:pPr>
      <w:rPr>
        <w:rFonts w:hint="default"/>
        <w:lang w:val="en-US" w:eastAsia="en-US" w:bidi="en-US"/>
      </w:rPr>
    </w:lvl>
    <w:lvl w:ilvl="4" w:tplc="8A86ADAA">
      <w:numFmt w:val="bullet"/>
      <w:lvlText w:val="•"/>
      <w:lvlJc w:val="left"/>
      <w:pPr>
        <w:ind w:left="749" w:hanging="250"/>
      </w:pPr>
      <w:rPr>
        <w:rFonts w:hint="default"/>
        <w:lang w:val="en-US" w:eastAsia="en-US" w:bidi="en-US"/>
      </w:rPr>
    </w:lvl>
    <w:lvl w:ilvl="5" w:tplc="05DE7E5A">
      <w:numFmt w:val="bullet"/>
      <w:lvlText w:val="•"/>
      <w:lvlJc w:val="left"/>
      <w:pPr>
        <w:ind w:left="911" w:hanging="250"/>
      </w:pPr>
      <w:rPr>
        <w:rFonts w:hint="default"/>
        <w:lang w:val="en-US" w:eastAsia="en-US" w:bidi="en-US"/>
      </w:rPr>
    </w:lvl>
    <w:lvl w:ilvl="6" w:tplc="AE60261E">
      <w:numFmt w:val="bullet"/>
      <w:lvlText w:val="•"/>
      <w:lvlJc w:val="left"/>
      <w:pPr>
        <w:ind w:left="1073" w:hanging="250"/>
      </w:pPr>
      <w:rPr>
        <w:rFonts w:hint="default"/>
        <w:lang w:val="en-US" w:eastAsia="en-US" w:bidi="en-US"/>
      </w:rPr>
    </w:lvl>
    <w:lvl w:ilvl="7" w:tplc="A8B4A1F6">
      <w:numFmt w:val="bullet"/>
      <w:lvlText w:val="•"/>
      <w:lvlJc w:val="left"/>
      <w:pPr>
        <w:ind w:left="1236" w:hanging="250"/>
      </w:pPr>
      <w:rPr>
        <w:rFonts w:hint="default"/>
        <w:lang w:val="en-US" w:eastAsia="en-US" w:bidi="en-US"/>
      </w:rPr>
    </w:lvl>
    <w:lvl w:ilvl="8" w:tplc="E21E1E8C">
      <w:numFmt w:val="bullet"/>
      <w:lvlText w:val="•"/>
      <w:lvlJc w:val="left"/>
      <w:pPr>
        <w:ind w:left="1398" w:hanging="250"/>
      </w:pPr>
      <w:rPr>
        <w:rFonts w:hint="default"/>
        <w:lang w:val="en-US" w:eastAsia="en-US" w:bidi="en-US"/>
      </w:rPr>
    </w:lvl>
  </w:abstractNum>
  <w:abstractNum w:abstractNumId="29" w15:restartNumberingAfterBreak="0">
    <w:nsid w:val="783B36B0"/>
    <w:multiLevelType w:val="hybridMultilevel"/>
    <w:tmpl w:val="B7C2324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8C740C7"/>
    <w:multiLevelType w:val="hybridMultilevel"/>
    <w:tmpl w:val="AE6E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FE7A36"/>
    <w:multiLevelType w:val="hybridMultilevel"/>
    <w:tmpl w:val="8DC8C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C21836"/>
    <w:multiLevelType w:val="hybridMultilevel"/>
    <w:tmpl w:val="E8FA4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5B7B18"/>
    <w:multiLevelType w:val="hybridMultilevel"/>
    <w:tmpl w:val="137E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08373D"/>
    <w:multiLevelType w:val="hybridMultilevel"/>
    <w:tmpl w:val="C6D684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3"/>
  </w:num>
  <w:num w:numId="2">
    <w:abstractNumId w:val="28"/>
  </w:num>
  <w:num w:numId="3">
    <w:abstractNumId w:val="7"/>
  </w:num>
  <w:num w:numId="4">
    <w:abstractNumId w:val="12"/>
  </w:num>
  <w:num w:numId="5">
    <w:abstractNumId w:val="24"/>
  </w:num>
  <w:num w:numId="6">
    <w:abstractNumId w:val="15"/>
  </w:num>
  <w:num w:numId="7">
    <w:abstractNumId w:val="14"/>
  </w:num>
  <w:num w:numId="8">
    <w:abstractNumId w:val="22"/>
  </w:num>
  <w:num w:numId="9">
    <w:abstractNumId w:val="20"/>
  </w:num>
  <w:num w:numId="10">
    <w:abstractNumId w:val="18"/>
  </w:num>
  <w:num w:numId="11">
    <w:abstractNumId w:val="2"/>
  </w:num>
  <w:num w:numId="12">
    <w:abstractNumId w:val="13"/>
  </w:num>
  <w:num w:numId="13">
    <w:abstractNumId w:val="33"/>
  </w:num>
  <w:num w:numId="14">
    <w:abstractNumId w:val="25"/>
  </w:num>
  <w:num w:numId="15">
    <w:abstractNumId w:val="3"/>
  </w:num>
  <w:num w:numId="16">
    <w:abstractNumId w:val="5"/>
  </w:num>
  <w:num w:numId="17">
    <w:abstractNumId w:val="6"/>
  </w:num>
  <w:num w:numId="18">
    <w:abstractNumId w:val="27"/>
  </w:num>
  <w:num w:numId="19">
    <w:abstractNumId w:val="0"/>
  </w:num>
  <w:num w:numId="20">
    <w:abstractNumId w:val="1"/>
  </w:num>
  <w:num w:numId="21">
    <w:abstractNumId w:val="29"/>
  </w:num>
  <w:num w:numId="22">
    <w:abstractNumId w:val="34"/>
  </w:num>
  <w:num w:numId="23">
    <w:abstractNumId w:val="30"/>
  </w:num>
  <w:num w:numId="24">
    <w:abstractNumId w:val="11"/>
  </w:num>
  <w:num w:numId="25">
    <w:abstractNumId w:val="32"/>
  </w:num>
  <w:num w:numId="26">
    <w:abstractNumId w:val="9"/>
  </w:num>
  <w:num w:numId="27">
    <w:abstractNumId w:val="16"/>
  </w:num>
  <w:num w:numId="28">
    <w:abstractNumId w:val="21"/>
  </w:num>
  <w:num w:numId="29">
    <w:abstractNumId w:val="10"/>
  </w:num>
  <w:num w:numId="30">
    <w:abstractNumId w:val="19"/>
  </w:num>
  <w:num w:numId="31">
    <w:abstractNumId w:val="26"/>
  </w:num>
  <w:num w:numId="32">
    <w:abstractNumId w:val="31"/>
  </w:num>
  <w:num w:numId="33">
    <w:abstractNumId w:val="8"/>
  </w:num>
  <w:num w:numId="34">
    <w:abstractNumId w:val="4"/>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4249E"/>
    <w:rsid w:val="00000067"/>
    <w:rsid w:val="000012DD"/>
    <w:rsid w:val="00013133"/>
    <w:rsid w:val="00026773"/>
    <w:rsid w:val="00030027"/>
    <w:rsid w:val="0003125D"/>
    <w:rsid w:val="00033642"/>
    <w:rsid w:val="00046544"/>
    <w:rsid w:val="00051070"/>
    <w:rsid w:val="0006313F"/>
    <w:rsid w:val="000649CC"/>
    <w:rsid w:val="00086891"/>
    <w:rsid w:val="000A70BA"/>
    <w:rsid w:val="000D7ABE"/>
    <w:rsid w:val="000E0951"/>
    <w:rsid w:val="000F0263"/>
    <w:rsid w:val="0010243C"/>
    <w:rsid w:val="00125421"/>
    <w:rsid w:val="00142E0A"/>
    <w:rsid w:val="00144C31"/>
    <w:rsid w:val="001535F6"/>
    <w:rsid w:val="00160754"/>
    <w:rsid w:val="00163C4F"/>
    <w:rsid w:val="0017081E"/>
    <w:rsid w:val="0017357D"/>
    <w:rsid w:val="001825C9"/>
    <w:rsid w:val="001833BF"/>
    <w:rsid w:val="0019564A"/>
    <w:rsid w:val="001B0A2B"/>
    <w:rsid w:val="001B2809"/>
    <w:rsid w:val="001E0ED7"/>
    <w:rsid w:val="001F38D8"/>
    <w:rsid w:val="001F3F58"/>
    <w:rsid w:val="001F69CB"/>
    <w:rsid w:val="00221A7D"/>
    <w:rsid w:val="00243CFA"/>
    <w:rsid w:val="002510C9"/>
    <w:rsid w:val="002706F7"/>
    <w:rsid w:val="00275C7C"/>
    <w:rsid w:val="00286BFC"/>
    <w:rsid w:val="00293D18"/>
    <w:rsid w:val="002D2822"/>
    <w:rsid w:val="002E108A"/>
    <w:rsid w:val="0031340E"/>
    <w:rsid w:val="00316C17"/>
    <w:rsid w:val="003603CF"/>
    <w:rsid w:val="00375D6F"/>
    <w:rsid w:val="003847AD"/>
    <w:rsid w:val="00391C36"/>
    <w:rsid w:val="003B1E7D"/>
    <w:rsid w:val="003B2519"/>
    <w:rsid w:val="003B37BF"/>
    <w:rsid w:val="003B514C"/>
    <w:rsid w:val="003C1D2C"/>
    <w:rsid w:val="003D7AA9"/>
    <w:rsid w:val="003F1087"/>
    <w:rsid w:val="00421951"/>
    <w:rsid w:val="004732AC"/>
    <w:rsid w:val="00484633"/>
    <w:rsid w:val="00486595"/>
    <w:rsid w:val="00490114"/>
    <w:rsid w:val="004A686D"/>
    <w:rsid w:val="004B1338"/>
    <w:rsid w:val="004B7198"/>
    <w:rsid w:val="004C21DB"/>
    <w:rsid w:val="004C243B"/>
    <w:rsid w:val="00501823"/>
    <w:rsid w:val="0050315A"/>
    <w:rsid w:val="00510712"/>
    <w:rsid w:val="005178E3"/>
    <w:rsid w:val="0052253D"/>
    <w:rsid w:val="0053036F"/>
    <w:rsid w:val="0053670A"/>
    <w:rsid w:val="005548A1"/>
    <w:rsid w:val="005604EA"/>
    <w:rsid w:val="00562224"/>
    <w:rsid w:val="005642F2"/>
    <w:rsid w:val="005B67C0"/>
    <w:rsid w:val="005C30CB"/>
    <w:rsid w:val="005D0F71"/>
    <w:rsid w:val="005D3470"/>
    <w:rsid w:val="005E2DCC"/>
    <w:rsid w:val="005E435F"/>
    <w:rsid w:val="005E7268"/>
    <w:rsid w:val="006117B8"/>
    <w:rsid w:val="00645C0E"/>
    <w:rsid w:val="006467A5"/>
    <w:rsid w:val="00663F0E"/>
    <w:rsid w:val="006C7344"/>
    <w:rsid w:val="006F5A11"/>
    <w:rsid w:val="00721B2B"/>
    <w:rsid w:val="007350FB"/>
    <w:rsid w:val="00736FBE"/>
    <w:rsid w:val="00762969"/>
    <w:rsid w:val="007633D1"/>
    <w:rsid w:val="00775060"/>
    <w:rsid w:val="0079592B"/>
    <w:rsid w:val="007A1A3D"/>
    <w:rsid w:val="007A5CDA"/>
    <w:rsid w:val="007C4A92"/>
    <w:rsid w:val="007E0844"/>
    <w:rsid w:val="007E7675"/>
    <w:rsid w:val="007F13A8"/>
    <w:rsid w:val="007F21B3"/>
    <w:rsid w:val="00817931"/>
    <w:rsid w:val="008209C1"/>
    <w:rsid w:val="00825D38"/>
    <w:rsid w:val="008562AB"/>
    <w:rsid w:val="00862E3F"/>
    <w:rsid w:val="00865320"/>
    <w:rsid w:val="00880710"/>
    <w:rsid w:val="0088261C"/>
    <w:rsid w:val="008964E8"/>
    <w:rsid w:val="008A6E70"/>
    <w:rsid w:val="008B31A0"/>
    <w:rsid w:val="008B483D"/>
    <w:rsid w:val="008C36CF"/>
    <w:rsid w:val="008D2DA3"/>
    <w:rsid w:val="008E2705"/>
    <w:rsid w:val="008E28BD"/>
    <w:rsid w:val="008E6F36"/>
    <w:rsid w:val="008F0D4C"/>
    <w:rsid w:val="0091030F"/>
    <w:rsid w:val="009313E5"/>
    <w:rsid w:val="00950F37"/>
    <w:rsid w:val="00965AC0"/>
    <w:rsid w:val="00975CA4"/>
    <w:rsid w:val="00985B01"/>
    <w:rsid w:val="00992D27"/>
    <w:rsid w:val="0099630F"/>
    <w:rsid w:val="009B3F7F"/>
    <w:rsid w:val="009B466A"/>
    <w:rsid w:val="00A0658F"/>
    <w:rsid w:val="00A14498"/>
    <w:rsid w:val="00A234B9"/>
    <w:rsid w:val="00A32705"/>
    <w:rsid w:val="00A33E5A"/>
    <w:rsid w:val="00A4249E"/>
    <w:rsid w:val="00A439FB"/>
    <w:rsid w:val="00A45727"/>
    <w:rsid w:val="00A62D17"/>
    <w:rsid w:val="00A755A3"/>
    <w:rsid w:val="00A775AE"/>
    <w:rsid w:val="00A813CC"/>
    <w:rsid w:val="00A93116"/>
    <w:rsid w:val="00A9587B"/>
    <w:rsid w:val="00AA39F4"/>
    <w:rsid w:val="00AC21B8"/>
    <w:rsid w:val="00AC5F9F"/>
    <w:rsid w:val="00AE3506"/>
    <w:rsid w:val="00B02126"/>
    <w:rsid w:val="00B06B6D"/>
    <w:rsid w:val="00B12FAC"/>
    <w:rsid w:val="00B44AF5"/>
    <w:rsid w:val="00B552D1"/>
    <w:rsid w:val="00B6163E"/>
    <w:rsid w:val="00B6671F"/>
    <w:rsid w:val="00B955A7"/>
    <w:rsid w:val="00BA184C"/>
    <w:rsid w:val="00BB0577"/>
    <w:rsid w:val="00BB0630"/>
    <w:rsid w:val="00BE2AEB"/>
    <w:rsid w:val="00BE5E4A"/>
    <w:rsid w:val="00C1280A"/>
    <w:rsid w:val="00C45854"/>
    <w:rsid w:val="00C56C19"/>
    <w:rsid w:val="00C7361E"/>
    <w:rsid w:val="00C76752"/>
    <w:rsid w:val="00C7779E"/>
    <w:rsid w:val="00C84E36"/>
    <w:rsid w:val="00C91450"/>
    <w:rsid w:val="00C915A1"/>
    <w:rsid w:val="00C96D0F"/>
    <w:rsid w:val="00CA221B"/>
    <w:rsid w:val="00CB361E"/>
    <w:rsid w:val="00CC49DB"/>
    <w:rsid w:val="00CD1E1D"/>
    <w:rsid w:val="00CD2416"/>
    <w:rsid w:val="00CE67DC"/>
    <w:rsid w:val="00CE6DDF"/>
    <w:rsid w:val="00CF53E1"/>
    <w:rsid w:val="00D02F59"/>
    <w:rsid w:val="00D34B08"/>
    <w:rsid w:val="00D40CBA"/>
    <w:rsid w:val="00D8062E"/>
    <w:rsid w:val="00D939A0"/>
    <w:rsid w:val="00DA30AB"/>
    <w:rsid w:val="00DA3C05"/>
    <w:rsid w:val="00DA3FC0"/>
    <w:rsid w:val="00DC16A6"/>
    <w:rsid w:val="00DC5C66"/>
    <w:rsid w:val="00DC63D3"/>
    <w:rsid w:val="00DE2BD8"/>
    <w:rsid w:val="00DF0B58"/>
    <w:rsid w:val="00DF3FE3"/>
    <w:rsid w:val="00E272EF"/>
    <w:rsid w:val="00E420E6"/>
    <w:rsid w:val="00E451A5"/>
    <w:rsid w:val="00E52B84"/>
    <w:rsid w:val="00EB4207"/>
    <w:rsid w:val="00ED5DBA"/>
    <w:rsid w:val="00ED7B4F"/>
    <w:rsid w:val="00EE1665"/>
    <w:rsid w:val="00EE43C7"/>
    <w:rsid w:val="00F12E0B"/>
    <w:rsid w:val="00F4544D"/>
    <w:rsid w:val="00F45534"/>
    <w:rsid w:val="00F623CB"/>
    <w:rsid w:val="00F74FBC"/>
    <w:rsid w:val="00F926EA"/>
    <w:rsid w:val="00FA3ABC"/>
    <w:rsid w:val="00FB6229"/>
    <w:rsid w:val="00FC64AB"/>
    <w:rsid w:val="00FD10A8"/>
    <w:rsid w:val="00FE213C"/>
    <w:rsid w:val="00FF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77340"/>
  <w15:docId w15:val="{92B50026-C72B-4990-B1F0-EEE91027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56"/>
      <w:outlineLvl w:val="0"/>
    </w:pPr>
    <w:rPr>
      <w:b/>
      <w:bCs/>
    </w:rPr>
  </w:style>
  <w:style w:type="paragraph" w:styleId="Heading3">
    <w:name w:val="heading 3"/>
    <w:basedOn w:val="Normal"/>
    <w:next w:val="Normal"/>
    <w:link w:val="Heading3Char"/>
    <w:uiPriority w:val="9"/>
    <w:semiHidden/>
    <w:unhideWhenUsed/>
    <w:qFormat/>
    <w:rsid w:val="006467A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00" w:hanging="40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37BF"/>
    <w:pPr>
      <w:tabs>
        <w:tab w:val="center" w:pos="4680"/>
        <w:tab w:val="right" w:pos="9360"/>
      </w:tabs>
    </w:pPr>
  </w:style>
  <w:style w:type="character" w:customStyle="1" w:styleId="HeaderChar">
    <w:name w:val="Header Char"/>
    <w:basedOn w:val="DefaultParagraphFont"/>
    <w:link w:val="Header"/>
    <w:uiPriority w:val="99"/>
    <w:rsid w:val="003B37BF"/>
    <w:rPr>
      <w:rFonts w:ascii="Arial" w:eastAsia="Arial" w:hAnsi="Arial" w:cs="Arial"/>
      <w:lang w:bidi="en-US"/>
    </w:rPr>
  </w:style>
  <w:style w:type="paragraph" w:styleId="Footer">
    <w:name w:val="footer"/>
    <w:basedOn w:val="Normal"/>
    <w:link w:val="FooterChar"/>
    <w:uiPriority w:val="99"/>
    <w:unhideWhenUsed/>
    <w:rsid w:val="003B37BF"/>
    <w:pPr>
      <w:tabs>
        <w:tab w:val="center" w:pos="4680"/>
        <w:tab w:val="right" w:pos="9360"/>
      </w:tabs>
    </w:pPr>
  </w:style>
  <w:style w:type="character" w:customStyle="1" w:styleId="FooterChar">
    <w:name w:val="Footer Char"/>
    <w:basedOn w:val="DefaultParagraphFont"/>
    <w:link w:val="Footer"/>
    <w:uiPriority w:val="99"/>
    <w:rsid w:val="003B37BF"/>
    <w:rPr>
      <w:rFonts w:ascii="Arial" w:eastAsia="Arial" w:hAnsi="Arial" w:cs="Arial"/>
      <w:lang w:bidi="en-US"/>
    </w:rPr>
  </w:style>
  <w:style w:type="paragraph" w:styleId="NoSpacing">
    <w:name w:val="No Spacing"/>
    <w:uiPriority w:val="1"/>
    <w:qFormat/>
    <w:rsid w:val="00BB0577"/>
    <w:rPr>
      <w:rFonts w:ascii="Arial" w:eastAsia="Arial" w:hAnsi="Arial" w:cs="Arial"/>
      <w:lang w:bidi="en-US"/>
    </w:rPr>
  </w:style>
  <w:style w:type="character" w:styleId="Hyperlink">
    <w:name w:val="Hyperlink"/>
    <w:basedOn w:val="DefaultParagraphFont"/>
    <w:uiPriority w:val="99"/>
    <w:unhideWhenUsed/>
    <w:rsid w:val="001825C9"/>
    <w:rPr>
      <w:color w:val="0000FF" w:themeColor="hyperlink"/>
      <w:u w:val="single"/>
    </w:rPr>
  </w:style>
  <w:style w:type="character" w:styleId="UnresolvedMention">
    <w:name w:val="Unresolved Mention"/>
    <w:basedOn w:val="DefaultParagraphFont"/>
    <w:uiPriority w:val="99"/>
    <w:semiHidden/>
    <w:unhideWhenUsed/>
    <w:rsid w:val="001825C9"/>
    <w:rPr>
      <w:color w:val="605E5C"/>
      <w:shd w:val="clear" w:color="auto" w:fill="E1DFDD"/>
    </w:rPr>
  </w:style>
  <w:style w:type="table" w:styleId="TableGrid">
    <w:name w:val="Table Grid"/>
    <w:basedOn w:val="TableNormal"/>
    <w:uiPriority w:val="39"/>
    <w:rsid w:val="00CC4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3125D"/>
    <w:rPr>
      <w:color w:val="800080" w:themeColor="followedHyperlink"/>
      <w:u w:val="single"/>
    </w:rPr>
  </w:style>
  <w:style w:type="character" w:customStyle="1" w:styleId="Heading3Char">
    <w:name w:val="Heading 3 Char"/>
    <w:basedOn w:val="DefaultParagraphFont"/>
    <w:link w:val="Heading3"/>
    <w:uiPriority w:val="9"/>
    <w:semiHidden/>
    <w:rsid w:val="006467A5"/>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210900">
      <w:bodyDiv w:val="1"/>
      <w:marLeft w:val="0"/>
      <w:marRight w:val="0"/>
      <w:marTop w:val="0"/>
      <w:marBottom w:val="0"/>
      <w:divBdr>
        <w:top w:val="none" w:sz="0" w:space="0" w:color="auto"/>
        <w:left w:val="none" w:sz="0" w:space="0" w:color="auto"/>
        <w:bottom w:val="none" w:sz="0" w:space="0" w:color="auto"/>
        <w:right w:val="none" w:sz="0" w:space="0" w:color="auto"/>
      </w:divBdr>
    </w:div>
    <w:div w:id="1378702721">
      <w:bodyDiv w:val="1"/>
      <w:marLeft w:val="0"/>
      <w:marRight w:val="0"/>
      <w:marTop w:val="0"/>
      <w:marBottom w:val="0"/>
      <w:divBdr>
        <w:top w:val="none" w:sz="0" w:space="0" w:color="auto"/>
        <w:left w:val="none" w:sz="0" w:space="0" w:color="auto"/>
        <w:bottom w:val="none" w:sz="0" w:space="0" w:color="auto"/>
        <w:right w:val="none" w:sz="0" w:space="0" w:color="auto"/>
      </w:divBdr>
      <w:divsChild>
        <w:div w:id="144398099">
          <w:marLeft w:val="0"/>
          <w:marRight w:val="0"/>
          <w:marTop w:val="0"/>
          <w:marBottom w:val="0"/>
          <w:divBdr>
            <w:top w:val="none" w:sz="0" w:space="0" w:color="auto"/>
            <w:left w:val="none" w:sz="0" w:space="0" w:color="auto"/>
            <w:bottom w:val="none" w:sz="0" w:space="0" w:color="auto"/>
            <w:right w:val="none" w:sz="0" w:space="0" w:color="auto"/>
          </w:divBdr>
        </w:div>
        <w:div w:id="167329359">
          <w:marLeft w:val="0"/>
          <w:marRight w:val="0"/>
          <w:marTop w:val="0"/>
          <w:marBottom w:val="0"/>
          <w:divBdr>
            <w:top w:val="none" w:sz="0" w:space="0" w:color="auto"/>
            <w:left w:val="none" w:sz="0" w:space="0" w:color="auto"/>
            <w:bottom w:val="none" w:sz="0" w:space="0" w:color="auto"/>
            <w:right w:val="none" w:sz="0" w:space="0" w:color="auto"/>
          </w:divBdr>
        </w:div>
        <w:div w:id="2016104674">
          <w:marLeft w:val="0"/>
          <w:marRight w:val="0"/>
          <w:marTop w:val="0"/>
          <w:marBottom w:val="0"/>
          <w:divBdr>
            <w:top w:val="none" w:sz="0" w:space="0" w:color="auto"/>
            <w:left w:val="none" w:sz="0" w:space="0" w:color="auto"/>
            <w:bottom w:val="none" w:sz="0" w:space="0" w:color="auto"/>
            <w:right w:val="none" w:sz="0" w:space="0" w:color="auto"/>
          </w:divBdr>
        </w:div>
        <w:div w:id="196821950">
          <w:marLeft w:val="0"/>
          <w:marRight w:val="0"/>
          <w:marTop w:val="0"/>
          <w:marBottom w:val="0"/>
          <w:divBdr>
            <w:top w:val="none" w:sz="0" w:space="0" w:color="auto"/>
            <w:left w:val="none" w:sz="0" w:space="0" w:color="auto"/>
            <w:bottom w:val="none" w:sz="0" w:space="0" w:color="auto"/>
            <w:right w:val="none" w:sz="0" w:space="0" w:color="auto"/>
          </w:divBdr>
        </w:div>
        <w:div w:id="1537155374">
          <w:marLeft w:val="0"/>
          <w:marRight w:val="0"/>
          <w:marTop w:val="0"/>
          <w:marBottom w:val="0"/>
          <w:divBdr>
            <w:top w:val="none" w:sz="0" w:space="0" w:color="auto"/>
            <w:left w:val="none" w:sz="0" w:space="0" w:color="auto"/>
            <w:bottom w:val="none" w:sz="0" w:space="0" w:color="auto"/>
            <w:right w:val="none" w:sz="0" w:space="0" w:color="auto"/>
          </w:divBdr>
        </w:div>
        <w:div w:id="1809396269">
          <w:marLeft w:val="0"/>
          <w:marRight w:val="0"/>
          <w:marTop w:val="0"/>
          <w:marBottom w:val="0"/>
          <w:divBdr>
            <w:top w:val="none" w:sz="0" w:space="0" w:color="auto"/>
            <w:left w:val="none" w:sz="0" w:space="0" w:color="auto"/>
            <w:bottom w:val="none" w:sz="0" w:space="0" w:color="auto"/>
            <w:right w:val="none" w:sz="0" w:space="0" w:color="auto"/>
          </w:divBdr>
        </w:div>
        <w:div w:id="130944587">
          <w:marLeft w:val="0"/>
          <w:marRight w:val="0"/>
          <w:marTop w:val="0"/>
          <w:marBottom w:val="0"/>
          <w:divBdr>
            <w:top w:val="none" w:sz="0" w:space="0" w:color="auto"/>
            <w:left w:val="none" w:sz="0" w:space="0" w:color="auto"/>
            <w:bottom w:val="none" w:sz="0" w:space="0" w:color="auto"/>
            <w:right w:val="none" w:sz="0" w:space="0" w:color="auto"/>
          </w:divBdr>
        </w:div>
      </w:divsChild>
    </w:div>
    <w:div w:id="1563638097">
      <w:bodyDiv w:val="1"/>
      <w:marLeft w:val="0"/>
      <w:marRight w:val="0"/>
      <w:marTop w:val="0"/>
      <w:marBottom w:val="0"/>
      <w:divBdr>
        <w:top w:val="none" w:sz="0" w:space="0" w:color="auto"/>
        <w:left w:val="none" w:sz="0" w:space="0" w:color="auto"/>
        <w:bottom w:val="none" w:sz="0" w:space="0" w:color="auto"/>
        <w:right w:val="none" w:sz="0" w:space="0" w:color="auto"/>
      </w:divBdr>
      <w:divsChild>
        <w:div w:id="1783449861">
          <w:marLeft w:val="0"/>
          <w:marRight w:val="0"/>
          <w:marTop w:val="0"/>
          <w:marBottom w:val="0"/>
          <w:divBdr>
            <w:top w:val="none" w:sz="0" w:space="0" w:color="auto"/>
            <w:left w:val="none" w:sz="0" w:space="0" w:color="auto"/>
            <w:bottom w:val="none" w:sz="0" w:space="0" w:color="auto"/>
            <w:right w:val="none" w:sz="0" w:space="0" w:color="auto"/>
          </w:divBdr>
          <w:divsChild>
            <w:div w:id="1804469385">
              <w:marLeft w:val="450"/>
              <w:marRight w:val="0"/>
              <w:marTop w:val="0"/>
              <w:marBottom w:val="0"/>
              <w:divBdr>
                <w:top w:val="none" w:sz="0" w:space="0" w:color="auto"/>
                <w:left w:val="none" w:sz="0" w:space="0" w:color="auto"/>
                <w:bottom w:val="none" w:sz="0" w:space="0" w:color="auto"/>
                <w:right w:val="none" w:sz="0" w:space="0" w:color="auto"/>
              </w:divBdr>
            </w:div>
            <w:div w:id="290524080">
              <w:marLeft w:val="0"/>
              <w:marRight w:val="0"/>
              <w:marTop w:val="182"/>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ebi.gov.in/legal/circulars/aug-2020/procedural-guidelines-for-proxy-advisors_4725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3</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Microsoft Word - Final circular on defaulted ISIN of debt securities_2 0.docx</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circular on defaulted ISIN of debt securities_2 0.docx</dc:title>
  <dc:creator>2074@SEBINT</dc:creator>
  <cp:lastModifiedBy>Home</cp:lastModifiedBy>
  <cp:revision>193</cp:revision>
  <dcterms:created xsi:type="dcterms:W3CDTF">2020-06-23T10:51:00Z</dcterms:created>
  <dcterms:modified xsi:type="dcterms:W3CDTF">2020-08-04T12:41:00Z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2020-06-23T00:00:00Z</vt:filetime>
  </property>
  <property fmtid="{D5CDD505-2E9C-101B-9397-08002B2CF9AE}" pid="3" name="LastSaved">
    <vt:filetime>2020-06-23T00:00:00Z</vt:filetime>
  </property>
</Properties>
</file>