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FDF3D" w14:textId="56C2DC2A" w:rsidR="003B37BF" w:rsidRPr="000012DD" w:rsidRDefault="000012DD" w:rsidP="006467A5">
      <w:pPr>
        <w:shd w:val="clear" w:color="auto" w:fill="FDE9D9" w:themeFill="accent6" w:themeFillTint="33"/>
        <w:ind w:right="380"/>
        <w:jc w:val="both"/>
        <w:rPr>
          <w:rFonts w:ascii="Book Antiqua" w:hAnsi="Book Antiqua"/>
          <w:b/>
          <w:bCs/>
          <w:caps/>
          <w:sz w:val="36"/>
          <w:szCs w:val="36"/>
          <w:u w:val="single"/>
        </w:rPr>
      </w:pPr>
      <w:r w:rsidRPr="000012DD">
        <w:rPr>
          <w:rFonts w:ascii="Book Antiqua" w:hAnsi="Book Antiqua"/>
          <w:b/>
          <w:bCs/>
          <w:caps/>
          <w:sz w:val="36"/>
          <w:szCs w:val="36"/>
          <w:u w:val="single"/>
        </w:rPr>
        <w:t>SEB</w:t>
      </w:r>
      <w:r w:rsidR="00DC16A6">
        <w:rPr>
          <w:rFonts w:ascii="Book Antiqua" w:hAnsi="Book Antiqua"/>
          <w:b/>
          <w:bCs/>
          <w:caps/>
          <w:sz w:val="36"/>
          <w:szCs w:val="36"/>
          <w:u w:val="single"/>
        </w:rPr>
        <w:t>I – Further</w:t>
      </w:r>
      <w:r w:rsidRPr="000012DD">
        <w:rPr>
          <w:rFonts w:ascii="Book Antiqua" w:hAnsi="Book Antiqua"/>
          <w:b/>
          <w:bCs/>
          <w:caps/>
          <w:sz w:val="36"/>
          <w:szCs w:val="36"/>
          <w:u w:val="single"/>
        </w:rPr>
        <w:t xml:space="preserve"> </w:t>
      </w:r>
      <w:r w:rsidR="00CF53E1" w:rsidRPr="00CF53E1">
        <w:rPr>
          <w:rFonts w:ascii="Book Antiqua" w:hAnsi="Book Antiqua"/>
          <w:b/>
          <w:bCs/>
          <w:caps/>
          <w:sz w:val="36"/>
          <w:szCs w:val="36"/>
          <w:u w:val="single"/>
        </w:rPr>
        <w:t>Relaxations relating to procedural matters – Takeovers and Buy-back</w:t>
      </w:r>
      <w:r w:rsidR="00DC16A6">
        <w:rPr>
          <w:rFonts w:ascii="Book Antiqua" w:hAnsi="Book Antiqua"/>
          <w:b/>
          <w:bCs/>
          <w:caps/>
          <w:sz w:val="36"/>
          <w:szCs w:val="36"/>
          <w:u w:val="single"/>
        </w:rPr>
        <w:t xml:space="preserve"> upto 31.12.2020</w:t>
      </w:r>
    </w:p>
    <w:p w14:paraId="416014EF" w14:textId="77777777" w:rsidR="000012DD" w:rsidRDefault="000012DD" w:rsidP="000012DD">
      <w:pPr>
        <w:ind w:right="380"/>
      </w:pPr>
    </w:p>
    <w:p w14:paraId="256B3C3B" w14:textId="08DA2A55" w:rsidR="008E28BD" w:rsidRDefault="003B37BF" w:rsidP="000012DD">
      <w:pPr>
        <w:ind w:right="380"/>
        <w:jc w:val="both"/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 xml:space="preserve">Securities Exchange Board of India (SEBI) vide </w:t>
      </w:r>
      <w:r w:rsidR="00CF53E1">
        <w:rPr>
          <w:rFonts w:ascii="Book Antiqua" w:hAnsi="Book Antiqua"/>
          <w:sz w:val="24"/>
          <w:szCs w:val="24"/>
        </w:rPr>
        <w:t>Circular</w:t>
      </w:r>
      <w:r w:rsidR="000012DD">
        <w:rPr>
          <w:rFonts w:ascii="Book Antiqua" w:hAnsi="Book Antiqua"/>
          <w:sz w:val="24"/>
          <w:szCs w:val="24"/>
        </w:rPr>
        <w:t xml:space="preserve"> </w:t>
      </w:r>
      <w:r w:rsidR="008E28BD">
        <w:rPr>
          <w:rFonts w:ascii="Book Antiqua" w:hAnsi="Book Antiqua"/>
          <w:sz w:val="24"/>
          <w:szCs w:val="24"/>
        </w:rPr>
        <w:t xml:space="preserve">No. </w:t>
      </w:r>
      <w:r w:rsidR="00CF53E1" w:rsidRPr="00CF53E1">
        <w:rPr>
          <w:rFonts w:ascii="Book Antiqua" w:hAnsi="Book Antiqua"/>
          <w:sz w:val="24"/>
          <w:szCs w:val="24"/>
        </w:rPr>
        <w:t>SEBI/HO/CFD/DCR2/CIR/P/2020/139</w:t>
      </w:r>
      <w:r w:rsidR="00CF53E1">
        <w:rPr>
          <w:rFonts w:ascii="Book Antiqua" w:hAnsi="Book Antiqua"/>
          <w:sz w:val="24"/>
          <w:szCs w:val="24"/>
        </w:rPr>
        <w:t xml:space="preserve"> </w:t>
      </w:r>
      <w:r w:rsidRPr="003B37BF">
        <w:rPr>
          <w:rFonts w:ascii="Book Antiqua" w:hAnsi="Book Antiqua"/>
          <w:sz w:val="24"/>
          <w:szCs w:val="24"/>
        </w:rPr>
        <w:t xml:space="preserve">dated </w:t>
      </w:r>
      <w:r w:rsidR="00CF53E1">
        <w:rPr>
          <w:rFonts w:ascii="Book Antiqua" w:hAnsi="Book Antiqua"/>
          <w:sz w:val="24"/>
          <w:szCs w:val="24"/>
        </w:rPr>
        <w:t>27</w:t>
      </w:r>
      <w:r w:rsidR="00CF53E1" w:rsidRPr="00CF53E1">
        <w:rPr>
          <w:rFonts w:ascii="Book Antiqua" w:hAnsi="Book Antiqua"/>
          <w:sz w:val="24"/>
          <w:szCs w:val="24"/>
          <w:vertAlign w:val="superscript"/>
        </w:rPr>
        <w:t>th</w:t>
      </w:r>
      <w:r w:rsidR="00CF53E1">
        <w:rPr>
          <w:rFonts w:ascii="Book Antiqua" w:hAnsi="Book Antiqua"/>
          <w:sz w:val="24"/>
          <w:szCs w:val="24"/>
        </w:rPr>
        <w:t xml:space="preserve"> </w:t>
      </w:r>
      <w:r w:rsidRPr="003B37BF">
        <w:rPr>
          <w:rFonts w:ascii="Book Antiqua" w:hAnsi="Book Antiqua"/>
          <w:sz w:val="24"/>
          <w:szCs w:val="24"/>
        </w:rPr>
        <w:t>Ju</w:t>
      </w:r>
      <w:r w:rsidR="000012DD">
        <w:rPr>
          <w:rFonts w:ascii="Book Antiqua" w:hAnsi="Book Antiqua"/>
          <w:sz w:val="24"/>
          <w:szCs w:val="24"/>
        </w:rPr>
        <w:t>ly</w:t>
      </w:r>
      <w:r w:rsidRPr="003B37BF">
        <w:rPr>
          <w:rFonts w:ascii="Book Antiqua" w:hAnsi="Book Antiqua"/>
          <w:sz w:val="24"/>
          <w:szCs w:val="24"/>
        </w:rPr>
        <w:t xml:space="preserve">, 2020 </w:t>
      </w:r>
      <w:r w:rsidR="00033642" w:rsidRPr="00033642">
        <w:rPr>
          <w:rFonts w:ascii="Book Antiqua" w:hAnsi="Book Antiqua"/>
          <w:sz w:val="24"/>
          <w:szCs w:val="24"/>
        </w:rPr>
        <w:t>issued in exercise of powers conferred by Section 11(1) of the</w:t>
      </w:r>
      <w:r w:rsidR="00033642">
        <w:rPr>
          <w:rFonts w:ascii="Book Antiqua" w:hAnsi="Book Antiqua"/>
          <w:sz w:val="24"/>
          <w:szCs w:val="24"/>
        </w:rPr>
        <w:t xml:space="preserve"> </w:t>
      </w:r>
      <w:r w:rsidR="00033642" w:rsidRPr="00033642">
        <w:rPr>
          <w:rFonts w:ascii="Book Antiqua" w:hAnsi="Book Antiqua"/>
          <w:sz w:val="24"/>
          <w:szCs w:val="24"/>
        </w:rPr>
        <w:t>Securities and Exchange Board of India Act, 1992</w:t>
      </w:r>
      <w:r w:rsidRPr="003B37BF">
        <w:rPr>
          <w:rFonts w:ascii="Book Antiqua" w:hAnsi="Book Antiqua"/>
          <w:sz w:val="24"/>
          <w:szCs w:val="24"/>
        </w:rPr>
        <w:t xml:space="preserve">has </w:t>
      </w:r>
      <w:r w:rsidR="00A33E5A" w:rsidRPr="003B37BF">
        <w:rPr>
          <w:rFonts w:ascii="Book Antiqua" w:hAnsi="Book Antiqua"/>
          <w:sz w:val="24"/>
          <w:szCs w:val="24"/>
        </w:rPr>
        <w:t>come</w:t>
      </w:r>
      <w:r w:rsidRPr="003B37BF">
        <w:rPr>
          <w:rFonts w:ascii="Book Antiqua" w:hAnsi="Book Antiqua"/>
          <w:sz w:val="24"/>
          <w:szCs w:val="24"/>
        </w:rPr>
        <w:t xml:space="preserve"> out with </w:t>
      </w:r>
      <w:r w:rsidR="00EE1665" w:rsidRPr="00EE1665">
        <w:rPr>
          <w:rFonts w:ascii="Book Antiqua" w:hAnsi="Book Antiqua"/>
          <w:b/>
          <w:bCs/>
          <w:sz w:val="24"/>
          <w:szCs w:val="24"/>
          <w:u w:val="single"/>
        </w:rPr>
        <w:t>Relaxations relating to procedural matters – Takeovers and Buy-back</w:t>
      </w:r>
      <w:r w:rsidR="000012DD" w:rsidRPr="000012DD">
        <w:rPr>
          <w:rFonts w:ascii="Book Antiqua" w:hAnsi="Book Antiqua"/>
          <w:sz w:val="24"/>
          <w:szCs w:val="24"/>
        </w:rPr>
        <w:t>.</w:t>
      </w:r>
    </w:p>
    <w:p w14:paraId="795261F8" w14:textId="68855B9B" w:rsidR="00F4544D" w:rsidRDefault="00F4544D" w:rsidP="000012D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5F183488" w14:textId="61CAE60F" w:rsidR="00F4544D" w:rsidRPr="00EE1665" w:rsidRDefault="00EE1665" w:rsidP="00F4544D">
      <w:pPr>
        <w:ind w:right="380"/>
        <w:jc w:val="both"/>
        <w:rPr>
          <w:rFonts w:ascii="Book Antiqua" w:hAnsi="Book Antiqua"/>
          <w:b/>
          <w:bCs/>
          <w:sz w:val="24"/>
          <w:szCs w:val="24"/>
        </w:rPr>
      </w:pPr>
      <w:r w:rsidRPr="00EE1665">
        <w:rPr>
          <w:rFonts w:ascii="Book Antiqua" w:hAnsi="Book Antiqua"/>
          <w:b/>
          <w:bCs/>
          <w:sz w:val="24"/>
          <w:szCs w:val="24"/>
        </w:rPr>
        <w:t>The Circular is issued to:</w:t>
      </w:r>
    </w:p>
    <w:p w14:paraId="7551355F" w14:textId="77777777" w:rsidR="00EE1665" w:rsidRPr="00EE1665" w:rsidRDefault="00EE1665" w:rsidP="00EE1665">
      <w:pPr>
        <w:pStyle w:val="ListParagraph"/>
        <w:numPr>
          <w:ilvl w:val="0"/>
          <w:numId w:val="30"/>
        </w:numPr>
        <w:ind w:right="380"/>
        <w:rPr>
          <w:rFonts w:ascii="Book Antiqua" w:hAnsi="Book Antiqua"/>
          <w:sz w:val="24"/>
          <w:szCs w:val="24"/>
        </w:rPr>
      </w:pPr>
      <w:r w:rsidRPr="00EE1665">
        <w:rPr>
          <w:rFonts w:ascii="Book Antiqua" w:hAnsi="Book Antiqua"/>
          <w:sz w:val="24"/>
          <w:szCs w:val="24"/>
        </w:rPr>
        <w:t>All Listed Entities</w:t>
      </w:r>
    </w:p>
    <w:p w14:paraId="47798129" w14:textId="77777777" w:rsidR="00EE1665" w:rsidRPr="00EE1665" w:rsidRDefault="00EE1665" w:rsidP="00EE1665">
      <w:pPr>
        <w:pStyle w:val="ListParagraph"/>
        <w:numPr>
          <w:ilvl w:val="0"/>
          <w:numId w:val="30"/>
        </w:numPr>
        <w:ind w:right="380"/>
        <w:rPr>
          <w:rFonts w:ascii="Book Antiqua" w:hAnsi="Book Antiqua"/>
          <w:sz w:val="24"/>
          <w:szCs w:val="24"/>
        </w:rPr>
      </w:pPr>
      <w:r w:rsidRPr="00EE1665">
        <w:rPr>
          <w:rFonts w:ascii="Book Antiqua" w:hAnsi="Book Antiqua"/>
          <w:sz w:val="24"/>
          <w:szCs w:val="24"/>
        </w:rPr>
        <w:t>All Recognized Stock Exchanges</w:t>
      </w:r>
    </w:p>
    <w:p w14:paraId="3FE8AF88" w14:textId="1B5CE148" w:rsidR="00EE1665" w:rsidRPr="00EE1665" w:rsidRDefault="00EE1665" w:rsidP="00EE1665">
      <w:pPr>
        <w:pStyle w:val="ListParagraph"/>
        <w:numPr>
          <w:ilvl w:val="0"/>
          <w:numId w:val="30"/>
        </w:numPr>
        <w:ind w:right="380"/>
        <w:rPr>
          <w:rFonts w:ascii="Book Antiqua" w:hAnsi="Book Antiqua"/>
          <w:sz w:val="24"/>
          <w:szCs w:val="24"/>
        </w:rPr>
      </w:pPr>
      <w:r w:rsidRPr="00EE1665">
        <w:rPr>
          <w:rFonts w:ascii="Book Antiqua" w:hAnsi="Book Antiqua"/>
          <w:sz w:val="24"/>
          <w:szCs w:val="24"/>
        </w:rPr>
        <w:t>All Registered Merchant Bankers</w:t>
      </w:r>
    </w:p>
    <w:p w14:paraId="63F1A838" w14:textId="62D34131" w:rsidR="000F0263" w:rsidRDefault="000F0263" w:rsidP="00F4544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5D78E7D0" w14:textId="0777B7D3" w:rsidR="00033642" w:rsidRPr="00033642" w:rsidRDefault="00033642" w:rsidP="00F4544D">
      <w:pPr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033642">
        <w:rPr>
          <w:rFonts w:ascii="Book Antiqua" w:hAnsi="Book Antiqua"/>
          <w:b/>
          <w:bCs/>
          <w:sz w:val="28"/>
          <w:szCs w:val="28"/>
          <w:u w:val="single"/>
        </w:rPr>
        <w:t>Crux of the Notification:</w:t>
      </w:r>
    </w:p>
    <w:p w14:paraId="16D3DF30" w14:textId="5925FD7E" w:rsidR="00033642" w:rsidRDefault="00033642" w:rsidP="00F4544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217AA870" w14:textId="23E6E440" w:rsidR="00033642" w:rsidRPr="00033642" w:rsidRDefault="00033642" w:rsidP="00033642">
      <w:pPr>
        <w:pStyle w:val="ListParagraph"/>
        <w:numPr>
          <w:ilvl w:val="0"/>
          <w:numId w:val="31"/>
        </w:numPr>
        <w:ind w:right="380"/>
        <w:rPr>
          <w:rFonts w:ascii="Book Antiqua" w:hAnsi="Book Antiqua"/>
          <w:b/>
          <w:bCs/>
          <w:color w:val="FF0000"/>
          <w:sz w:val="28"/>
          <w:szCs w:val="28"/>
          <w:u w:val="single"/>
        </w:rPr>
      </w:pPr>
      <w:r w:rsidRPr="00033642">
        <w:rPr>
          <w:rFonts w:ascii="Book Antiqua" w:hAnsi="Book Antiqua"/>
          <w:b/>
          <w:bCs/>
          <w:color w:val="FF0000"/>
          <w:sz w:val="28"/>
          <w:szCs w:val="28"/>
          <w:u w:val="single"/>
        </w:rPr>
        <w:t>Previous Extension</w:t>
      </w:r>
    </w:p>
    <w:p w14:paraId="0704DAE8" w14:textId="604EA8EF" w:rsidR="00033642" w:rsidRDefault="00033642" w:rsidP="00F4544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44B3C191" w14:textId="0026C2BD" w:rsidR="00033642" w:rsidRDefault="00033642" w:rsidP="00033642">
      <w:pPr>
        <w:ind w:right="380"/>
        <w:jc w:val="both"/>
        <w:rPr>
          <w:rFonts w:ascii="Book Antiqua" w:hAnsi="Book Antiqua"/>
          <w:sz w:val="24"/>
          <w:szCs w:val="24"/>
        </w:rPr>
      </w:pPr>
      <w:r w:rsidRPr="00033642">
        <w:rPr>
          <w:rFonts w:ascii="Book Antiqua" w:hAnsi="Book Antiqua"/>
          <w:sz w:val="24"/>
          <w:szCs w:val="24"/>
        </w:rPr>
        <w:t>SEBI vide Circular no. SEBI/CIR/CFD/DCR1/CIR/P/2020/83 dated May 14, 2020</w:t>
      </w:r>
      <w:r>
        <w:rPr>
          <w:rFonts w:ascii="Book Antiqua" w:hAnsi="Book Antiqua"/>
          <w:sz w:val="24"/>
          <w:szCs w:val="24"/>
        </w:rPr>
        <w:t xml:space="preserve"> </w:t>
      </w:r>
      <w:r w:rsidRPr="00033642">
        <w:rPr>
          <w:rFonts w:ascii="Book Antiqua" w:hAnsi="Book Antiqua"/>
          <w:sz w:val="24"/>
          <w:szCs w:val="24"/>
        </w:rPr>
        <w:t>granted one time relaxations from strict enforcement of certain regulations of SEBI</w:t>
      </w:r>
      <w:r>
        <w:rPr>
          <w:rFonts w:ascii="Book Antiqua" w:hAnsi="Book Antiqua"/>
          <w:sz w:val="24"/>
          <w:szCs w:val="24"/>
        </w:rPr>
        <w:t xml:space="preserve"> </w:t>
      </w:r>
      <w:r w:rsidRPr="00033642">
        <w:rPr>
          <w:rFonts w:ascii="Book Antiqua" w:hAnsi="Book Antiqua"/>
          <w:sz w:val="24"/>
          <w:szCs w:val="24"/>
        </w:rPr>
        <w:t>(Substantial Acquisition of Shares and Takeovers) Regulations, 2011 and SEBI</w:t>
      </w:r>
      <w:r>
        <w:rPr>
          <w:rFonts w:ascii="Book Antiqua" w:hAnsi="Book Antiqua"/>
          <w:sz w:val="24"/>
          <w:szCs w:val="24"/>
        </w:rPr>
        <w:t xml:space="preserve"> </w:t>
      </w:r>
      <w:r w:rsidRPr="00033642">
        <w:rPr>
          <w:rFonts w:ascii="Book Antiqua" w:hAnsi="Book Antiqua"/>
          <w:sz w:val="24"/>
          <w:szCs w:val="24"/>
        </w:rPr>
        <w:t>(Buy-back of securities) Regulations, 2018 pertaining to open offers and buy-back</w:t>
      </w:r>
      <w:r>
        <w:rPr>
          <w:rFonts w:ascii="Book Antiqua" w:hAnsi="Book Antiqua"/>
          <w:sz w:val="24"/>
          <w:szCs w:val="24"/>
        </w:rPr>
        <w:t xml:space="preserve"> </w:t>
      </w:r>
      <w:r w:rsidRPr="00033642">
        <w:rPr>
          <w:rFonts w:ascii="Book Antiqua" w:hAnsi="Book Antiqua"/>
          <w:sz w:val="24"/>
          <w:szCs w:val="24"/>
        </w:rPr>
        <w:t xml:space="preserve">through tender </w:t>
      </w:r>
      <w:r w:rsidRPr="00033642">
        <w:rPr>
          <w:rFonts w:ascii="Book Antiqua" w:hAnsi="Book Antiqua"/>
          <w:b/>
          <w:bCs/>
          <w:sz w:val="24"/>
          <w:szCs w:val="24"/>
          <w:u w:val="single"/>
        </w:rPr>
        <w:t xml:space="preserve">offers opening </w:t>
      </w:r>
      <w:proofErr w:type="spellStart"/>
      <w:r w:rsidRPr="00033642">
        <w:rPr>
          <w:rFonts w:ascii="Book Antiqua" w:hAnsi="Book Antiqua"/>
          <w:b/>
          <w:bCs/>
          <w:sz w:val="24"/>
          <w:szCs w:val="24"/>
          <w:u w:val="single"/>
        </w:rPr>
        <w:t>upto</w:t>
      </w:r>
      <w:proofErr w:type="spellEnd"/>
      <w:r w:rsidRPr="00033642">
        <w:rPr>
          <w:rFonts w:ascii="Book Antiqua" w:hAnsi="Book Antiqua"/>
          <w:b/>
          <w:bCs/>
          <w:sz w:val="24"/>
          <w:szCs w:val="24"/>
          <w:u w:val="single"/>
        </w:rPr>
        <w:t xml:space="preserve"> July 31, 2020</w:t>
      </w:r>
      <w:r w:rsidRPr="00033642">
        <w:rPr>
          <w:rFonts w:ascii="Book Antiqua" w:hAnsi="Book Antiqua"/>
          <w:sz w:val="24"/>
          <w:szCs w:val="24"/>
        </w:rPr>
        <w:t>.</w:t>
      </w:r>
    </w:p>
    <w:p w14:paraId="6A097678" w14:textId="0812C113" w:rsidR="009B466A" w:rsidRDefault="009B466A" w:rsidP="00033642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6E04914B" w14:textId="6524C3B3" w:rsidR="009B466A" w:rsidRDefault="009B466A" w:rsidP="009B466A">
      <w:pPr>
        <w:ind w:right="380"/>
        <w:jc w:val="both"/>
        <w:rPr>
          <w:rFonts w:ascii="Book Antiqua" w:hAnsi="Book Antiqua"/>
          <w:sz w:val="24"/>
          <w:szCs w:val="24"/>
        </w:rPr>
      </w:pPr>
      <w:r w:rsidRPr="009B466A">
        <w:rPr>
          <w:rFonts w:ascii="Book Antiqua" w:hAnsi="Book Antiqua"/>
          <w:b/>
          <w:bCs/>
          <w:sz w:val="24"/>
          <w:szCs w:val="24"/>
        </w:rPr>
        <w:t>L</w:t>
      </w:r>
      <w:r w:rsidRPr="009B466A">
        <w:rPr>
          <w:rFonts w:ascii="Book Antiqua" w:hAnsi="Book Antiqua"/>
          <w:b/>
          <w:bCs/>
          <w:sz w:val="24"/>
          <w:szCs w:val="24"/>
        </w:rPr>
        <w:t>ink of the circular dated 14.05.2020</w:t>
      </w:r>
      <w:r w:rsidRPr="009B466A">
        <w:rPr>
          <w:rFonts w:ascii="Book Antiqua" w:hAnsi="Book Antiqua"/>
          <w:b/>
          <w:bCs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 xml:space="preserve"> </w:t>
      </w:r>
      <w:hyperlink r:id="rId7" w:history="1">
        <w:r w:rsidRPr="00234871">
          <w:rPr>
            <w:rStyle w:val="Hyperlink"/>
            <w:rFonts w:ascii="Book Antiqua" w:hAnsi="Book Antiqua"/>
            <w:sz w:val="24"/>
            <w:szCs w:val="24"/>
          </w:rPr>
          <w:t>https://www.sebi.gov.in/legal/circulars/may-2020/relaxations-relating-to-procedural-matters-takeovers-and-buy-back_46672.html</w:t>
        </w:r>
      </w:hyperlink>
      <w:r>
        <w:rPr>
          <w:rFonts w:ascii="Book Antiqua" w:hAnsi="Book Antiqua"/>
          <w:sz w:val="24"/>
          <w:szCs w:val="24"/>
        </w:rPr>
        <w:t xml:space="preserve"> </w:t>
      </w:r>
    </w:p>
    <w:p w14:paraId="5285B1D8" w14:textId="77777777" w:rsidR="009B466A" w:rsidRDefault="009B466A" w:rsidP="00033642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10384F53" w14:textId="77777777" w:rsidR="00033642" w:rsidRDefault="00033642" w:rsidP="00F4544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2D306094" w14:textId="11CC993B" w:rsidR="00033642" w:rsidRPr="00033642" w:rsidRDefault="00033642" w:rsidP="00033642">
      <w:pPr>
        <w:pStyle w:val="ListParagraph"/>
        <w:numPr>
          <w:ilvl w:val="0"/>
          <w:numId w:val="31"/>
        </w:numPr>
        <w:shd w:val="clear" w:color="auto" w:fill="002060"/>
        <w:ind w:right="380"/>
        <w:rPr>
          <w:rFonts w:ascii="Book Antiqua" w:hAnsi="Book Antiqua"/>
          <w:b/>
          <w:bCs/>
          <w:sz w:val="28"/>
          <w:szCs w:val="28"/>
        </w:rPr>
      </w:pPr>
      <w:r w:rsidRPr="00033642">
        <w:rPr>
          <w:rFonts w:ascii="Book Antiqua" w:hAnsi="Book Antiqua"/>
          <w:b/>
          <w:bCs/>
          <w:sz w:val="28"/>
          <w:szCs w:val="28"/>
        </w:rPr>
        <w:t>Further Extension:</w:t>
      </w:r>
    </w:p>
    <w:p w14:paraId="711F33FD" w14:textId="238D6ABD" w:rsidR="00033642" w:rsidRDefault="00033642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034495DA" w14:textId="7B687417" w:rsidR="00033642" w:rsidRDefault="00C56C19" w:rsidP="00C56C19">
      <w:pPr>
        <w:ind w:right="380"/>
        <w:jc w:val="both"/>
        <w:rPr>
          <w:rFonts w:ascii="Book Antiqua" w:hAnsi="Book Antiqua"/>
          <w:sz w:val="24"/>
          <w:szCs w:val="24"/>
        </w:rPr>
      </w:pPr>
      <w:r w:rsidRPr="00C56C19">
        <w:rPr>
          <w:rFonts w:ascii="Book Antiqua" w:hAnsi="Book Antiqua"/>
          <w:sz w:val="24"/>
          <w:szCs w:val="24"/>
        </w:rPr>
        <w:t>In view of the impact of the COVID-19 pandemic and the lockdown measures</w:t>
      </w:r>
      <w:r w:rsidR="00C84E36">
        <w:rPr>
          <w:rFonts w:ascii="Book Antiqua" w:hAnsi="Book Antiqua"/>
          <w:sz w:val="24"/>
          <w:szCs w:val="24"/>
        </w:rPr>
        <w:t xml:space="preserve"> </w:t>
      </w:r>
      <w:r w:rsidRPr="00C56C19">
        <w:rPr>
          <w:rFonts w:ascii="Book Antiqua" w:hAnsi="Book Antiqua"/>
          <w:sz w:val="24"/>
          <w:szCs w:val="24"/>
        </w:rPr>
        <w:t xml:space="preserve">undertaken by Central and State Governments, </w:t>
      </w:r>
      <w:r w:rsidR="00033642" w:rsidRPr="00033642">
        <w:rPr>
          <w:rFonts w:ascii="Book Antiqua" w:hAnsi="Book Antiqua"/>
          <w:sz w:val="24"/>
          <w:szCs w:val="24"/>
        </w:rPr>
        <w:t>Based on the representations received from the market participants, the validity of</w:t>
      </w:r>
      <w:r w:rsidR="00033642">
        <w:rPr>
          <w:rFonts w:ascii="Book Antiqua" w:hAnsi="Book Antiqua"/>
          <w:sz w:val="24"/>
          <w:szCs w:val="24"/>
        </w:rPr>
        <w:t xml:space="preserve"> </w:t>
      </w:r>
      <w:r w:rsidR="00033642" w:rsidRPr="00033642">
        <w:rPr>
          <w:rFonts w:ascii="Book Antiqua" w:hAnsi="Book Antiqua"/>
          <w:sz w:val="24"/>
          <w:szCs w:val="24"/>
        </w:rPr>
        <w:t>relaxations, as provided by Circular No. SEBI/CIR/CFD/DCR1/CIR/P/2020/83</w:t>
      </w:r>
      <w:r w:rsidR="00033642">
        <w:rPr>
          <w:rFonts w:ascii="Book Antiqua" w:hAnsi="Book Antiqua"/>
          <w:sz w:val="24"/>
          <w:szCs w:val="24"/>
        </w:rPr>
        <w:t xml:space="preserve"> </w:t>
      </w:r>
      <w:r w:rsidR="00033642" w:rsidRPr="00033642">
        <w:rPr>
          <w:rFonts w:ascii="Book Antiqua" w:hAnsi="Book Antiqua"/>
          <w:sz w:val="24"/>
          <w:szCs w:val="24"/>
        </w:rPr>
        <w:t xml:space="preserve">dated May 14, 2020 is further extended and </w:t>
      </w:r>
      <w:r w:rsidR="00033642" w:rsidRPr="00033642">
        <w:rPr>
          <w:rFonts w:ascii="Book Antiqua" w:hAnsi="Book Antiqua"/>
          <w:b/>
          <w:bCs/>
          <w:sz w:val="28"/>
          <w:szCs w:val="28"/>
          <w:u w:val="single"/>
        </w:rPr>
        <w:t>shall be applicable for open offers and</w:t>
      </w:r>
      <w:r w:rsidR="00033642" w:rsidRPr="00033642">
        <w:rPr>
          <w:rFonts w:ascii="Book Antiqua" w:hAnsi="Book Antiqua"/>
          <w:b/>
          <w:bCs/>
          <w:sz w:val="28"/>
          <w:szCs w:val="28"/>
          <w:u w:val="single"/>
        </w:rPr>
        <w:t xml:space="preserve"> </w:t>
      </w:r>
      <w:r w:rsidR="00033642" w:rsidRPr="00033642">
        <w:rPr>
          <w:rFonts w:ascii="Book Antiqua" w:hAnsi="Book Antiqua"/>
          <w:b/>
          <w:bCs/>
          <w:sz w:val="28"/>
          <w:szCs w:val="28"/>
          <w:u w:val="single"/>
        </w:rPr>
        <w:t xml:space="preserve">buy-back through tender offers opening </w:t>
      </w:r>
      <w:proofErr w:type="spellStart"/>
      <w:r w:rsidR="00033642" w:rsidRPr="00033642">
        <w:rPr>
          <w:rFonts w:ascii="Book Antiqua" w:hAnsi="Book Antiqua"/>
          <w:b/>
          <w:bCs/>
          <w:sz w:val="28"/>
          <w:szCs w:val="28"/>
          <w:u w:val="single"/>
        </w:rPr>
        <w:t>upto</w:t>
      </w:r>
      <w:proofErr w:type="spellEnd"/>
      <w:r w:rsidR="00033642" w:rsidRPr="00033642">
        <w:rPr>
          <w:rFonts w:ascii="Book Antiqua" w:hAnsi="Book Antiqua"/>
          <w:b/>
          <w:bCs/>
          <w:sz w:val="28"/>
          <w:szCs w:val="28"/>
          <w:u w:val="single"/>
        </w:rPr>
        <w:t xml:space="preserve"> December 31, 2020.</w:t>
      </w:r>
    </w:p>
    <w:p w14:paraId="795612E9" w14:textId="76207C30" w:rsidR="00033642" w:rsidRDefault="00033642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57492DE7" w14:textId="19BD73D0" w:rsidR="00033642" w:rsidRPr="00051070" w:rsidRDefault="00B02126" w:rsidP="00051070">
      <w:pPr>
        <w:pStyle w:val="ListParagraph"/>
        <w:numPr>
          <w:ilvl w:val="0"/>
          <w:numId w:val="31"/>
        </w:numPr>
        <w:shd w:val="clear" w:color="auto" w:fill="FDE9D9" w:themeFill="accent6" w:themeFillTint="33"/>
        <w:ind w:right="380"/>
        <w:rPr>
          <w:rFonts w:ascii="Book Antiqua" w:hAnsi="Book Antiqua"/>
          <w:b/>
          <w:bCs/>
          <w:color w:val="002060"/>
          <w:sz w:val="28"/>
          <w:szCs w:val="28"/>
        </w:rPr>
      </w:pPr>
      <w:r w:rsidRPr="00051070">
        <w:rPr>
          <w:rFonts w:ascii="Book Antiqua" w:hAnsi="Book Antiqua"/>
          <w:b/>
          <w:bCs/>
          <w:color w:val="002060"/>
          <w:sz w:val="28"/>
          <w:szCs w:val="28"/>
        </w:rPr>
        <w:t xml:space="preserve">Key measures of </w:t>
      </w:r>
      <w:r w:rsidRPr="00051070">
        <w:rPr>
          <w:rFonts w:ascii="Book Antiqua" w:hAnsi="Book Antiqua"/>
          <w:b/>
          <w:bCs/>
          <w:color w:val="002060"/>
          <w:sz w:val="28"/>
          <w:szCs w:val="28"/>
        </w:rPr>
        <w:t>SEBI/CIR/CFD/DCR1/CIR/P/2020/83 dated May 14, 2020</w:t>
      </w:r>
    </w:p>
    <w:p w14:paraId="304A3C16" w14:textId="77777777" w:rsidR="00B552D1" w:rsidRDefault="00B552D1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32BB5FDF" w14:textId="1F772025" w:rsidR="00ED7B4F" w:rsidRPr="00ED7B4F" w:rsidRDefault="00ED7B4F" w:rsidP="00ED7B4F">
      <w:pPr>
        <w:ind w:right="380"/>
        <w:jc w:val="both"/>
        <w:rPr>
          <w:rFonts w:ascii="Book Antiqua" w:hAnsi="Book Antiqua"/>
          <w:b/>
          <w:bCs/>
          <w:sz w:val="24"/>
          <w:szCs w:val="24"/>
        </w:rPr>
      </w:pPr>
      <w:r w:rsidRPr="00ED7B4F">
        <w:rPr>
          <w:rFonts w:ascii="Book Antiqua" w:hAnsi="Book Antiqua"/>
          <w:b/>
          <w:bCs/>
          <w:sz w:val="24"/>
          <w:szCs w:val="24"/>
        </w:rPr>
        <w:t>Service of the letter of offer and/or tender form and other offer related material to</w:t>
      </w:r>
      <w:r w:rsidRPr="00ED7B4F">
        <w:rPr>
          <w:rFonts w:ascii="Book Antiqua" w:hAnsi="Book Antiqua"/>
          <w:b/>
          <w:bCs/>
          <w:sz w:val="24"/>
          <w:szCs w:val="24"/>
        </w:rPr>
        <w:t xml:space="preserve"> </w:t>
      </w:r>
      <w:r w:rsidRPr="00ED7B4F">
        <w:rPr>
          <w:rFonts w:ascii="Book Antiqua" w:hAnsi="Book Antiqua"/>
          <w:b/>
          <w:bCs/>
          <w:sz w:val="24"/>
          <w:szCs w:val="24"/>
        </w:rPr>
        <w:t>shareholders may be undertaken by electronic transmission as already provided</w:t>
      </w:r>
      <w:r w:rsidRPr="00ED7B4F">
        <w:rPr>
          <w:rFonts w:ascii="Book Antiqua" w:hAnsi="Book Antiqua"/>
          <w:b/>
          <w:bCs/>
          <w:sz w:val="24"/>
          <w:szCs w:val="24"/>
        </w:rPr>
        <w:t xml:space="preserve"> </w:t>
      </w:r>
      <w:r w:rsidRPr="00ED7B4F">
        <w:rPr>
          <w:rFonts w:ascii="Book Antiqua" w:hAnsi="Book Antiqua"/>
          <w:b/>
          <w:bCs/>
          <w:sz w:val="24"/>
          <w:szCs w:val="24"/>
        </w:rPr>
        <w:lastRenderedPageBreak/>
        <w:t xml:space="preserve">under Regulation 18(2) of the Takeover Regulation and Regulation 9(ii) of Buyback Regulations subject to the </w:t>
      </w:r>
      <w:proofErr w:type="gramStart"/>
      <w:r w:rsidRPr="00ED7B4F">
        <w:rPr>
          <w:rFonts w:ascii="Book Antiqua" w:hAnsi="Book Antiqua"/>
          <w:b/>
          <w:bCs/>
          <w:sz w:val="24"/>
          <w:szCs w:val="24"/>
        </w:rPr>
        <w:t>following:-</w:t>
      </w:r>
      <w:proofErr w:type="gramEnd"/>
    </w:p>
    <w:p w14:paraId="612D0C35" w14:textId="77777777" w:rsidR="00ED7B4F" w:rsidRDefault="00ED7B4F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2C740979" w14:textId="5959B2CB" w:rsidR="00033642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 w:rsidRPr="0099630F">
        <w:rPr>
          <w:rFonts w:ascii="Book Antiqua" w:hAnsi="Book Antiqua"/>
          <w:sz w:val="24"/>
          <w:szCs w:val="24"/>
        </w:rPr>
        <w:t xml:space="preserve">1. </w:t>
      </w:r>
      <w:r w:rsidRPr="0099630F">
        <w:rPr>
          <w:rFonts w:ascii="Book Antiqua" w:hAnsi="Book Antiqua"/>
          <w:sz w:val="24"/>
          <w:szCs w:val="24"/>
        </w:rPr>
        <w:t>The acquirer / company shall publish the letter of offer and tender form on the websites of the company, registrar, stock exchanges and the manager(s) to offer.</w:t>
      </w:r>
    </w:p>
    <w:p w14:paraId="7423978A" w14:textId="14798D9C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163A528C" w14:textId="020A0D20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 w:rsidRPr="0099630F">
        <w:rPr>
          <w:rFonts w:ascii="Book Antiqua" w:hAnsi="Book Antiqua"/>
          <w:sz w:val="24"/>
          <w:szCs w:val="24"/>
        </w:rPr>
        <w:t xml:space="preserve">2. </w:t>
      </w:r>
      <w:r w:rsidRPr="0099630F">
        <w:rPr>
          <w:rFonts w:ascii="Book Antiqua" w:hAnsi="Book Antiqua"/>
          <w:sz w:val="24"/>
          <w:szCs w:val="24"/>
        </w:rPr>
        <w:t>The acquirer / company along with lead manager(s) shall undertake all adequate steps to reach out to the/its shareholders through other means such as ordinary post or SMS or audio-visual advertisement on television or digital advertisement, etc.</w:t>
      </w:r>
    </w:p>
    <w:p w14:paraId="56A64909" w14:textId="444CB1E4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4D515D95" w14:textId="6EFFE17F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 w:rsidRPr="0099630F">
        <w:rPr>
          <w:rFonts w:ascii="Book Antiqua" w:hAnsi="Book Antiqua"/>
          <w:sz w:val="24"/>
          <w:szCs w:val="24"/>
        </w:rPr>
        <w:t xml:space="preserve">3. </w:t>
      </w:r>
      <w:r w:rsidRPr="0099630F">
        <w:rPr>
          <w:rFonts w:ascii="Book Antiqua" w:hAnsi="Book Antiqua"/>
          <w:sz w:val="24"/>
          <w:szCs w:val="24"/>
        </w:rPr>
        <w:t>Further, the Acquirer/ Company shall make an advertisement containing details regarding the dispatch of the letter of offer electronically and availability of such</w:t>
      </w:r>
      <w:r w:rsidRPr="0099630F">
        <w:rPr>
          <w:rFonts w:ascii="Book Antiqua" w:hAnsi="Book Antiqua"/>
          <w:sz w:val="24"/>
          <w:szCs w:val="24"/>
        </w:rPr>
        <w:t xml:space="preserve"> </w:t>
      </w:r>
      <w:r w:rsidRPr="0099630F">
        <w:rPr>
          <w:rFonts w:ascii="Book Antiqua" w:hAnsi="Book Antiqua"/>
          <w:sz w:val="24"/>
          <w:szCs w:val="24"/>
        </w:rPr>
        <w:t>letter of offer along with the tender form on the website of the company, registrar and manager to the offer in the same newspapers in which (</w:t>
      </w:r>
      <w:proofErr w:type="spellStart"/>
      <w:r w:rsidRPr="0099630F">
        <w:rPr>
          <w:rFonts w:ascii="Book Antiqua" w:hAnsi="Book Antiqua"/>
          <w:sz w:val="24"/>
          <w:szCs w:val="24"/>
        </w:rPr>
        <w:t>i</w:t>
      </w:r>
      <w:proofErr w:type="spellEnd"/>
      <w:r w:rsidRPr="0099630F">
        <w:rPr>
          <w:rFonts w:ascii="Book Antiqua" w:hAnsi="Book Antiqua"/>
          <w:sz w:val="24"/>
          <w:szCs w:val="24"/>
        </w:rPr>
        <w:t>) detailed pubic statement was published as per regulation 14(3) of Takeover Regulation or (ii) public announcements was published as per regulation 7(</w:t>
      </w:r>
      <w:proofErr w:type="spellStart"/>
      <w:r w:rsidRPr="0099630F">
        <w:rPr>
          <w:rFonts w:ascii="Book Antiqua" w:hAnsi="Book Antiqua"/>
          <w:sz w:val="24"/>
          <w:szCs w:val="24"/>
        </w:rPr>
        <w:t>i</w:t>
      </w:r>
      <w:proofErr w:type="spellEnd"/>
      <w:r w:rsidRPr="0099630F">
        <w:rPr>
          <w:rFonts w:ascii="Book Antiqua" w:hAnsi="Book Antiqua"/>
          <w:sz w:val="24"/>
          <w:szCs w:val="24"/>
        </w:rPr>
        <w:t>) of Buy-back regulation.</w:t>
      </w:r>
    </w:p>
    <w:p w14:paraId="697AC7CF" w14:textId="26504803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70E75F92" w14:textId="35F904C0" w:rsidR="00A32705" w:rsidRPr="0099630F" w:rsidRDefault="0099630F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</w:t>
      </w:r>
      <w:r w:rsidR="00A32705" w:rsidRPr="0099630F">
        <w:rPr>
          <w:rFonts w:ascii="Book Antiqua" w:hAnsi="Book Antiqua"/>
          <w:sz w:val="24"/>
          <w:szCs w:val="24"/>
        </w:rPr>
        <w:t xml:space="preserve">. </w:t>
      </w:r>
      <w:r w:rsidR="00A32705" w:rsidRPr="0099630F">
        <w:rPr>
          <w:rFonts w:ascii="Book Antiqua" w:hAnsi="Book Antiqua"/>
          <w:sz w:val="24"/>
          <w:szCs w:val="24"/>
        </w:rPr>
        <w:t>Further, the acquirer/ company may have the flexibility to publish the dispatch advertisement in additional newspapers, over and above those required under the respective regulations.</w:t>
      </w:r>
    </w:p>
    <w:p w14:paraId="1B916F43" w14:textId="35662054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29F2F8D4" w14:textId="25CA4F37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 w:rsidRPr="0099630F">
        <w:rPr>
          <w:rFonts w:ascii="Book Antiqua" w:hAnsi="Book Antiqua"/>
          <w:sz w:val="24"/>
          <w:szCs w:val="24"/>
        </w:rPr>
        <w:t xml:space="preserve">5. </w:t>
      </w:r>
      <w:r w:rsidRPr="0099630F">
        <w:rPr>
          <w:rFonts w:ascii="Book Antiqua" w:hAnsi="Book Antiqua"/>
          <w:sz w:val="24"/>
          <w:szCs w:val="24"/>
        </w:rPr>
        <w:t>The acquirer/ company shall make use of advertisements in television channels, radio, internet etc. to disseminate information relating to the tendering process. Such advertisements can be in the form of crawlers/ tickers as well.</w:t>
      </w:r>
    </w:p>
    <w:p w14:paraId="5D4DA8CD" w14:textId="0751A6AE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62740B65" w14:textId="7D5D59BE" w:rsidR="00A32705" w:rsidRPr="0099630F" w:rsidRDefault="00A32705" w:rsidP="008E28BD">
      <w:pPr>
        <w:ind w:right="380"/>
        <w:jc w:val="both"/>
        <w:rPr>
          <w:rFonts w:ascii="Book Antiqua" w:hAnsi="Book Antiqua"/>
          <w:sz w:val="24"/>
          <w:szCs w:val="24"/>
        </w:rPr>
      </w:pPr>
      <w:r w:rsidRPr="0099630F">
        <w:rPr>
          <w:rFonts w:ascii="Book Antiqua" w:hAnsi="Book Antiqua"/>
          <w:sz w:val="24"/>
          <w:szCs w:val="24"/>
        </w:rPr>
        <w:t xml:space="preserve">6. </w:t>
      </w:r>
      <w:r w:rsidRPr="0099630F">
        <w:rPr>
          <w:rFonts w:ascii="Book Antiqua" w:hAnsi="Book Antiqua"/>
          <w:sz w:val="24"/>
          <w:szCs w:val="24"/>
        </w:rPr>
        <w:t>All the advertisement issued should also be made available on the website of the company, Registrar, Managers to the offer, and Stock Exchanges.</w:t>
      </w:r>
    </w:p>
    <w:p w14:paraId="0E34D149" w14:textId="7B927208" w:rsidR="00C56C19" w:rsidRPr="0099630F" w:rsidRDefault="00C56C19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511BD03A" w14:textId="77777777" w:rsidR="009B466A" w:rsidRPr="00A62D17" w:rsidRDefault="009B466A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674EA42E" w14:textId="17569DBC" w:rsidR="00D8062E" w:rsidRPr="00A813CC" w:rsidRDefault="001825C9" w:rsidP="00E420E6">
      <w:pPr>
        <w:ind w:right="380"/>
        <w:jc w:val="both"/>
        <w:rPr>
          <w:rFonts w:ascii="Book Antiqua" w:hAnsi="Book Antiqua"/>
          <w:sz w:val="24"/>
          <w:szCs w:val="24"/>
        </w:rPr>
      </w:pPr>
      <w:r w:rsidRPr="00A813CC">
        <w:rPr>
          <w:rFonts w:ascii="Book Antiqua" w:hAnsi="Book Antiqua"/>
          <w:b/>
          <w:bCs/>
          <w:sz w:val="24"/>
          <w:szCs w:val="24"/>
          <w:u w:val="single"/>
        </w:rPr>
        <w:t>Link of the Circular</w:t>
      </w:r>
      <w:r w:rsidR="007A5CDA">
        <w:rPr>
          <w:rFonts w:ascii="Book Antiqua" w:hAnsi="Book Antiqua"/>
          <w:b/>
          <w:bCs/>
          <w:sz w:val="24"/>
          <w:szCs w:val="24"/>
          <w:u w:val="single"/>
        </w:rPr>
        <w:t xml:space="preserve"> dated 27</w:t>
      </w:r>
      <w:r w:rsidR="007A5CDA" w:rsidRPr="007A5CDA">
        <w:rPr>
          <w:rFonts w:ascii="Book Antiqua" w:hAnsi="Book Antiqua"/>
          <w:b/>
          <w:bCs/>
          <w:sz w:val="24"/>
          <w:szCs w:val="24"/>
          <w:u w:val="single"/>
          <w:vertAlign w:val="superscript"/>
        </w:rPr>
        <w:t>th</w:t>
      </w:r>
      <w:r w:rsidR="007A5CDA">
        <w:rPr>
          <w:rFonts w:ascii="Book Antiqua" w:hAnsi="Book Antiqua"/>
          <w:b/>
          <w:bCs/>
          <w:sz w:val="24"/>
          <w:szCs w:val="24"/>
          <w:u w:val="single"/>
        </w:rPr>
        <w:t xml:space="preserve"> July, 2020</w:t>
      </w:r>
      <w:r w:rsidRPr="00A813CC">
        <w:rPr>
          <w:rFonts w:ascii="Book Antiqua" w:hAnsi="Book Antiqua"/>
          <w:b/>
          <w:bCs/>
          <w:sz w:val="24"/>
          <w:szCs w:val="24"/>
          <w:u w:val="single"/>
        </w:rPr>
        <w:t>:</w:t>
      </w:r>
      <w:r w:rsidRPr="00A813CC">
        <w:rPr>
          <w:rFonts w:ascii="Book Antiqua" w:hAnsi="Book Antiqua"/>
          <w:sz w:val="24"/>
          <w:szCs w:val="24"/>
        </w:rPr>
        <w:t xml:space="preserve"> </w:t>
      </w:r>
    </w:p>
    <w:p w14:paraId="3228C365" w14:textId="45ABB160" w:rsidR="00A813CC" w:rsidRPr="00160754" w:rsidRDefault="00160754" w:rsidP="00033642">
      <w:pPr>
        <w:ind w:right="380"/>
        <w:jc w:val="both"/>
        <w:rPr>
          <w:rFonts w:ascii="Palatino Linotype" w:hAnsi="Palatino Linotype"/>
          <w:sz w:val="24"/>
          <w:szCs w:val="24"/>
          <w:u w:val="single"/>
        </w:rPr>
      </w:pPr>
      <w:hyperlink r:id="rId8" w:history="1">
        <w:r w:rsidRPr="00160754">
          <w:rPr>
            <w:rStyle w:val="Hyperlink"/>
            <w:rFonts w:ascii="Palatino Linotype" w:hAnsi="Palatino Linotype"/>
            <w:sz w:val="24"/>
            <w:szCs w:val="24"/>
          </w:rPr>
          <w:t>https://www.sebi.gov.in/legal/circulars/jul-2020/relaxations-relating-to-procedural-matters-takeover-and-buy-back_47152.html</w:t>
        </w:r>
      </w:hyperlink>
    </w:p>
    <w:p w14:paraId="5CCE1240" w14:textId="77777777" w:rsidR="00160754" w:rsidRDefault="00160754" w:rsidP="00E420E6">
      <w:pPr>
        <w:ind w:right="380"/>
        <w:rPr>
          <w:rFonts w:ascii="Palatino Linotype" w:hAnsi="Palatino Linotype"/>
          <w:b/>
          <w:bCs/>
          <w:sz w:val="28"/>
          <w:szCs w:val="28"/>
          <w:u w:val="single"/>
        </w:rPr>
      </w:pPr>
    </w:p>
    <w:p w14:paraId="0366BA57" w14:textId="3F314F29" w:rsidR="00CE6DDF" w:rsidRPr="00CE6DDF" w:rsidRDefault="00CE6DDF" w:rsidP="00E420E6">
      <w:pPr>
        <w:ind w:right="380"/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CE6DDF">
        <w:rPr>
          <w:rFonts w:ascii="Palatino Linotype" w:hAnsi="Palatino Linotype"/>
          <w:b/>
          <w:bCs/>
          <w:sz w:val="28"/>
          <w:szCs w:val="28"/>
          <w:u w:val="single"/>
        </w:rPr>
        <w:t>Disclaimer:</w:t>
      </w:r>
    </w:p>
    <w:p w14:paraId="2E16AFE0" w14:textId="77777777" w:rsidR="00CE6DDF" w:rsidRPr="00CE6DDF" w:rsidRDefault="00CE6DDF" w:rsidP="00E420E6">
      <w:pPr>
        <w:ind w:right="380"/>
        <w:rPr>
          <w:b/>
          <w:bCs/>
          <w:sz w:val="28"/>
          <w:szCs w:val="28"/>
          <w:u w:val="single"/>
        </w:rPr>
      </w:pPr>
    </w:p>
    <w:p w14:paraId="65499F0E" w14:textId="278BA08D" w:rsidR="00DA30AB" w:rsidRDefault="00CE6DDF" w:rsidP="00E420E6">
      <w:pPr>
        <w:ind w:right="380"/>
        <w:jc w:val="both"/>
        <w:rPr>
          <w:rFonts w:ascii="Palatino Linotype" w:hAnsi="Palatino Linotype"/>
          <w:i/>
          <w:iCs/>
          <w:sz w:val="20"/>
          <w:szCs w:val="20"/>
        </w:rPr>
      </w:pPr>
      <w:r w:rsidRPr="00C7361E">
        <w:rPr>
          <w:rFonts w:ascii="Palatino Linotype" w:hAnsi="Palatino Linotype"/>
          <w:i/>
          <w:iCs/>
          <w:sz w:val="20"/>
          <w:szCs w:val="20"/>
        </w:rPr>
        <w:t>IN NO EVENT THE AUTHOR SHALL BE LIABLE FOR ANY DIRECT, INDIRECT, SPECIAL OR INCIDENTAL DAMAGE RESULTING FROM OR ARISING OUT OF OR IN CONNECTION WITH THE USE OF THIS INFORMATION.</w:t>
      </w:r>
    </w:p>
    <w:p w14:paraId="329B0A5B" w14:textId="00E90354" w:rsidR="005E435F" w:rsidRDefault="005E435F" w:rsidP="00E420E6">
      <w:pPr>
        <w:ind w:right="380"/>
        <w:jc w:val="both"/>
        <w:rPr>
          <w:rFonts w:ascii="Palatino Linotype" w:hAnsi="Palatino Linotype"/>
          <w:i/>
          <w:iCs/>
          <w:sz w:val="20"/>
          <w:szCs w:val="20"/>
        </w:rPr>
      </w:pPr>
    </w:p>
    <w:p w14:paraId="0B186D00" w14:textId="57CE2DA7" w:rsidR="00A14498" w:rsidRPr="00A14498" w:rsidRDefault="00A14498">
      <w:pPr>
        <w:rPr>
          <w:rFonts w:ascii="Palatino Linotype" w:hAnsi="Palatino Linotype"/>
          <w:sz w:val="28"/>
          <w:szCs w:val="28"/>
        </w:rPr>
      </w:pPr>
    </w:p>
    <w:sectPr w:rsidR="00A14498" w:rsidRPr="00A14498" w:rsidSect="001535F6">
      <w:headerReference w:type="default" r:id="rId9"/>
      <w:footerReference w:type="default" r:id="rId10"/>
      <w:pgSz w:w="12240" w:h="15840"/>
      <w:pgMar w:top="1080" w:right="780" w:bottom="1060" w:left="1720" w:header="667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1B6C5D" w14:textId="77777777" w:rsidR="00E451A5" w:rsidRDefault="00E451A5">
      <w:r>
        <w:separator/>
      </w:r>
    </w:p>
  </w:endnote>
  <w:endnote w:type="continuationSeparator" w:id="0">
    <w:p w14:paraId="6108AA30" w14:textId="77777777" w:rsidR="00E451A5" w:rsidRDefault="00E4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A6807" w14:textId="5438B5C0" w:rsidR="00A4249E" w:rsidRDefault="00A4249E">
    <w:pPr>
      <w:pStyle w:val="BodyText"/>
      <w:spacing w:line="14" w:lineRule="auto"/>
      <w:rPr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96436" w14:textId="77777777" w:rsidR="00E451A5" w:rsidRDefault="00E451A5">
      <w:r>
        <w:separator/>
      </w:r>
    </w:p>
  </w:footnote>
  <w:footnote w:type="continuationSeparator" w:id="0">
    <w:p w14:paraId="62008F8E" w14:textId="77777777" w:rsidR="00E451A5" w:rsidRDefault="00E45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67D8C" w14:textId="77777777" w:rsidR="00A4249E" w:rsidRDefault="00A4249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670D0"/>
    <w:multiLevelType w:val="hybridMultilevel"/>
    <w:tmpl w:val="DE90B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4F55"/>
    <w:multiLevelType w:val="hybridMultilevel"/>
    <w:tmpl w:val="4EC65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678"/>
    <w:multiLevelType w:val="hybridMultilevel"/>
    <w:tmpl w:val="48EAA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42321"/>
    <w:multiLevelType w:val="hybridMultilevel"/>
    <w:tmpl w:val="0442A6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D688B"/>
    <w:multiLevelType w:val="hybridMultilevel"/>
    <w:tmpl w:val="EBB4F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C248A"/>
    <w:multiLevelType w:val="hybridMultilevel"/>
    <w:tmpl w:val="E4808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04897"/>
    <w:multiLevelType w:val="hybridMultilevel"/>
    <w:tmpl w:val="0D862810"/>
    <w:lvl w:ilvl="0" w:tplc="498A98BC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C5213D0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999A101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C7DE278A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1E700098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330E0CCA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E9CCC57C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B64E6B9C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D9F40E0E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7" w15:restartNumberingAfterBreak="0">
    <w:nsid w:val="2C5E5E8E"/>
    <w:multiLevelType w:val="hybridMultilevel"/>
    <w:tmpl w:val="B65A4A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21D5F"/>
    <w:multiLevelType w:val="hybridMultilevel"/>
    <w:tmpl w:val="09A678A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3FAC7736"/>
    <w:multiLevelType w:val="hybridMultilevel"/>
    <w:tmpl w:val="3838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6246D"/>
    <w:multiLevelType w:val="hybridMultilevel"/>
    <w:tmpl w:val="4A669088"/>
    <w:lvl w:ilvl="0" w:tplc="3A36BB24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E3EA3A8A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3230C82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70F01514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F9222CCC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EF784D26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12885A64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22A46626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30BC1728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11" w15:restartNumberingAfterBreak="0">
    <w:nsid w:val="45311A66"/>
    <w:multiLevelType w:val="hybridMultilevel"/>
    <w:tmpl w:val="C94CD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61141"/>
    <w:multiLevelType w:val="hybridMultilevel"/>
    <w:tmpl w:val="4D7CF522"/>
    <w:lvl w:ilvl="0" w:tplc="E1C86500">
      <w:start w:val="1"/>
      <w:numFmt w:val="decimal"/>
      <w:lvlText w:val="%1."/>
      <w:lvlJc w:val="left"/>
      <w:pPr>
        <w:ind w:left="345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29B432B0">
      <w:numFmt w:val="bullet"/>
      <w:lvlText w:val="•"/>
      <w:lvlJc w:val="left"/>
      <w:pPr>
        <w:ind w:left="478" w:hanging="248"/>
      </w:pPr>
      <w:rPr>
        <w:rFonts w:hint="default"/>
        <w:lang w:val="en-US" w:eastAsia="en-US" w:bidi="en-US"/>
      </w:rPr>
    </w:lvl>
    <w:lvl w:ilvl="2" w:tplc="D8DAB5F2">
      <w:numFmt w:val="bullet"/>
      <w:lvlText w:val="•"/>
      <w:lvlJc w:val="left"/>
      <w:pPr>
        <w:ind w:left="616" w:hanging="248"/>
      </w:pPr>
      <w:rPr>
        <w:rFonts w:hint="default"/>
        <w:lang w:val="en-US" w:eastAsia="en-US" w:bidi="en-US"/>
      </w:rPr>
    </w:lvl>
    <w:lvl w:ilvl="3" w:tplc="89120622">
      <w:numFmt w:val="bullet"/>
      <w:lvlText w:val="•"/>
      <w:lvlJc w:val="left"/>
      <w:pPr>
        <w:ind w:left="754" w:hanging="248"/>
      </w:pPr>
      <w:rPr>
        <w:rFonts w:hint="default"/>
        <w:lang w:val="en-US" w:eastAsia="en-US" w:bidi="en-US"/>
      </w:rPr>
    </w:lvl>
    <w:lvl w:ilvl="4" w:tplc="8C04219A">
      <w:numFmt w:val="bullet"/>
      <w:lvlText w:val="•"/>
      <w:lvlJc w:val="left"/>
      <w:pPr>
        <w:ind w:left="893" w:hanging="248"/>
      </w:pPr>
      <w:rPr>
        <w:rFonts w:hint="default"/>
        <w:lang w:val="en-US" w:eastAsia="en-US" w:bidi="en-US"/>
      </w:rPr>
    </w:lvl>
    <w:lvl w:ilvl="5" w:tplc="6F4A0A18">
      <w:numFmt w:val="bullet"/>
      <w:lvlText w:val="•"/>
      <w:lvlJc w:val="left"/>
      <w:pPr>
        <w:ind w:left="1031" w:hanging="248"/>
      </w:pPr>
      <w:rPr>
        <w:rFonts w:hint="default"/>
        <w:lang w:val="en-US" w:eastAsia="en-US" w:bidi="en-US"/>
      </w:rPr>
    </w:lvl>
    <w:lvl w:ilvl="6" w:tplc="AA46CA10">
      <w:numFmt w:val="bullet"/>
      <w:lvlText w:val="•"/>
      <w:lvlJc w:val="left"/>
      <w:pPr>
        <w:ind w:left="1169" w:hanging="248"/>
      </w:pPr>
      <w:rPr>
        <w:rFonts w:hint="default"/>
        <w:lang w:val="en-US" w:eastAsia="en-US" w:bidi="en-US"/>
      </w:rPr>
    </w:lvl>
    <w:lvl w:ilvl="7" w:tplc="79F04CC0">
      <w:numFmt w:val="bullet"/>
      <w:lvlText w:val="•"/>
      <w:lvlJc w:val="left"/>
      <w:pPr>
        <w:ind w:left="1308" w:hanging="248"/>
      </w:pPr>
      <w:rPr>
        <w:rFonts w:hint="default"/>
        <w:lang w:val="en-US" w:eastAsia="en-US" w:bidi="en-US"/>
      </w:rPr>
    </w:lvl>
    <w:lvl w:ilvl="8" w:tplc="ECC4D144">
      <w:numFmt w:val="bullet"/>
      <w:lvlText w:val="•"/>
      <w:lvlJc w:val="left"/>
      <w:pPr>
        <w:ind w:left="1446" w:hanging="248"/>
      </w:pPr>
      <w:rPr>
        <w:rFonts w:hint="default"/>
        <w:lang w:val="en-US" w:eastAsia="en-US" w:bidi="en-US"/>
      </w:rPr>
    </w:lvl>
  </w:abstractNum>
  <w:abstractNum w:abstractNumId="13" w15:restartNumberingAfterBreak="0">
    <w:nsid w:val="4B485249"/>
    <w:multiLevelType w:val="hybridMultilevel"/>
    <w:tmpl w:val="E3DAE7D8"/>
    <w:lvl w:ilvl="0" w:tplc="1012092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9C90E672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699616BA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C04575C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DF3C839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EB4AFD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E8B4D8B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B9023720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284E82C0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14" w15:restartNumberingAfterBreak="0">
    <w:nsid w:val="4F860D35"/>
    <w:multiLevelType w:val="hybridMultilevel"/>
    <w:tmpl w:val="DDC4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A55AB"/>
    <w:multiLevelType w:val="hybridMultilevel"/>
    <w:tmpl w:val="88CA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A5D94"/>
    <w:multiLevelType w:val="hybridMultilevel"/>
    <w:tmpl w:val="95546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61CC1"/>
    <w:multiLevelType w:val="hybridMultilevel"/>
    <w:tmpl w:val="9BF44B50"/>
    <w:lvl w:ilvl="0" w:tplc="CC5EB978">
      <w:start w:val="1"/>
      <w:numFmt w:val="decimal"/>
      <w:lvlText w:val="%1."/>
      <w:lvlJc w:val="left"/>
      <w:pPr>
        <w:ind w:left="495" w:hanging="338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2469F18">
      <w:start w:val="1"/>
      <w:numFmt w:val="decimal"/>
      <w:lvlText w:val="%1.%2."/>
      <w:lvlJc w:val="left"/>
      <w:pPr>
        <w:ind w:left="900" w:hanging="46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0060A702">
      <w:numFmt w:val="bullet"/>
      <w:lvlText w:val="•"/>
      <w:lvlJc w:val="left"/>
      <w:pPr>
        <w:ind w:left="1882" w:hanging="469"/>
      </w:pPr>
      <w:rPr>
        <w:rFonts w:hint="default"/>
        <w:lang w:val="en-US" w:eastAsia="en-US" w:bidi="en-US"/>
      </w:rPr>
    </w:lvl>
    <w:lvl w:ilvl="3" w:tplc="79949D9E">
      <w:numFmt w:val="bullet"/>
      <w:lvlText w:val="•"/>
      <w:lvlJc w:val="left"/>
      <w:pPr>
        <w:ind w:left="2864" w:hanging="469"/>
      </w:pPr>
      <w:rPr>
        <w:rFonts w:hint="default"/>
        <w:lang w:val="en-US" w:eastAsia="en-US" w:bidi="en-US"/>
      </w:rPr>
    </w:lvl>
    <w:lvl w:ilvl="4" w:tplc="2F624376">
      <w:numFmt w:val="bullet"/>
      <w:lvlText w:val="•"/>
      <w:lvlJc w:val="left"/>
      <w:pPr>
        <w:ind w:left="3846" w:hanging="469"/>
      </w:pPr>
      <w:rPr>
        <w:rFonts w:hint="default"/>
        <w:lang w:val="en-US" w:eastAsia="en-US" w:bidi="en-US"/>
      </w:rPr>
    </w:lvl>
    <w:lvl w:ilvl="5" w:tplc="5D5AD6E8">
      <w:numFmt w:val="bullet"/>
      <w:lvlText w:val="•"/>
      <w:lvlJc w:val="left"/>
      <w:pPr>
        <w:ind w:left="4828" w:hanging="469"/>
      </w:pPr>
      <w:rPr>
        <w:rFonts w:hint="default"/>
        <w:lang w:val="en-US" w:eastAsia="en-US" w:bidi="en-US"/>
      </w:rPr>
    </w:lvl>
    <w:lvl w:ilvl="6" w:tplc="FC4A57C8">
      <w:numFmt w:val="bullet"/>
      <w:lvlText w:val="•"/>
      <w:lvlJc w:val="left"/>
      <w:pPr>
        <w:ind w:left="5811" w:hanging="469"/>
      </w:pPr>
      <w:rPr>
        <w:rFonts w:hint="default"/>
        <w:lang w:val="en-US" w:eastAsia="en-US" w:bidi="en-US"/>
      </w:rPr>
    </w:lvl>
    <w:lvl w:ilvl="7" w:tplc="FC58576C">
      <w:numFmt w:val="bullet"/>
      <w:lvlText w:val="•"/>
      <w:lvlJc w:val="left"/>
      <w:pPr>
        <w:ind w:left="6793" w:hanging="469"/>
      </w:pPr>
      <w:rPr>
        <w:rFonts w:hint="default"/>
        <w:lang w:val="en-US" w:eastAsia="en-US" w:bidi="en-US"/>
      </w:rPr>
    </w:lvl>
    <w:lvl w:ilvl="8" w:tplc="3AE26626">
      <w:numFmt w:val="bullet"/>
      <w:lvlText w:val="•"/>
      <w:lvlJc w:val="left"/>
      <w:pPr>
        <w:ind w:left="7775" w:hanging="469"/>
      </w:pPr>
      <w:rPr>
        <w:rFonts w:hint="default"/>
        <w:lang w:val="en-US" w:eastAsia="en-US" w:bidi="en-US"/>
      </w:rPr>
    </w:lvl>
  </w:abstractNum>
  <w:abstractNum w:abstractNumId="18" w15:restartNumberingAfterBreak="0">
    <w:nsid w:val="56BA733F"/>
    <w:multiLevelType w:val="hybridMultilevel"/>
    <w:tmpl w:val="1BE0D4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86947"/>
    <w:multiLevelType w:val="hybridMultilevel"/>
    <w:tmpl w:val="08808B1E"/>
    <w:lvl w:ilvl="0" w:tplc="8856B536">
      <w:start w:val="1"/>
      <w:numFmt w:val="decimal"/>
      <w:lvlText w:val="%1."/>
      <w:lvlJc w:val="left"/>
      <w:pPr>
        <w:ind w:left="557" w:hanging="401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4E22C550">
      <w:start w:val="1"/>
      <w:numFmt w:val="decimal"/>
      <w:lvlText w:val="%1.%2."/>
      <w:lvlJc w:val="left"/>
      <w:pPr>
        <w:ind w:left="900" w:hanging="407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21BA53A2">
      <w:numFmt w:val="bullet"/>
      <w:lvlText w:val="•"/>
      <w:lvlJc w:val="left"/>
      <w:pPr>
        <w:ind w:left="1882" w:hanging="407"/>
      </w:pPr>
      <w:rPr>
        <w:rFonts w:hint="default"/>
        <w:lang w:val="en-US" w:eastAsia="en-US" w:bidi="en-US"/>
      </w:rPr>
    </w:lvl>
    <w:lvl w:ilvl="3" w:tplc="D466F5FC">
      <w:numFmt w:val="bullet"/>
      <w:lvlText w:val="•"/>
      <w:lvlJc w:val="left"/>
      <w:pPr>
        <w:ind w:left="2864" w:hanging="407"/>
      </w:pPr>
      <w:rPr>
        <w:rFonts w:hint="default"/>
        <w:lang w:val="en-US" w:eastAsia="en-US" w:bidi="en-US"/>
      </w:rPr>
    </w:lvl>
    <w:lvl w:ilvl="4" w:tplc="8B1405A8">
      <w:numFmt w:val="bullet"/>
      <w:lvlText w:val="•"/>
      <w:lvlJc w:val="left"/>
      <w:pPr>
        <w:ind w:left="3846" w:hanging="407"/>
      </w:pPr>
      <w:rPr>
        <w:rFonts w:hint="default"/>
        <w:lang w:val="en-US" w:eastAsia="en-US" w:bidi="en-US"/>
      </w:rPr>
    </w:lvl>
    <w:lvl w:ilvl="5" w:tplc="72327D0A">
      <w:numFmt w:val="bullet"/>
      <w:lvlText w:val="•"/>
      <w:lvlJc w:val="left"/>
      <w:pPr>
        <w:ind w:left="4828" w:hanging="407"/>
      </w:pPr>
      <w:rPr>
        <w:rFonts w:hint="default"/>
        <w:lang w:val="en-US" w:eastAsia="en-US" w:bidi="en-US"/>
      </w:rPr>
    </w:lvl>
    <w:lvl w:ilvl="6" w:tplc="5C08239C">
      <w:numFmt w:val="bullet"/>
      <w:lvlText w:val="•"/>
      <w:lvlJc w:val="left"/>
      <w:pPr>
        <w:ind w:left="5811" w:hanging="407"/>
      </w:pPr>
      <w:rPr>
        <w:rFonts w:hint="default"/>
        <w:lang w:val="en-US" w:eastAsia="en-US" w:bidi="en-US"/>
      </w:rPr>
    </w:lvl>
    <w:lvl w:ilvl="7" w:tplc="825A2B68">
      <w:numFmt w:val="bullet"/>
      <w:lvlText w:val="•"/>
      <w:lvlJc w:val="left"/>
      <w:pPr>
        <w:ind w:left="6793" w:hanging="407"/>
      </w:pPr>
      <w:rPr>
        <w:rFonts w:hint="default"/>
        <w:lang w:val="en-US" w:eastAsia="en-US" w:bidi="en-US"/>
      </w:rPr>
    </w:lvl>
    <w:lvl w:ilvl="8" w:tplc="B80C30CE">
      <w:numFmt w:val="bullet"/>
      <w:lvlText w:val="•"/>
      <w:lvlJc w:val="left"/>
      <w:pPr>
        <w:ind w:left="7775" w:hanging="407"/>
      </w:pPr>
      <w:rPr>
        <w:rFonts w:hint="default"/>
        <w:lang w:val="en-US" w:eastAsia="en-US" w:bidi="en-US"/>
      </w:rPr>
    </w:lvl>
  </w:abstractNum>
  <w:abstractNum w:abstractNumId="20" w15:restartNumberingAfterBreak="0">
    <w:nsid w:val="5F446CFA"/>
    <w:multiLevelType w:val="hybridMultilevel"/>
    <w:tmpl w:val="F7DEA05A"/>
    <w:lvl w:ilvl="0" w:tplc="34DC47C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16644476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D09209B8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9A2F2A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1A409A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F2B256E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BD2CB68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2AE8533A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3322298A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21" w15:restartNumberingAfterBreak="0">
    <w:nsid w:val="67526FE4"/>
    <w:multiLevelType w:val="hybridMultilevel"/>
    <w:tmpl w:val="9312C342"/>
    <w:lvl w:ilvl="0" w:tplc="3EEAE882">
      <w:start w:val="1"/>
      <w:numFmt w:val="decimal"/>
      <w:lvlText w:val="%1."/>
      <w:lvlJc w:val="left"/>
      <w:pPr>
        <w:ind w:left="97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485A2904">
      <w:numFmt w:val="bullet"/>
      <w:lvlText w:val="•"/>
      <w:lvlJc w:val="left"/>
      <w:pPr>
        <w:ind w:left="262" w:hanging="248"/>
      </w:pPr>
      <w:rPr>
        <w:rFonts w:hint="default"/>
        <w:lang w:val="en-US" w:eastAsia="en-US" w:bidi="en-US"/>
      </w:rPr>
    </w:lvl>
    <w:lvl w:ilvl="2" w:tplc="CA76B694">
      <w:numFmt w:val="bullet"/>
      <w:lvlText w:val="•"/>
      <w:lvlJc w:val="left"/>
      <w:pPr>
        <w:ind w:left="424" w:hanging="248"/>
      </w:pPr>
      <w:rPr>
        <w:rFonts w:hint="default"/>
        <w:lang w:val="en-US" w:eastAsia="en-US" w:bidi="en-US"/>
      </w:rPr>
    </w:lvl>
    <w:lvl w:ilvl="3" w:tplc="D15C39AA">
      <w:numFmt w:val="bullet"/>
      <w:lvlText w:val="•"/>
      <w:lvlJc w:val="left"/>
      <w:pPr>
        <w:ind w:left="586" w:hanging="248"/>
      </w:pPr>
      <w:rPr>
        <w:rFonts w:hint="default"/>
        <w:lang w:val="en-US" w:eastAsia="en-US" w:bidi="en-US"/>
      </w:rPr>
    </w:lvl>
    <w:lvl w:ilvl="4" w:tplc="780CF6C6">
      <w:numFmt w:val="bullet"/>
      <w:lvlText w:val="•"/>
      <w:lvlJc w:val="left"/>
      <w:pPr>
        <w:ind w:left="749" w:hanging="248"/>
      </w:pPr>
      <w:rPr>
        <w:rFonts w:hint="default"/>
        <w:lang w:val="en-US" w:eastAsia="en-US" w:bidi="en-US"/>
      </w:rPr>
    </w:lvl>
    <w:lvl w:ilvl="5" w:tplc="BC0CD1D2">
      <w:numFmt w:val="bullet"/>
      <w:lvlText w:val="•"/>
      <w:lvlJc w:val="left"/>
      <w:pPr>
        <w:ind w:left="911" w:hanging="248"/>
      </w:pPr>
      <w:rPr>
        <w:rFonts w:hint="default"/>
        <w:lang w:val="en-US" w:eastAsia="en-US" w:bidi="en-US"/>
      </w:rPr>
    </w:lvl>
    <w:lvl w:ilvl="6" w:tplc="EE7A82FE">
      <w:numFmt w:val="bullet"/>
      <w:lvlText w:val="•"/>
      <w:lvlJc w:val="left"/>
      <w:pPr>
        <w:ind w:left="1073" w:hanging="248"/>
      </w:pPr>
      <w:rPr>
        <w:rFonts w:hint="default"/>
        <w:lang w:val="en-US" w:eastAsia="en-US" w:bidi="en-US"/>
      </w:rPr>
    </w:lvl>
    <w:lvl w:ilvl="7" w:tplc="D27EA156">
      <w:numFmt w:val="bullet"/>
      <w:lvlText w:val="•"/>
      <w:lvlJc w:val="left"/>
      <w:pPr>
        <w:ind w:left="1236" w:hanging="248"/>
      </w:pPr>
      <w:rPr>
        <w:rFonts w:hint="default"/>
        <w:lang w:val="en-US" w:eastAsia="en-US" w:bidi="en-US"/>
      </w:rPr>
    </w:lvl>
    <w:lvl w:ilvl="8" w:tplc="094C0FF6">
      <w:numFmt w:val="bullet"/>
      <w:lvlText w:val="•"/>
      <w:lvlJc w:val="left"/>
      <w:pPr>
        <w:ind w:left="1398" w:hanging="248"/>
      </w:pPr>
      <w:rPr>
        <w:rFonts w:hint="default"/>
        <w:lang w:val="en-US" w:eastAsia="en-US" w:bidi="en-US"/>
      </w:rPr>
    </w:lvl>
  </w:abstractNum>
  <w:abstractNum w:abstractNumId="22" w15:restartNumberingAfterBreak="0">
    <w:nsid w:val="6A4E1396"/>
    <w:multiLevelType w:val="hybridMultilevel"/>
    <w:tmpl w:val="4AE2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E0913"/>
    <w:multiLevelType w:val="hybridMultilevel"/>
    <w:tmpl w:val="2820B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0605E"/>
    <w:multiLevelType w:val="hybridMultilevel"/>
    <w:tmpl w:val="9ACE5F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42BFC"/>
    <w:multiLevelType w:val="hybridMultilevel"/>
    <w:tmpl w:val="43F44E6A"/>
    <w:lvl w:ilvl="0" w:tplc="ADC8708A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E932CE6E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107821C6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066259F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A86ADAA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05DE7E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AE60261E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A8B4A1F6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E21E1E8C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26" w15:restartNumberingAfterBreak="0">
    <w:nsid w:val="783B36B0"/>
    <w:multiLevelType w:val="hybridMultilevel"/>
    <w:tmpl w:val="B7C2324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8C740C7"/>
    <w:multiLevelType w:val="hybridMultilevel"/>
    <w:tmpl w:val="AE6E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21836"/>
    <w:multiLevelType w:val="hybridMultilevel"/>
    <w:tmpl w:val="E8FA4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B7B18"/>
    <w:multiLevelType w:val="hybridMultilevel"/>
    <w:tmpl w:val="137E1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08373D"/>
    <w:multiLevelType w:val="hybridMultilevel"/>
    <w:tmpl w:val="C6D684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6"/>
  </w:num>
  <w:num w:numId="4">
    <w:abstractNumId w:val="10"/>
  </w:num>
  <w:num w:numId="5">
    <w:abstractNumId w:val="21"/>
  </w:num>
  <w:num w:numId="6">
    <w:abstractNumId w:val="13"/>
  </w:num>
  <w:num w:numId="7">
    <w:abstractNumId w:val="12"/>
  </w:num>
  <w:num w:numId="8">
    <w:abstractNumId w:val="19"/>
  </w:num>
  <w:num w:numId="9">
    <w:abstractNumId w:val="17"/>
  </w:num>
  <w:num w:numId="10">
    <w:abstractNumId w:val="15"/>
  </w:num>
  <w:num w:numId="11">
    <w:abstractNumId w:val="2"/>
  </w:num>
  <w:num w:numId="12">
    <w:abstractNumId w:val="11"/>
  </w:num>
  <w:num w:numId="13">
    <w:abstractNumId w:val="29"/>
  </w:num>
  <w:num w:numId="14">
    <w:abstractNumId w:val="22"/>
  </w:num>
  <w:num w:numId="15">
    <w:abstractNumId w:val="3"/>
  </w:num>
  <w:num w:numId="16">
    <w:abstractNumId w:val="4"/>
  </w:num>
  <w:num w:numId="17">
    <w:abstractNumId w:val="5"/>
  </w:num>
  <w:num w:numId="18">
    <w:abstractNumId w:val="24"/>
  </w:num>
  <w:num w:numId="19">
    <w:abstractNumId w:val="0"/>
  </w:num>
  <w:num w:numId="20">
    <w:abstractNumId w:val="1"/>
  </w:num>
  <w:num w:numId="21">
    <w:abstractNumId w:val="26"/>
  </w:num>
  <w:num w:numId="22">
    <w:abstractNumId w:val="30"/>
  </w:num>
  <w:num w:numId="23">
    <w:abstractNumId w:val="27"/>
  </w:num>
  <w:num w:numId="24">
    <w:abstractNumId w:val="9"/>
  </w:num>
  <w:num w:numId="25">
    <w:abstractNumId w:val="28"/>
  </w:num>
  <w:num w:numId="26">
    <w:abstractNumId w:val="7"/>
  </w:num>
  <w:num w:numId="27">
    <w:abstractNumId w:val="14"/>
  </w:num>
  <w:num w:numId="28">
    <w:abstractNumId w:val="18"/>
  </w:num>
  <w:num w:numId="29">
    <w:abstractNumId w:val="8"/>
  </w:num>
  <w:num w:numId="30">
    <w:abstractNumId w:val="16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49E"/>
    <w:rsid w:val="00000067"/>
    <w:rsid w:val="000012DD"/>
    <w:rsid w:val="00013133"/>
    <w:rsid w:val="00026773"/>
    <w:rsid w:val="0003125D"/>
    <w:rsid w:val="00033642"/>
    <w:rsid w:val="00046544"/>
    <w:rsid w:val="00051070"/>
    <w:rsid w:val="0006313F"/>
    <w:rsid w:val="000649CC"/>
    <w:rsid w:val="000A70BA"/>
    <w:rsid w:val="000D7ABE"/>
    <w:rsid w:val="000E0951"/>
    <w:rsid w:val="000F0263"/>
    <w:rsid w:val="0010243C"/>
    <w:rsid w:val="00125421"/>
    <w:rsid w:val="00142E0A"/>
    <w:rsid w:val="00144C31"/>
    <w:rsid w:val="001535F6"/>
    <w:rsid w:val="00160754"/>
    <w:rsid w:val="00163C4F"/>
    <w:rsid w:val="0017081E"/>
    <w:rsid w:val="0017357D"/>
    <w:rsid w:val="001825C9"/>
    <w:rsid w:val="001833BF"/>
    <w:rsid w:val="0019564A"/>
    <w:rsid w:val="001B0A2B"/>
    <w:rsid w:val="001B2809"/>
    <w:rsid w:val="001E0ED7"/>
    <w:rsid w:val="001F38D8"/>
    <w:rsid w:val="001F3F58"/>
    <w:rsid w:val="001F69CB"/>
    <w:rsid w:val="00221A7D"/>
    <w:rsid w:val="00243CFA"/>
    <w:rsid w:val="002510C9"/>
    <w:rsid w:val="002706F7"/>
    <w:rsid w:val="00275C7C"/>
    <w:rsid w:val="00293D18"/>
    <w:rsid w:val="002E108A"/>
    <w:rsid w:val="0031340E"/>
    <w:rsid w:val="00316C17"/>
    <w:rsid w:val="003603CF"/>
    <w:rsid w:val="00375D6F"/>
    <w:rsid w:val="00391C36"/>
    <w:rsid w:val="003B1E7D"/>
    <w:rsid w:val="003B2519"/>
    <w:rsid w:val="003B37BF"/>
    <w:rsid w:val="003B514C"/>
    <w:rsid w:val="003C1D2C"/>
    <w:rsid w:val="003D7AA9"/>
    <w:rsid w:val="003F1087"/>
    <w:rsid w:val="004732AC"/>
    <w:rsid w:val="00484633"/>
    <w:rsid w:val="00486595"/>
    <w:rsid w:val="00490114"/>
    <w:rsid w:val="004A686D"/>
    <w:rsid w:val="004B1338"/>
    <w:rsid w:val="004B7198"/>
    <w:rsid w:val="004C21DB"/>
    <w:rsid w:val="004C243B"/>
    <w:rsid w:val="00501823"/>
    <w:rsid w:val="00510712"/>
    <w:rsid w:val="005178E3"/>
    <w:rsid w:val="0052253D"/>
    <w:rsid w:val="0053036F"/>
    <w:rsid w:val="0053670A"/>
    <w:rsid w:val="005548A1"/>
    <w:rsid w:val="005604EA"/>
    <w:rsid w:val="00562224"/>
    <w:rsid w:val="005642F2"/>
    <w:rsid w:val="005B67C0"/>
    <w:rsid w:val="005C30CB"/>
    <w:rsid w:val="005D0F71"/>
    <w:rsid w:val="005E435F"/>
    <w:rsid w:val="005E7268"/>
    <w:rsid w:val="006117B8"/>
    <w:rsid w:val="00645C0E"/>
    <w:rsid w:val="006467A5"/>
    <w:rsid w:val="00663F0E"/>
    <w:rsid w:val="006C7344"/>
    <w:rsid w:val="006F5A11"/>
    <w:rsid w:val="00721B2B"/>
    <w:rsid w:val="007350FB"/>
    <w:rsid w:val="00736FBE"/>
    <w:rsid w:val="00762969"/>
    <w:rsid w:val="007633D1"/>
    <w:rsid w:val="00775060"/>
    <w:rsid w:val="0079592B"/>
    <w:rsid w:val="007A1A3D"/>
    <w:rsid w:val="007A5CDA"/>
    <w:rsid w:val="007C4A92"/>
    <w:rsid w:val="007E0844"/>
    <w:rsid w:val="007E7675"/>
    <w:rsid w:val="007F13A8"/>
    <w:rsid w:val="00817931"/>
    <w:rsid w:val="008209C1"/>
    <w:rsid w:val="00825D38"/>
    <w:rsid w:val="008562AB"/>
    <w:rsid w:val="00865320"/>
    <w:rsid w:val="00880710"/>
    <w:rsid w:val="0088261C"/>
    <w:rsid w:val="008964E8"/>
    <w:rsid w:val="008D2DA3"/>
    <w:rsid w:val="008E28BD"/>
    <w:rsid w:val="008E6F36"/>
    <w:rsid w:val="008F0D4C"/>
    <w:rsid w:val="009313E5"/>
    <w:rsid w:val="00950F37"/>
    <w:rsid w:val="00965AC0"/>
    <w:rsid w:val="00975CA4"/>
    <w:rsid w:val="00992D27"/>
    <w:rsid w:val="0099630F"/>
    <w:rsid w:val="009B3F7F"/>
    <w:rsid w:val="009B466A"/>
    <w:rsid w:val="00A0658F"/>
    <w:rsid w:val="00A14498"/>
    <w:rsid w:val="00A234B9"/>
    <w:rsid w:val="00A32705"/>
    <w:rsid w:val="00A33E5A"/>
    <w:rsid w:val="00A4249E"/>
    <w:rsid w:val="00A439FB"/>
    <w:rsid w:val="00A45727"/>
    <w:rsid w:val="00A62D17"/>
    <w:rsid w:val="00A755A3"/>
    <w:rsid w:val="00A775AE"/>
    <w:rsid w:val="00A813CC"/>
    <w:rsid w:val="00A93116"/>
    <w:rsid w:val="00A9587B"/>
    <w:rsid w:val="00AA39F4"/>
    <w:rsid w:val="00AC21B8"/>
    <w:rsid w:val="00AE3506"/>
    <w:rsid w:val="00B02126"/>
    <w:rsid w:val="00B12FAC"/>
    <w:rsid w:val="00B44AF5"/>
    <w:rsid w:val="00B552D1"/>
    <w:rsid w:val="00B6163E"/>
    <w:rsid w:val="00B955A7"/>
    <w:rsid w:val="00BA184C"/>
    <w:rsid w:val="00BB0577"/>
    <w:rsid w:val="00BB0630"/>
    <w:rsid w:val="00BE5E4A"/>
    <w:rsid w:val="00C1280A"/>
    <w:rsid w:val="00C45854"/>
    <w:rsid w:val="00C56C19"/>
    <w:rsid w:val="00C7361E"/>
    <w:rsid w:val="00C76752"/>
    <w:rsid w:val="00C84E36"/>
    <w:rsid w:val="00C91450"/>
    <w:rsid w:val="00C915A1"/>
    <w:rsid w:val="00C96D0F"/>
    <w:rsid w:val="00CA221B"/>
    <w:rsid w:val="00CC49DB"/>
    <w:rsid w:val="00CD1E1D"/>
    <w:rsid w:val="00CE6DDF"/>
    <w:rsid w:val="00CF53E1"/>
    <w:rsid w:val="00D02F59"/>
    <w:rsid w:val="00D34B08"/>
    <w:rsid w:val="00D40CBA"/>
    <w:rsid w:val="00D8062E"/>
    <w:rsid w:val="00D939A0"/>
    <w:rsid w:val="00DA30AB"/>
    <w:rsid w:val="00DA3C05"/>
    <w:rsid w:val="00DA3FC0"/>
    <w:rsid w:val="00DC16A6"/>
    <w:rsid w:val="00DC63D3"/>
    <w:rsid w:val="00DE2BD8"/>
    <w:rsid w:val="00DF0B58"/>
    <w:rsid w:val="00DF3FE3"/>
    <w:rsid w:val="00E272EF"/>
    <w:rsid w:val="00E420E6"/>
    <w:rsid w:val="00E451A5"/>
    <w:rsid w:val="00E52B84"/>
    <w:rsid w:val="00EB4207"/>
    <w:rsid w:val="00ED5DBA"/>
    <w:rsid w:val="00ED7B4F"/>
    <w:rsid w:val="00EE1665"/>
    <w:rsid w:val="00EE43C7"/>
    <w:rsid w:val="00F12E0B"/>
    <w:rsid w:val="00F4544D"/>
    <w:rsid w:val="00F45534"/>
    <w:rsid w:val="00F623CB"/>
    <w:rsid w:val="00F74FBC"/>
    <w:rsid w:val="00FA3ABC"/>
    <w:rsid w:val="00FB6229"/>
    <w:rsid w:val="00FD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77340"/>
  <w15:docId w15:val="{92B50026-C72B-4990-B1F0-EEE91027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56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7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00" w:hanging="4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BF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BF"/>
    <w:rPr>
      <w:rFonts w:ascii="Arial" w:eastAsia="Arial" w:hAnsi="Arial" w:cs="Arial"/>
      <w:lang w:bidi="en-US"/>
    </w:rPr>
  </w:style>
  <w:style w:type="paragraph" w:styleId="NoSpacing">
    <w:name w:val="No Spacing"/>
    <w:uiPriority w:val="1"/>
    <w:qFormat/>
    <w:rsid w:val="00BB0577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1825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5C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4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3125D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7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93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080">
              <w:marLeft w:val="0"/>
              <w:marRight w:val="0"/>
              <w:marTop w:val="18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bi.gov.in/legal/circulars/jul-2020/relaxations-relating-to-procedural-matters-takeover-and-buy-back_4715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bi.gov.in/legal/circulars/may-2020/relaxations-relating-to-procedural-matters-takeovers-and-buy-back_46672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 circular on defaulted ISIN of debt securities_2 0.docx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circular on defaulted ISIN of debt securities_2 0.docx</dc:title>
  <dc:creator>2074@SEBINT</dc:creator>
  <cp:lastModifiedBy>Home</cp:lastModifiedBy>
  <cp:revision>165</cp:revision>
  <dcterms:created xsi:type="dcterms:W3CDTF">2020-06-23T10:51:00Z</dcterms:created>
  <dcterms:modified xsi:type="dcterms:W3CDTF">2020-07-27T13:38:00Z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LastSaved">
    <vt:filetime>2020-06-23T00:00:00Z</vt:filetime>
  </property>
</Properties>
</file>