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0AC81C" w14:textId="3A5A6918" w:rsidR="00226CC5" w:rsidRPr="001F5D82" w:rsidRDefault="00226CC5" w:rsidP="001F5D82">
      <w:pPr>
        <w:shd w:val="clear" w:color="auto" w:fill="FDE9D9" w:themeFill="accent6" w:themeFillTint="33"/>
        <w:ind w:right="690"/>
        <w:jc w:val="center"/>
        <w:rPr>
          <w:rFonts w:ascii="Book Antiqua" w:hAnsi="Book Antiqua"/>
          <w:sz w:val="28"/>
          <w:szCs w:val="28"/>
        </w:rPr>
      </w:pPr>
      <w:r w:rsidRPr="001F5D82">
        <w:rPr>
          <w:rFonts w:ascii="Book Antiqua" w:hAnsi="Book Antiqua"/>
          <w:b/>
          <w:bCs/>
          <w:sz w:val="52"/>
          <w:szCs w:val="52"/>
          <w:u w:val="single"/>
        </w:rPr>
        <w:t xml:space="preserve">RBI </w:t>
      </w:r>
      <w:r w:rsidR="001F5D82" w:rsidRPr="001F5D82">
        <w:rPr>
          <w:rFonts w:ascii="Book Antiqua" w:hAnsi="Book Antiqua"/>
          <w:b/>
          <w:bCs/>
          <w:sz w:val="52"/>
          <w:szCs w:val="52"/>
          <w:u w:val="single"/>
        </w:rPr>
        <w:t>Payment and Settlement Systems</w:t>
      </w:r>
    </w:p>
    <w:p w14:paraId="3C908682" w14:textId="77777777" w:rsidR="00226CC5" w:rsidRDefault="00226CC5" w:rsidP="00045293">
      <w:pPr>
        <w:shd w:val="clear" w:color="auto" w:fill="FFFFFF" w:themeFill="background1"/>
        <w:ind w:right="690"/>
        <w:jc w:val="both"/>
        <w:rPr>
          <w:rFonts w:ascii="Book Antiqua" w:hAnsi="Book Antiqua"/>
          <w:sz w:val="24"/>
          <w:szCs w:val="24"/>
        </w:rPr>
      </w:pPr>
    </w:p>
    <w:p w14:paraId="4BBD0236" w14:textId="6FD22526" w:rsidR="0024620E" w:rsidRDefault="003F2E4F" w:rsidP="00045293">
      <w:pPr>
        <w:shd w:val="clear" w:color="auto" w:fill="FFFFFF" w:themeFill="background1"/>
        <w:ind w:right="690"/>
        <w:jc w:val="both"/>
        <w:rPr>
          <w:rFonts w:ascii="Book Antiqua" w:hAnsi="Book Antiqua"/>
          <w:sz w:val="24"/>
          <w:szCs w:val="24"/>
        </w:rPr>
      </w:pPr>
      <w:r w:rsidRPr="00514BC6">
        <w:rPr>
          <w:rFonts w:ascii="Book Antiqua" w:hAnsi="Book Antiqua"/>
          <w:sz w:val="24"/>
          <w:szCs w:val="24"/>
        </w:rPr>
        <w:t xml:space="preserve">The Reserve Bank of India (RBI) has released </w:t>
      </w:r>
      <w:r w:rsidR="0024620E" w:rsidRPr="0024620E">
        <w:rPr>
          <w:rFonts w:ascii="Book Antiqua" w:hAnsi="Book Antiqua"/>
          <w:sz w:val="24"/>
          <w:szCs w:val="24"/>
        </w:rPr>
        <w:t>Statement on Developmental and Regulatory Policies</w:t>
      </w:r>
      <w:r w:rsidR="0024620E">
        <w:rPr>
          <w:rFonts w:ascii="Book Antiqua" w:hAnsi="Book Antiqua"/>
          <w:sz w:val="24"/>
          <w:szCs w:val="24"/>
        </w:rPr>
        <w:t xml:space="preserve"> dated 06</w:t>
      </w:r>
      <w:r w:rsidR="0024620E" w:rsidRPr="0024620E">
        <w:rPr>
          <w:rFonts w:ascii="Book Antiqua" w:hAnsi="Book Antiqua"/>
          <w:sz w:val="24"/>
          <w:szCs w:val="24"/>
          <w:vertAlign w:val="superscript"/>
        </w:rPr>
        <w:t>th</w:t>
      </w:r>
      <w:r w:rsidR="0024620E">
        <w:rPr>
          <w:rFonts w:ascii="Book Antiqua" w:hAnsi="Book Antiqua"/>
          <w:sz w:val="24"/>
          <w:szCs w:val="24"/>
        </w:rPr>
        <w:t xml:space="preserve"> August, 2020 on account of </w:t>
      </w:r>
      <w:r w:rsidR="0024620E" w:rsidRPr="0024620E">
        <w:rPr>
          <w:rFonts w:ascii="Book Antiqua" w:hAnsi="Book Antiqua"/>
          <w:sz w:val="24"/>
          <w:szCs w:val="24"/>
        </w:rPr>
        <w:t>various developmental and regulatory policy measures to enhance liquidity support for financial markets and other stakeholders; further easing of financial stress caused by COVID-19 disruptions</w:t>
      </w:r>
      <w:r w:rsidR="003B4A5F">
        <w:rPr>
          <w:rFonts w:ascii="Book Antiqua" w:hAnsi="Book Antiqua"/>
          <w:sz w:val="24"/>
          <w:szCs w:val="24"/>
        </w:rPr>
        <w:t>.</w:t>
      </w:r>
    </w:p>
    <w:p w14:paraId="0CBCA08D" w14:textId="77777777" w:rsidR="0024620E" w:rsidRDefault="0024620E" w:rsidP="00045293">
      <w:pPr>
        <w:shd w:val="clear" w:color="auto" w:fill="FFFFFF" w:themeFill="background1"/>
        <w:ind w:right="690"/>
        <w:jc w:val="both"/>
        <w:rPr>
          <w:rFonts w:ascii="Book Antiqua" w:hAnsi="Book Antiqua"/>
          <w:sz w:val="24"/>
          <w:szCs w:val="24"/>
        </w:rPr>
      </w:pPr>
    </w:p>
    <w:p w14:paraId="48C748E2" w14:textId="4C9296B4" w:rsidR="00226CC5" w:rsidRPr="008B3629" w:rsidRDefault="008B3629" w:rsidP="008B3629">
      <w:pPr>
        <w:shd w:val="clear" w:color="auto" w:fill="FFFFFF" w:themeFill="background1"/>
        <w:ind w:right="690"/>
        <w:rPr>
          <w:rFonts w:ascii="Book Antiqua" w:hAnsi="Book Antiqua"/>
          <w:b/>
          <w:bCs/>
          <w:sz w:val="28"/>
          <w:szCs w:val="28"/>
          <w:u w:val="single"/>
        </w:rPr>
      </w:pPr>
      <w:r w:rsidRPr="008B3629">
        <w:rPr>
          <w:rFonts w:ascii="Book Antiqua" w:hAnsi="Book Antiqua"/>
          <w:b/>
          <w:bCs/>
          <w:sz w:val="28"/>
          <w:szCs w:val="28"/>
          <w:u w:val="single"/>
        </w:rPr>
        <w:t>Payment and Settlement Systems</w:t>
      </w:r>
    </w:p>
    <w:p w14:paraId="0258A87F" w14:textId="77777777" w:rsidR="003F2E4F" w:rsidRPr="00514BC6" w:rsidRDefault="003F2E4F" w:rsidP="00045293">
      <w:pPr>
        <w:shd w:val="clear" w:color="auto" w:fill="FFFFFF" w:themeFill="background1"/>
        <w:ind w:right="690"/>
        <w:rPr>
          <w:rFonts w:ascii="Book Antiqua" w:hAnsi="Book Antiqua"/>
          <w:sz w:val="24"/>
          <w:szCs w:val="24"/>
        </w:rPr>
      </w:pPr>
    </w:p>
    <w:p w14:paraId="63421D64" w14:textId="045223E2" w:rsidR="00514BC6" w:rsidRPr="00841563" w:rsidRDefault="004D4E72" w:rsidP="001B4BA0">
      <w:pPr>
        <w:shd w:val="clear" w:color="auto" w:fill="FFFFFF" w:themeFill="background1"/>
        <w:spacing w:line="285" w:lineRule="auto"/>
        <w:ind w:right="690"/>
        <w:jc w:val="both"/>
        <w:rPr>
          <w:rFonts w:ascii="Book Antiqua" w:hAnsi="Book Antiqua"/>
          <w:b/>
          <w:bCs/>
          <w:sz w:val="28"/>
          <w:szCs w:val="28"/>
        </w:rPr>
      </w:pPr>
      <w:r w:rsidRPr="00841563">
        <w:rPr>
          <w:rFonts w:ascii="Book Antiqua" w:hAnsi="Book Antiqua"/>
          <w:b/>
          <w:bCs/>
          <w:sz w:val="28"/>
          <w:szCs w:val="28"/>
        </w:rPr>
        <w:t>1. Scheme of Offline Retail Payments Using Cards and Mobile Devices</w:t>
      </w:r>
    </w:p>
    <w:p w14:paraId="5E3750BE" w14:textId="379089F5" w:rsidR="00956352" w:rsidRDefault="003756E2" w:rsidP="001B4BA0">
      <w:pPr>
        <w:shd w:val="clear" w:color="auto" w:fill="FFFFFF" w:themeFill="background1"/>
        <w:spacing w:line="285" w:lineRule="auto"/>
        <w:ind w:right="690"/>
        <w:jc w:val="both"/>
        <w:rPr>
          <w:rFonts w:ascii="Book Antiqua" w:hAnsi="Book Antiqua"/>
          <w:color w:val="231F20"/>
          <w:w w:val="90"/>
          <w:sz w:val="24"/>
          <w:szCs w:val="24"/>
        </w:rPr>
      </w:pPr>
      <w:r w:rsidRPr="003756E2">
        <w:rPr>
          <w:rFonts w:ascii="Book Antiqua" w:hAnsi="Book Antiqua"/>
          <w:color w:val="231F20"/>
          <w:w w:val="90"/>
          <w:sz w:val="24"/>
          <w:szCs w:val="24"/>
        </w:rPr>
        <w:t xml:space="preserve">To resolve </w:t>
      </w:r>
      <w:r w:rsidR="00841563">
        <w:rPr>
          <w:rFonts w:ascii="Book Antiqua" w:hAnsi="Book Antiqua"/>
          <w:color w:val="231F20"/>
          <w:w w:val="90"/>
          <w:sz w:val="24"/>
          <w:szCs w:val="24"/>
        </w:rPr>
        <w:t>issues</w:t>
      </w:r>
      <w:r w:rsidR="00B757AD">
        <w:rPr>
          <w:rFonts w:ascii="Book Antiqua" w:hAnsi="Book Antiqua"/>
          <w:color w:val="231F20"/>
          <w:w w:val="90"/>
          <w:sz w:val="24"/>
          <w:szCs w:val="24"/>
        </w:rPr>
        <w:t xml:space="preserve"> of </w:t>
      </w:r>
      <w:r w:rsidR="00B757AD" w:rsidRPr="00B757AD">
        <w:rPr>
          <w:rFonts w:ascii="Book Antiqua" w:hAnsi="Book Antiqua"/>
          <w:color w:val="231F20"/>
          <w:w w:val="90"/>
          <w:sz w:val="24"/>
          <w:szCs w:val="24"/>
        </w:rPr>
        <w:t>Lack of internet connectivity or low speed of internet, especially in remote areas</w:t>
      </w:r>
      <w:r w:rsidR="00841563">
        <w:rPr>
          <w:rFonts w:ascii="Book Antiqua" w:hAnsi="Book Antiqua"/>
          <w:color w:val="231F20"/>
          <w:w w:val="90"/>
          <w:sz w:val="24"/>
          <w:szCs w:val="24"/>
        </w:rPr>
        <w:t xml:space="preserve"> related to </w:t>
      </w:r>
      <w:r w:rsidR="00841563" w:rsidRPr="00841563">
        <w:rPr>
          <w:rFonts w:ascii="Book Antiqua" w:hAnsi="Book Antiqua"/>
          <w:color w:val="231F20"/>
          <w:w w:val="90"/>
          <w:sz w:val="24"/>
          <w:szCs w:val="24"/>
        </w:rPr>
        <w:t>digital payments using mobile phones, cards, wallets</w:t>
      </w:r>
      <w:r w:rsidR="00B757AD">
        <w:rPr>
          <w:rFonts w:ascii="Book Antiqua" w:hAnsi="Book Antiqua"/>
          <w:color w:val="231F20"/>
          <w:w w:val="90"/>
          <w:sz w:val="24"/>
          <w:szCs w:val="24"/>
        </w:rPr>
        <w:t>, t</w:t>
      </w:r>
      <w:r w:rsidR="00B757AD" w:rsidRPr="00B757AD">
        <w:rPr>
          <w:rFonts w:ascii="Book Antiqua" w:hAnsi="Book Antiqua"/>
          <w:color w:val="231F20"/>
          <w:w w:val="90"/>
          <w:sz w:val="24"/>
          <w:szCs w:val="24"/>
        </w:rPr>
        <w:t>he Reserve Bank has been encouraging entities to develop offline payment solutions. It is proposed to allow a pilot scheme for small value payments in off-line mode with built-in features for safeguarding interest of users, liability protection, etc.</w:t>
      </w:r>
      <w:r w:rsidR="00975817">
        <w:rPr>
          <w:rFonts w:ascii="Book Antiqua" w:hAnsi="Book Antiqua"/>
          <w:color w:val="231F20"/>
          <w:w w:val="90"/>
          <w:sz w:val="24"/>
          <w:szCs w:val="24"/>
        </w:rPr>
        <w:t xml:space="preserve"> </w:t>
      </w:r>
      <w:r w:rsidR="00975817" w:rsidRPr="00975817">
        <w:rPr>
          <w:rFonts w:ascii="Book Antiqua" w:hAnsi="Book Antiqua"/>
          <w:color w:val="231F20"/>
          <w:w w:val="90"/>
          <w:sz w:val="24"/>
          <w:szCs w:val="24"/>
        </w:rPr>
        <w:t>Based on experience gained, detailed guidelines for roll-out of the scheme will be announced in due course.</w:t>
      </w:r>
    </w:p>
    <w:p w14:paraId="2FF31AE3" w14:textId="1C5B496A" w:rsidR="003C0529" w:rsidRDefault="003C0529" w:rsidP="001B4BA0">
      <w:pPr>
        <w:shd w:val="clear" w:color="auto" w:fill="FFFFFF" w:themeFill="background1"/>
        <w:spacing w:line="285" w:lineRule="auto"/>
        <w:ind w:right="690"/>
        <w:jc w:val="both"/>
        <w:rPr>
          <w:rFonts w:ascii="Book Antiqua" w:hAnsi="Book Antiqua"/>
          <w:color w:val="231F20"/>
          <w:w w:val="90"/>
          <w:sz w:val="24"/>
          <w:szCs w:val="24"/>
        </w:rPr>
      </w:pPr>
    </w:p>
    <w:p w14:paraId="4D1F70E0" w14:textId="4B47B391" w:rsidR="006E69D5" w:rsidRPr="00D47566" w:rsidRDefault="003C0529" w:rsidP="006E69D5">
      <w:pPr>
        <w:rPr>
          <w:rFonts w:ascii="Book Antiqua" w:hAnsi="Book Antiqua"/>
          <w:b/>
          <w:bCs/>
          <w:color w:val="231F20"/>
          <w:w w:val="90"/>
          <w:sz w:val="28"/>
          <w:szCs w:val="28"/>
        </w:rPr>
      </w:pPr>
      <w:r w:rsidRPr="00D47566">
        <w:rPr>
          <w:rFonts w:ascii="Book Antiqua" w:hAnsi="Book Antiqua"/>
          <w:b/>
          <w:bCs/>
          <w:color w:val="231F20"/>
          <w:w w:val="90"/>
          <w:sz w:val="28"/>
          <w:szCs w:val="28"/>
        </w:rPr>
        <w:t xml:space="preserve">2. </w:t>
      </w:r>
      <w:r w:rsidR="006E69D5" w:rsidRPr="00D47566">
        <w:rPr>
          <w:rFonts w:ascii="Book Antiqua" w:hAnsi="Book Antiqua"/>
          <w:b/>
          <w:bCs/>
          <w:color w:val="231F20"/>
          <w:w w:val="90"/>
          <w:sz w:val="28"/>
          <w:szCs w:val="28"/>
        </w:rPr>
        <w:t>Online Dispute Resolution (ODR) for Digital Payments</w:t>
      </w:r>
    </w:p>
    <w:p w14:paraId="751C1DE7" w14:textId="5A3EF740" w:rsidR="003C0529" w:rsidRDefault="008E5C01" w:rsidP="001B4BA0">
      <w:pPr>
        <w:shd w:val="clear" w:color="auto" w:fill="FFFFFF" w:themeFill="background1"/>
        <w:spacing w:line="285" w:lineRule="auto"/>
        <w:ind w:right="690"/>
        <w:jc w:val="both"/>
        <w:rPr>
          <w:rFonts w:ascii="Book Antiqua" w:hAnsi="Book Antiqua"/>
          <w:color w:val="231F20"/>
          <w:w w:val="90"/>
          <w:sz w:val="24"/>
          <w:szCs w:val="24"/>
        </w:rPr>
      </w:pPr>
      <w:r>
        <w:rPr>
          <w:rFonts w:ascii="Book Antiqua" w:hAnsi="Book Antiqua"/>
          <w:color w:val="231F20"/>
          <w:w w:val="90"/>
          <w:sz w:val="24"/>
          <w:szCs w:val="24"/>
        </w:rPr>
        <w:t>T</w:t>
      </w:r>
      <w:r w:rsidRPr="008E5C01">
        <w:rPr>
          <w:rFonts w:ascii="Book Antiqua" w:hAnsi="Book Antiqua"/>
          <w:color w:val="231F20"/>
          <w:w w:val="90"/>
          <w:sz w:val="24"/>
          <w:szCs w:val="24"/>
        </w:rPr>
        <w:t xml:space="preserve">he Reserve Bank shall require </w:t>
      </w:r>
      <w:r w:rsidRPr="00C25FB5">
        <w:rPr>
          <w:rFonts w:ascii="Book Antiqua" w:hAnsi="Book Antiqua"/>
          <w:b/>
          <w:bCs/>
          <w:i/>
          <w:iCs/>
          <w:color w:val="231F20"/>
          <w:w w:val="90"/>
          <w:sz w:val="24"/>
          <w:szCs w:val="24"/>
        </w:rPr>
        <w:t>Payment System Operators (PSOs)</w:t>
      </w:r>
      <w:r w:rsidRPr="008E5C01">
        <w:rPr>
          <w:rFonts w:ascii="Book Antiqua" w:hAnsi="Book Antiqua"/>
          <w:color w:val="231F20"/>
          <w:w w:val="90"/>
          <w:sz w:val="24"/>
          <w:szCs w:val="24"/>
        </w:rPr>
        <w:t xml:space="preserve"> to introduce Online Dispute Resolution (ODR) Systems in a phased manner</w:t>
      </w:r>
      <w:r>
        <w:rPr>
          <w:rFonts w:ascii="Book Antiqua" w:hAnsi="Book Antiqua"/>
          <w:color w:val="231F20"/>
          <w:w w:val="90"/>
          <w:sz w:val="24"/>
          <w:szCs w:val="24"/>
        </w:rPr>
        <w:t xml:space="preserve"> as </w:t>
      </w:r>
      <w:r w:rsidRPr="008E5C01">
        <w:rPr>
          <w:rFonts w:ascii="Book Antiqua" w:hAnsi="Book Antiqua"/>
          <w:color w:val="231F20"/>
          <w:w w:val="90"/>
          <w:sz w:val="24"/>
          <w:szCs w:val="24"/>
        </w:rPr>
        <w:t>the number of digital transactions rise significantly, there is a concomitant increase in the number of disputes and grievances</w:t>
      </w:r>
      <w:r>
        <w:rPr>
          <w:rFonts w:ascii="Book Antiqua" w:hAnsi="Book Antiqua"/>
          <w:color w:val="231F20"/>
          <w:w w:val="90"/>
          <w:sz w:val="24"/>
          <w:szCs w:val="24"/>
        </w:rPr>
        <w:t xml:space="preserve"> and </w:t>
      </w:r>
      <w:r w:rsidRPr="008E5C01">
        <w:rPr>
          <w:rFonts w:ascii="Book Antiqua" w:hAnsi="Book Antiqua"/>
          <w:color w:val="231F20"/>
          <w:w w:val="90"/>
          <w:sz w:val="24"/>
          <w:szCs w:val="24"/>
        </w:rPr>
        <w:t>manual intervention is necessary to deal with them in a timely and effective manner</w:t>
      </w:r>
      <w:r w:rsidR="00715A20">
        <w:rPr>
          <w:rFonts w:ascii="Book Antiqua" w:hAnsi="Book Antiqua"/>
          <w:color w:val="231F20"/>
          <w:w w:val="90"/>
          <w:sz w:val="24"/>
          <w:szCs w:val="24"/>
        </w:rPr>
        <w:t>. The a</w:t>
      </w:r>
      <w:r w:rsidR="00715A20" w:rsidRPr="00715A20">
        <w:rPr>
          <w:rFonts w:ascii="Book Antiqua" w:hAnsi="Book Antiqua"/>
          <w:color w:val="231F20"/>
          <w:w w:val="90"/>
          <w:sz w:val="24"/>
          <w:szCs w:val="24"/>
        </w:rPr>
        <w:t>uthor</w:t>
      </w:r>
      <w:r w:rsidR="00715A20">
        <w:rPr>
          <w:rFonts w:ascii="Book Antiqua" w:hAnsi="Book Antiqua"/>
          <w:color w:val="231F20"/>
          <w:w w:val="90"/>
          <w:sz w:val="24"/>
          <w:szCs w:val="24"/>
        </w:rPr>
        <w:t>iz</w:t>
      </w:r>
      <w:r w:rsidR="00715A20" w:rsidRPr="00715A20">
        <w:rPr>
          <w:rFonts w:ascii="Book Antiqua" w:hAnsi="Book Antiqua"/>
          <w:color w:val="231F20"/>
          <w:w w:val="90"/>
          <w:sz w:val="24"/>
          <w:szCs w:val="24"/>
        </w:rPr>
        <w:t>ed PSOs shall be required to implement ODR systems for failed transactions in their respective Payment Systems.</w:t>
      </w:r>
    </w:p>
    <w:p w14:paraId="3CA02E43" w14:textId="681B9C46" w:rsidR="00977124" w:rsidRDefault="00977124" w:rsidP="001B4BA0">
      <w:pPr>
        <w:shd w:val="clear" w:color="auto" w:fill="FFFFFF" w:themeFill="background1"/>
        <w:spacing w:line="285" w:lineRule="auto"/>
        <w:ind w:right="690"/>
        <w:jc w:val="both"/>
        <w:rPr>
          <w:rFonts w:ascii="Book Antiqua" w:hAnsi="Book Antiqua"/>
          <w:color w:val="231F20"/>
          <w:w w:val="90"/>
          <w:sz w:val="24"/>
          <w:szCs w:val="24"/>
        </w:rPr>
      </w:pPr>
    </w:p>
    <w:p w14:paraId="064724C4" w14:textId="163DE7B8" w:rsidR="00977124" w:rsidRDefault="00977124" w:rsidP="001B4BA0">
      <w:pPr>
        <w:shd w:val="clear" w:color="auto" w:fill="FFFFFF" w:themeFill="background1"/>
        <w:spacing w:line="285" w:lineRule="auto"/>
        <w:ind w:right="690"/>
        <w:jc w:val="both"/>
        <w:rPr>
          <w:rFonts w:ascii="Book Antiqua" w:hAnsi="Book Antiqua"/>
          <w:b/>
          <w:bCs/>
          <w:color w:val="231F20"/>
          <w:w w:val="90"/>
          <w:sz w:val="28"/>
          <w:szCs w:val="28"/>
        </w:rPr>
      </w:pPr>
      <w:r w:rsidRPr="00CD25F7">
        <w:rPr>
          <w:rFonts w:ascii="Book Antiqua" w:hAnsi="Book Antiqua"/>
          <w:b/>
          <w:bCs/>
          <w:color w:val="231F20"/>
          <w:w w:val="90"/>
          <w:sz w:val="28"/>
          <w:szCs w:val="28"/>
        </w:rPr>
        <w:t xml:space="preserve">3. </w:t>
      </w:r>
      <w:r w:rsidRPr="00CD25F7">
        <w:rPr>
          <w:rFonts w:ascii="Book Antiqua" w:hAnsi="Book Antiqua"/>
          <w:b/>
          <w:bCs/>
          <w:color w:val="231F20"/>
          <w:w w:val="90"/>
          <w:sz w:val="28"/>
          <w:szCs w:val="28"/>
        </w:rPr>
        <w:t>Positive Pay Mechanism for Cheques</w:t>
      </w:r>
    </w:p>
    <w:p w14:paraId="5FEF3A3C" w14:textId="5A827FE8" w:rsidR="00A14FA8" w:rsidRPr="004D2B32" w:rsidRDefault="00123652" w:rsidP="001B4BA0">
      <w:pPr>
        <w:shd w:val="clear" w:color="auto" w:fill="FFFFFF" w:themeFill="background1"/>
        <w:spacing w:line="285" w:lineRule="auto"/>
        <w:ind w:right="690"/>
        <w:jc w:val="both"/>
        <w:rPr>
          <w:rFonts w:ascii="Book Antiqua" w:hAnsi="Book Antiqua"/>
          <w:b/>
          <w:bCs/>
          <w:i/>
          <w:iCs/>
          <w:color w:val="231F20"/>
          <w:w w:val="90"/>
          <w:sz w:val="24"/>
          <w:szCs w:val="24"/>
          <w:u w:val="single"/>
        </w:rPr>
      </w:pPr>
      <w:r w:rsidRPr="004D2B32">
        <w:rPr>
          <w:rFonts w:ascii="Book Antiqua" w:hAnsi="Book Antiqua"/>
          <w:b/>
          <w:bCs/>
          <w:i/>
          <w:iCs/>
          <w:color w:val="231F20"/>
          <w:w w:val="90"/>
          <w:sz w:val="24"/>
          <w:szCs w:val="24"/>
          <w:u w:val="single"/>
        </w:rPr>
        <w:t>Cheque Truncation System (CTS)</w:t>
      </w:r>
    </w:p>
    <w:p w14:paraId="5B71DCB1" w14:textId="5A877B80" w:rsidR="00EA0DF9" w:rsidRDefault="00C54AA7" w:rsidP="001B4BA0">
      <w:pPr>
        <w:shd w:val="clear" w:color="auto" w:fill="FFFFFF" w:themeFill="background1"/>
        <w:spacing w:line="285" w:lineRule="auto"/>
        <w:ind w:right="690"/>
        <w:jc w:val="both"/>
        <w:rPr>
          <w:rFonts w:ascii="Book Antiqua" w:hAnsi="Book Antiqua"/>
          <w:color w:val="231F20"/>
          <w:w w:val="90"/>
          <w:sz w:val="24"/>
          <w:szCs w:val="24"/>
        </w:rPr>
      </w:pPr>
      <w:r>
        <w:rPr>
          <w:rFonts w:ascii="Book Antiqua" w:hAnsi="Book Antiqua"/>
          <w:color w:val="231F20"/>
          <w:w w:val="90"/>
          <w:sz w:val="24"/>
          <w:szCs w:val="24"/>
        </w:rPr>
        <w:t>I</w:t>
      </w:r>
      <w:r w:rsidR="00EA0DF9" w:rsidRPr="00EA0DF9">
        <w:rPr>
          <w:rFonts w:ascii="Book Antiqua" w:hAnsi="Book Antiqua"/>
          <w:color w:val="231F20"/>
          <w:w w:val="90"/>
          <w:sz w:val="24"/>
          <w:szCs w:val="24"/>
        </w:rPr>
        <w:t xml:space="preserve">t has been decided </w:t>
      </w:r>
      <w:r>
        <w:rPr>
          <w:rFonts w:ascii="Book Antiqua" w:hAnsi="Book Antiqua"/>
          <w:color w:val="231F20"/>
          <w:w w:val="90"/>
          <w:sz w:val="24"/>
          <w:szCs w:val="24"/>
        </w:rPr>
        <w:t xml:space="preserve">by RBI </w:t>
      </w:r>
      <w:r w:rsidR="00EA0DF9" w:rsidRPr="00EA0DF9">
        <w:rPr>
          <w:rFonts w:ascii="Book Antiqua" w:hAnsi="Book Antiqua"/>
          <w:color w:val="231F20"/>
          <w:w w:val="90"/>
          <w:sz w:val="24"/>
          <w:szCs w:val="24"/>
        </w:rPr>
        <w:t xml:space="preserve">to introduce a mechanism of Positive Pay for all cheques of value </w:t>
      </w:r>
      <w:r w:rsidR="00EA0DF9" w:rsidRPr="00EA0DF9">
        <w:rPr>
          <w:rFonts w:ascii="Times New Roman" w:hAnsi="Times New Roman" w:cs="Times New Roman"/>
          <w:color w:val="231F20"/>
          <w:w w:val="90"/>
          <w:sz w:val="24"/>
          <w:szCs w:val="24"/>
        </w:rPr>
        <w:t>₹</w:t>
      </w:r>
      <w:r w:rsidR="00EA0DF9" w:rsidRPr="00EA0DF9">
        <w:rPr>
          <w:rFonts w:ascii="Book Antiqua" w:hAnsi="Book Antiqua"/>
          <w:color w:val="231F20"/>
          <w:w w:val="90"/>
          <w:sz w:val="24"/>
          <w:szCs w:val="24"/>
        </w:rPr>
        <w:t>50,000 and above. Under this mechanism, cheques will be processed for payment by the drawee bank based on information passed on by its customer at the time of issuance of cheque. This measure will cover approximately 20 per cent and 80 per cent of total cheques issued in the country by volume and value, respectively.</w:t>
      </w:r>
      <w:r>
        <w:rPr>
          <w:rFonts w:ascii="Book Antiqua" w:hAnsi="Book Antiqua"/>
          <w:color w:val="231F20"/>
          <w:w w:val="90"/>
          <w:sz w:val="24"/>
          <w:szCs w:val="24"/>
        </w:rPr>
        <w:t xml:space="preserve"> The purpose is t</w:t>
      </w:r>
      <w:r w:rsidRPr="00C54AA7">
        <w:rPr>
          <w:rFonts w:ascii="Book Antiqua" w:hAnsi="Book Antiqua"/>
          <w:color w:val="231F20"/>
          <w:w w:val="90"/>
          <w:sz w:val="24"/>
          <w:szCs w:val="24"/>
        </w:rPr>
        <w:t>o further augment customer safety in cheque payments and reduce instances of fraud occurring on account of tampering of cheque leaves</w:t>
      </w:r>
      <w:r w:rsidR="00835843">
        <w:rPr>
          <w:rFonts w:ascii="Book Antiqua" w:hAnsi="Book Antiqua"/>
          <w:color w:val="231F20"/>
          <w:w w:val="90"/>
          <w:sz w:val="24"/>
          <w:szCs w:val="24"/>
        </w:rPr>
        <w:t>.</w:t>
      </w:r>
    </w:p>
    <w:p w14:paraId="1A99B7F1" w14:textId="1632553F" w:rsidR="00835843" w:rsidRDefault="00835843" w:rsidP="001B4BA0">
      <w:pPr>
        <w:shd w:val="clear" w:color="auto" w:fill="FFFFFF" w:themeFill="background1"/>
        <w:spacing w:line="285" w:lineRule="auto"/>
        <w:ind w:right="690"/>
        <w:jc w:val="both"/>
        <w:rPr>
          <w:rFonts w:ascii="Book Antiqua" w:hAnsi="Book Antiqua"/>
          <w:color w:val="231F20"/>
          <w:w w:val="90"/>
          <w:sz w:val="24"/>
          <w:szCs w:val="24"/>
        </w:rPr>
      </w:pPr>
    </w:p>
    <w:p w14:paraId="23FD0A4F" w14:textId="463BC49B" w:rsidR="00835843" w:rsidRPr="00835843" w:rsidRDefault="00835843" w:rsidP="001B4BA0">
      <w:pPr>
        <w:shd w:val="clear" w:color="auto" w:fill="FFFFFF" w:themeFill="background1"/>
        <w:spacing w:line="285" w:lineRule="auto"/>
        <w:ind w:right="690"/>
        <w:jc w:val="both"/>
        <w:rPr>
          <w:rFonts w:ascii="Book Antiqua" w:hAnsi="Book Antiqua"/>
          <w:b/>
          <w:bCs/>
          <w:color w:val="231F20"/>
          <w:w w:val="90"/>
          <w:sz w:val="28"/>
          <w:szCs w:val="28"/>
        </w:rPr>
      </w:pPr>
      <w:r w:rsidRPr="00835843">
        <w:rPr>
          <w:rFonts w:ascii="Book Antiqua" w:hAnsi="Book Antiqua"/>
          <w:b/>
          <w:bCs/>
          <w:color w:val="231F20"/>
          <w:w w:val="90"/>
          <w:sz w:val="28"/>
          <w:szCs w:val="28"/>
        </w:rPr>
        <w:t xml:space="preserve">4. </w:t>
      </w:r>
      <w:r w:rsidRPr="00835843">
        <w:rPr>
          <w:rFonts w:ascii="Book Antiqua" w:hAnsi="Book Antiqua"/>
          <w:b/>
          <w:bCs/>
          <w:color w:val="231F20"/>
          <w:w w:val="90"/>
          <w:sz w:val="28"/>
          <w:szCs w:val="28"/>
        </w:rPr>
        <w:t>Creation of Reserve Bank Innovation Hub</w:t>
      </w:r>
    </w:p>
    <w:p w14:paraId="6990D8B5" w14:textId="77777777" w:rsidR="001171F6" w:rsidRDefault="001171F6" w:rsidP="001B4BA0">
      <w:pPr>
        <w:shd w:val="clear" w:color="auto" w:fill="FFFFFF" w:themeFill="background1"/>
        <w:spacing w:line="285" w:lineRule="auto"/>
        <w:ind w:right="690"/>
        <w:jc w:val="both"/>
        <w:rPr>
          <w:rFonts w:ascii="Book Antiqua" w:hAnsi="Book Antiqua"/>
          <w:color w:val="231F20"/>
          <w:w w:val="90"/>
          <w:sz w:val="24"/>
          <w:szCs w:val="24"/>
        </w:rPr>
      </w:pPr>
      <w:r w:rsidRPr="001171F6">
        <w:rPr>
          <w:rFonts w:ascii="Book Antiqua" w:hAnsi="Book Antiqua"/>
          <w:color w:val="231F20"/>
          <w:w w:val="90"/>
          <w:sz w:val="24"/>
          <w:szCs w:val="24"/>
        </w:rPr>
        <w:t xml:space="preserve">Six proposals were accepted under the Sandbox, the pilot studies / trials of which have been </w:t>
      </w:r>
      <w:r w:rsidRPr="001171F6">
        <w:rPr>
          <w:rFonts w:ascii="Book Antiqua" w:hAnsi="Book Antiqua"/>
          <w:color w:val="231F20"/>
          <w:w w:val="90"/>
          <w:sz w:val="24"/>
          <w:szCs w:val="24"/>
        </w:rPr>
        <w:lastRenderedPageBreak/>
        <w:t xml:space="preserve">delayed on account of the present COVID-19 situation. Areas such as cyber security, data analytics, delivery platforms, payments services, etc., remain in the forefront when we think of innovation in the financial sector. </w:t>
      </w:r>
    </w:p>
    <w:p w14:paraId="64BC0444" w14:textId="77777777" w:rsidR="001171F6" w:rsidRDefault="001171F6" w:rsidP="001B4BA0">
      <w:pPr>
        <w:shd w:val="clear" w:color="auto" w:fill="FFFFFF" w:themeFill="background1"/>
        <w:spacing w:line="285" w:lineRule="auto"/>
        <w:ind w:right="690"/>
        <w:jc w:val="both"/>
        <w:rPr>
          <w:rFonts w:ascii="Book Antiqua" w:hAnsi="Book Antiqua"/>
          <w:color w:val="231F20"/>
          <w:w w:val="90"/>
          <w:sz w:val="24"/>
          <w:szCs w:val="24"/>
        </w:rPr>
      </w:pPr>
    </w:p>
    <w:p w14:paraId="40EB6808" w14:textId="77777777" w:rsidR="001171F6" w:rsidRDefault="001171F6" w:rsidP="001B4BA0">
      <w:pPr>
        <w:shd w:val="clear" w:color="auto" w:fill="FFFFFF" w:themeFill="background1"/>
        <w:spacing w:line="285" w:lineRule="auto"/>
        <w:ind w:right="690"/>
        <w:jc w:val="both"/>
        <w:rPr>
          <w:rFonts w:ascii="Book Antiqua" w:hAnsi="Book Antiqua"/>
          <w:color w:val="231F20"/>
          <w:w w:val="90"/>
          <w:sz w:val="24"/>
          <w:szCs w:val="24"/>
        </w:rPr>
      </w:pPr>
      <w:r w:rsidRPr="001171F6">
        <w:rPr>
          <w:rFonts w:ascii="Book Antiqua" w:hAnsi="Book Antiqua"/>
          <w:color w:val="231F20"/>
          <w:w w:val="90"/>
          <w:sz w:val="24"/>
          <w:szCs w:val="24"/>
        </w:rPr>
        <w:t xml:space="preserve">To promote innovation across the financial sector by leveraging on technology and create an environment which would facilitate and foster innovation, Reserve Bank will set up an Innovation Hub in India. </w:t>
      </w:r>
    </w:p>
    <w:p w14:paraId="5F1352CD" w14:textId="77777777" w:rsidR="001171F6" w:rsidRDefault="001171F6" w:rsidP="001B4BA0">
      <w:pPr>
        <w:shd w:val="clear" w:color="auto" w:fill="FFFFFF" w:themeFill="background1"/>
        <w:spacing w:line="285" w:lineRule="auto"/>
        <w:ind w:right="690"/>
        <w:jc w:val="both"/>
        <w:rPr>
          <w:rFonts w:ascii="Book Antiqua" w:hAnsi="Book Antiqua"/>
          <w:color w:val="231F20"/>
          <w:w w:val="90"/>
          <w:sz w:val="24"/>
          <w:szCs w:val="24"/>
        </w:rPr>
      </w:pPr>
    </w:p>
    <w:p w14:paraId="7DF25974" w14:textId="2202C384" w:rsidR="00835843" w:rsidRPr="00A14FA8" w:rsidRDefault="001171F6" w:rsidP="001B4BA0">
      <w:pPr>
        <w:shd w:val="clear" w:color="auto" w:fill="FFFFFF" w:themeFill="background1"/>
        <w:spacing w:line="285" w:lineRule="auto"/>
        <w:ind w:right="690"/>
        <w:jc w:val="both"/>
        <w:rPr>
          <w:rFonts w:ascii="Book Antiqua" w:hAnsi="Book Antiqua"/>
          <w:color w:val="231F20"/>
          <w:w w:val="90"/>
          <w:sz w:val="24"/>
          <w:szCs w:val="24"/>
        </w:rPr>
      </w:pPr>
      <w:r w:rsidRPr="001171F6">
        <w:rPr>
          <w:rFonts w:ascii="Book Antiqua" w:hAnsi="Book Antiqua"/>
          <w:color w:val="231F20"/>
          <w:w w:val="90"/>
          <w:sz w:val="24"/>
          <w:szCs w:val="24"/>
        </w:rPr>
        <w:t xml:space="preserve">The Innovation Hub will act as a </w:t>
      </w:r>
      <w:proofErr w:type="spellStart"/>
      <w:r w:rsidRPr="001171F6">
        <w:rPr>
          <w:rFonts w:ascii="Book Antiqua" w:hAnsi="Book Antiqua"/>
          <w:color w:val="231F20"/>
          <w:w w:val="90"/>
          <w:sz w:val="24"/>
          <w:szCs w:val="24"/>
        </w:rPr>
        <w:t>centre</w:t>
      </w:r>
      <w:proofErr w:type="spellEnd"/>
      <w:r w:rsidRPr="001171F6">
        <w:rPr>
          <w:rFonts w:ascii="Book Antiqua" w:hAnsi="Book Antiqua"/>
          <w:color w:val="231F20"/>
          <w:w w:val="90"/>
          <w:sz w:val="24"/>
          <w:szCs w:val="24"/>
        </w:rPr>
        <w:t xml:space="preserve"> for ideation and incubation of new capabilities which can be leveraged to create innovative and viable financial products and / or services to help achieve the wider objectives of deepening financial inclusion, efficient banking services, business continuity in times of emergency, strengthening consumer protection, etc. The Innovation Hub will support, promote and hand-hold cross-thinking spanning regulatory remits and national boundaries.</w:t>
      </w:r>
    </w:p>
    <w:p w14:paraId="66212A96" w14:textId="22C685F9" w:rsidR="002619ED" w:rsidRDefault="002619ED" w:rsidP="001B4BA0">
      <w:pPr>
        <w:shd w:val="clear" w:color="auto" w:fill="FFFFFF" w:themeFill="background1"/>
        <w:spacing w:line="285" w:lineRule="auto"/>
        <w:ind w:right="690"/>
        <w:jc w:val="both"/>
        <w:rPr>
          <w:rFonts w:ascii="Book Antiqua" w:hAnsi="Book Antiqua"/>
          <w:b/>
          <w:bCs/>
          <w:i/>
          <w:iCs/>
          <w:color w:val="231F20"/>
          <w:w w:val="90"/>
          <w:sz w:val="28"/>
          <w:szCs w:val="28"/>
        </w:rPr>
      </w:pPr>
    </w:p>
    <w:p w14:paraId="350E76BA" w14:textId="12879BF7" w:rsidR="00A14FA8" w:rsidRPr="001171F6" w:rsidRDefault="001171F6" w:rsidP="001B4BA0">
      <w:pPr>
        <w:shd w:val="clear" w:color="auto" w:fill="FFFFFF" w:themeFill="background1"/>
        <w:spacing w:line="285" w:lineRule="auto"/>
        <w:ind w:right="690"/>
        <w:jc w:val="both"/>
        <w:rPr>
          <w:rFonts w:ascii="Book Antiqua" w:hAnsi="Book Antiqua"/>
          <w:b/>
          <w:bCs/>
          <w:color w:val="231F20"/>
          <w:w w:val="90"/>
          <w:sz w:val="26"/>
          <w:szCs w:val="26"/>
        </w:rPr>
      </w:pPr>
      <w:r w:rsidRPr="001171F6">
        <w:rPr>
          <w:rFonts w:ascii="Book Antiqua" w:hAnsi="Book Antiqua"/>
          <w:b/>
          <w:bCs/>
          <w:color w:val="231F20"/>
          <w:w w:val="90"/>
          <w:sz w:val="26"/>
          <w:szCs w:val="26"/>
        </w:rPr>
        <w:t xml:space="preserve">Source: </w:t>
      </w:r>
      <w:r w:rsidRPr="001171F6">
        <w:rPr>
          <w:rFonts w:ascii="Book Antiqua" w:hAnsi="Book Antiqua"/>
          <w:b/>
          <w:bCs/>
          <w:i/>
          <w:iCs/>
          <w:color w:val="231F20"/>
          <w:w w:val="90"/>
          <w:sz w:val="24"/>
          <w:szCs w:val="24"/>
        </w:rPr>
        <w:t>RBI Notifications</w:t>
      </w:r>
      <w:r w:rsidRPr="001171F6">
        <w:rPr>
          <w:rFonts w:ascii="Book Antiqua" w:hAnsi="Book Antiqua"/>
          <w:b/>
          <w:bCs/>
          <w:color w:val="231F20"/>
          <w:w w:val="90"/>
          <w:sz w:val="24"/>
          <w:szCs w:val="24"/>
        </w:rPr>
        <w:t xml:space="preserve"> </w:t>
      </w:r>
    </w:p>
    <w:p w14:paraId="62273C37" w14:textId="77777777" w:rsidR="00A14FA8" w:rsidRDefault="00A14FA8" w:rsidP="001B4BA0">
      <w:pPr>
        <w:shd w:val="clear" w:color="auto" w:fill="FFFFFF" w:themeFill="background1"/>
        <w:spacing w:line="285" w:lineRule="auto"/>
        <w:ind w:right="690"/>
        <w:jc w:val="both"/>
        <w:rPr>
          <w:rFonts w:ascii="Book Antiqua" w:hAnsi="Book Antiqua"/>
          <w:b/>
          <w:bCs/>
          <w:i/>
          <w:iCs/>
          <w:color w:val="231F20"/>
          <w:w w:val="90"/>
          <w:sz w:val="28"/>
          <w:szCs w:val="28"/>
        </w:rPr>
      </w:pPr>
    </w:p>
    <w:p w14:paraId="696D7B5C" w14:textId="77777777" w:rsidR="002619ED" w:rsidRPr="002619ED" w:rsidRDefault="002619ED" w:rsidP="00045293">
      <w:pPr>
        <w:widowControl/>
        <w:shd w:val="clear" w:color="auto" w:fill="FFF9EE"/>
        <w:autoSpaceDE/>
        <w:autoSpaceDN/>
        <w:ind w:right="690"/>
        <w:jc w:val="both"/>
        <w:rPr>
          <w:rFonts w:ascii="Georgia" w:eastAsia="Times New Roman" w:hAnsi="Georgia" w:cs="Times New Roman"/>
          <w:color w:val="222222"/>
          <w:sz w:val="23"/>
          <w:szCs w:val="23"/>
          <w:lang w:bidi="ar-SA"/>
        </w:rPr>
      </w:pPr>
      <w:r w:rsidRPr="002619ED">
        <w:rPr>
          <w:rFonts w:ascii="Book Antiqua" w:eastAsia="Times New Roman" w:hAnsi="Book Antiqua" w:cs="Times New Roman"/>
          <w:b/>
          <w:bCs/>
          <w:color w:val="002060"/>
          <w:sz w:val="24"/>
          <w:szCs w:val="24"/>
          <w:lang w:bidi="ar-SA"/>
        </w:rPr>
        <w:t>Disclaimer:</w:t>
      </w:r>
    </w:p>
    <w:p w14:paraId="282263A5" w14:textId="77777777" w:rsidR="002619ED" w:rsidRPr="002619ED" w:rsidRDefault="002619ED" w:rsidP="00045293">
      <w:pPr>
        <w:widowControl/>
        <w:shd w:val="clear" w:color="auto" w:fill="FFF9EE"/>
        <w:autoSpaceDE/>
        <w:autoSpaceDN/>
        <w:ind w:right="690"/>
        <w:jc w:val="both"/>
        <w:rPr>
          <w:rFonts w:ascii="Georgia" w:eastAsia="Times New Roman" w:hAnsi="Georgia" w:cs="Times New Roman"/>
          <w:color w:val="222222"/>
          <w:sz w:val="23"/>
          <w:szCs w:val="23"/>
          <w:lang w:bidi="ar-SA"/>
        </w:rPr>
      </w:pPr>
      <w:r w:rsidRPr="002619ED">
        <w:rPr>
          <w:rFonts w:ascii="Book Antiqua" w:eastAsia="Times New Roman" w:hAnsi="Book Antiqua" w:cs="Times New Roman"/>
          <w:i/>
          <w:iCs/>
          <w:color w:val="002060"/>
          <w:sz w:val="20"/>
          <w:szCs w:val="20"/>
          <w:lang w:bidi="ar-SA"/>
        </w:rPr>
        <w:t>IN NO EVENT THE AUTHOR SHALL BE LIABLE FOR ANY DIRECT, INDIRECT, SPECIAL OR INCIDENTAL DAMAGE RESULTING FROM OR ARISING OUT OF OR IN CONNECTION WITH THE USE OF THIS INFORMATION.</w:t>
      </w:r>
    </w:p>
    <w:p w14:paraId="39787546" w14:textId="77777777" w:rsidR="002619ED" w:rsidRPr="002619ED" w:rsidRDefault="002619ED" w:rsidP="00045293">
      <w:pPr>
        <w:shd w:val="clear" w:color="auto" w:fill="FFFFFF" w:themeFill="background1"/>
        <w:spacing w:line="285" w:lineRule="auto"/>
        <w:ind w:right="690"/>
        <w:jc w:val="both"/>
        <w:rPr>
          <w:rFonts w:ascii="Book Antiqua" w:hAnsi="Book Antiqua"/>
          <w:b/>
          <w:bCs/>
          <w:i/>
          <w:iCs/>
          <w:color w:val="231F20"/>
          <w:w w:val="90"/>
          <w:sz w:val="28"/>
          <w:szCs w:val="28"/>
        </w:rPr>
      </w:pPr>
    </w:p>
    <w:sectPr w:rsidR="002619ED" w:rsidRPr="002619ED">
      <w:headerReference w:type="even" r:id="rId7"/>
      <w:headerReference w:type="default" r:id="rId8"/>
      <w:pgSz w:w="13040" w:h="16450"/>
      <w:pgMar w:top="1620" w:right="1540" w:bottom="1480" w:left="1540" w:header="1183" w:footer="128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D42B31" w14:textId="77777777" w:rsidR="001A3AA8" w:rsidRDefault="001A3AA8">
      <w:r>
        <w:separator/>
      </w:r>
    </w:p>
  </w:endnote>
  <w:endnote w:type="continuationSeparator" w:id="0">
    <w:p w14:paraId="0DD01ECF" w14:textId="77777777" w:rsidR="001A3AA8" w:rsidRDefault="001A3A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Book Antiqua">
    <w:altName w:val="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Georgia">
    <w:altName w:val="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E9FF36" w14:textId="77777777" w:rsidR="001A3AA8" w:rsidRDefault="001A3AA8">
      <w:r>
        <w:separator/>
      </w:r>
    </w:p>
  </w:footnote>
  <w:footnote w:type="continuationSeparator" w:id="0">
    <w:p w14:paraId="4CFCCA51" w14:textId="77777777" w:rsidR="001A3AA8" w:rsidRDefault="001A3A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3F5DAA" w14:textId="23935BE2" w:rsidR="00950479" w:rsidRDefault="00950479">
    <w:pPr>
      <w:pStyle w:val="BodyText"/>
      <w:spacing w:before="0" w:line="14" w:lineRule="auto"/>
      <w:rPr>
        <w:b w:val="0"/>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65A1BE" w14:textId="616F1736" w:rsidR="00950479" w:rsidRDefault="00950479">
    <w:pPr>
      <w:pStyle w:val="BodyText"/>
      <w:spacing w:before="0" w:line="14" w:lineRule="auto"/>
      <w:rPr>
        <w:b w:val="0"/>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D86733"/>
    <w:multiLevelType w:val="hybridMultilevel"/>
    <w:tmpl w:val="A74200CE"/>
    <w:lvl w:ilvl="0" w:tplc="17961A7C">
      <w:start w:val="1"/>
      <w:numFmt w:val="decimal"/>
      <w:lvlText w:val="%1."/>
      <w:lvlJc w:val="left"/>
      <w:pPr>
        <w:ind w:left="340" w:hanging="223"/>
        <w:jc w:val="left"/>
      </w:pPr>
      <w:rPr>
        <w:rFonts w:ascii="Book Antiqua" w:eastAsia="Book Antiqua" w:hAnsi="Book Antiqua" w:cs="Book Antiqua" w:hint="default"/>
        <w:b/>
        <w:bCs/>
        <w:color w:val="231F20"/>
        <w:w w:val="101"/>
        <w:sz w:val="22"/>
        <w:szCs w:val="22"/>
        <w:lang w:val="en-US" w:eastAsia="en-US" w:bidi="en-US"/>
      </w:rPr>
    </w:lvl>
    <w:lvl w:ilvl="1" w:tplc="49D62D9E">
      <w:numFmt w:val="bullet"/>
      <w:lvlText w:val="•"/>
      <w:lvlJc w:val="left"/>
      <w:pPr>
        <w:ind w:left="1301" w:hanging="223"/>
      </w:pPr>
      <w:rPr>
        <w:rFonts w:hint="default"/>
        <w:lang w:val="en-US" w:eastAsia="en-US" w:bidi="en-US"/>
      </w:rPr>
    </w:lvl>
    <w:lvl w:ilvl="2" w:tplc="7AA47CA8">
      <w:numFmt w:val="bullet"/>
      <w:lvlText w:val="•"/>
      <w:lvlJc w:val="left"/>
      <w:pPr>
        <w:ind w:left="2263" w:hanging="223"/>
      </w:pPr>
      <w:rPr>
        <w:rFonts w:hint="default"/>
        <w:lang w:val="en-US" w:eastAsia="en-US" w:bidi="en-US"/>
      </w:rPr>
    </w:lvl>
    <w:lvl w:ilvl="3" w:tplc="94B092AA">
      <w:numFmt w:val="bullet"/>
      <w:lvlText w:val="•"/>
      <w:lvlJc w:val="left"/>
      <w:pPr>
        <w:ind w:left="3225" w:hanging="223"/>
      </w:pPr>
      <w:rPr>
        <w:rFonts w:hint="default"/>
        <w:lang w:val="en-US" w:eastAsia="en-US" w:bidi="en-US"/>
      </w:rPr>
    </w:lvl>
    <w:lvl w:ilvl="4" w:tplc="FB68777C">
      <w:numFmt w:val="bullet"/>
      <w:lvlText w:val="•"/>
      <w:lvlJc w:val="left"/>
      <w:pPr>
        <w:ind w:left="4187" w:hanging="223"/>
      </w:pPr>
      <w:rPr>
        <w:rFonts w:hint="default"/>
        <w:lang w:val="en-US" w:eastAsia="en-US" w:bidi="en-US"/>
      </w:rPr>
    </w:lvl>
    <w:lvl w:ilvl="5" w:tplc="46243166">
      <w:numFmt w:val="bullet"/>
      <w:lvlText w:val="•"/>
      <w:lvlJc w:val="left"/>
      <w:pPr>
        <w:ind w:left="5149" w:hanging="223"/>
      </w:pPr>
      <w:rPr>
        <w:rFonts w:hint="default"/>
        <w:lang w:val="en-US" w:eastAsia="en-US" w:bidi="en-US"/>
      </w:rPr>
    </w:lvl>
    <w:lvl w:ilvl="6" w:tplc="8BDC03C8">
      <w:numFmt w:val="bullet"/>
      <w:lvlText w:val="•"/>
      <w:lvlJc w:val="left"/>
      <w:pPr>
        <w:ind w:left="6111" w:hanging="223"/>
      </w:pPr>
      <w:rPr>
        <w:rFonts w:hint="default"/>
        <w:lang w:val="en-US" w:eastAsia="en-US" w:bidi="en-US"/>
      </w:rPr>
    </w:lvl>
    <w:lvl w:ilvl="7" w:tplc="6416196A">
      <w:numFmt w:val="bullet"/>
      <w:lvlText w:val="•"/>
      <w:lvlJc w:val="left"/>
      <w:pPr>
        <w:ind w:left="7073" w:hanging="223"/>
      </w:pPr>
      <w:rPr>
        <w:rFonts w:hint="default"/>
        <w:lang w:val="en-US" w:eastAsia="en-US" w:bidi="en-US"/>
      </w:rPr>
    </w:lvl>
    <w:lvl w:ilvl="8" w:tplc="7CFAFD3E">
      <w:numFmt w:val="bullet"/>
      <w:lvlText w:val="•"/>
      <w:lvlJc w:val="left"/>
      <w:pPr>
        <w:ind w:left="8035" w:hanging="223"/>
      </w:pPr>
      <w:rPr>
        <w:rFonts w:hint="default"/>
        <w:lang w:val="en-US" w:eastAsia="en-US" w:bidi="en-US"/>
      </w:rPr>
    </w:lvl>
  </w:abstractNum>
  <w:abstractNum w:abstractNumId="1" w15:restartNumberingAfterBreak="0">
    <w:nsid w:val="17B6671C"/>
    <w:multiLevelType w:val="hybridMultilevel"/>
    <w:tmpl w:val="D3340480"/>
    <w:lvl w:ilvl="0" w:tplc="EC42689C">
      <w:start w:val="1"/>
      <w:numFmt w:val="decimal"/>
      <w:lvlText w:val="(%1)"/>
      <w:lvlJc w:val="left"/>
      <w:pPr>
        <w:ind w:left="396" w:hanging="284"/>
        <w:jc w:val="left"/>
      </w:pPr>
      <w:rPr>
        <w:rFonts w:ascii="Book Antiqua" w:eastAsia="Book Antiqua" w:hAnsi="Book Antiqua" w:cs="Book Antiqua" w:hint="default"/>
        <w:b/>
        <w:bCs/>
        <w:color w:val="231F20"/>
        <w:w w:val="99"/>
        <w:sz w:val="20"/>
        <w:szCs w:val="20"/>
        <w:lang w:val="en-US" w:eastAsia="en-US" w:bidi="en-US"/>
      </w:rPr>
    </w:lvl>
    <w:lvl w:ilvl="1" w:tplc="8BD4C0C4">
      <w:numFmt w:val="bullet"/>
      <w:lvlText w:val="•"/>
      <w:lvlJc w:val="left"/>
      <w:pPr>
        <w:ind w:left="759" w:hanging="284"/>
      </w:pPr>
      <w:rPr>
        <w:rFonts w:hint="default"/>
        <w:lang w:val="en-US" w:eastAsia="en-US" w:bidi="en-US"/>
      </w:rPr>
    </w:lvl>
    <w:lvl w:ilvl="2" w:tplc="C5328244">
      <w:numFmt w:val="bullet"/>
      <w:lvlText w:val="•"/>
      <w:lvlJc w:val="left"/>
      <w:pPr>
        <w:ind w:left="1119" w:hanging="284"/>
      </w:pPr>
      <w:rPr>
        <w:rFonts w:hint="default"/>
        <w:lang w:val="en-US" w:eastAsia="en-US" w:bidi="en-US"/>
      </w:rPr>
    </w:lvl>
    <w:lvl w:ilvl="3" w:tplc="C9E4EB92">
      <w:numFmt w:val="bullet"/>
      <w:lvlText w:val="•"/>
      <w:lvlJc w:val="left"/>
      <w:pPr>
        <w:ind w:left="1479" w:hanging="284"/>
      </w:pPr>
      <w:rPr>
        <w:rFonts w:hint="default"/>
        <w:lang w:val="en-US" w:eastAsia="en-US" w:bidi="en-US"/>
      </w:rPr>
    </w:lvl>
    <w:lvl w:ilvl="4" w:tplc="DD7A5088">
      <w:numFmt w:val="bullet"/>
      <w:lvlText w:val="•"/>
      <w:lvlJc w:val="left"/>
      <w:pPr>
        <w:ind w:left="1838" w:hanging="284"/>
      </w:pPr>
      <w:rPr>
        <w:rFonts w:hint="default"/>
        <w:lang w:val="en-US" w:eastAsia="en-US" w:bidi="en-US"/>
      </w:rPr>
    </w:lvl>
    <w:lvl w:ilvl="5" w:tplc="0A60481E">
      <w:numFmt w:val="bullet"/>
      <w:lvlText w:val="•"/>
      <w:lvlJc w:val="left"/>
      <w:pPr>
        <w:ind w:left="2198" w:hanging="284"/>
      </w:pPr>
      <w:rPr>
        <w:rFonts w:hint="default"/>
        <w:lang w:val="en-US" w:eastAsia="en-US" w:bidi="en-US"/>
      </w:rPr>
    </w:lvl>
    <w:lvl w:ilvl="6" w:tplc="F7946CCA">
      <w:numFmt w:val="bullet"/>
      <w:lvlText w:val="•"/>
      <w:lvlJc w:val="left"/>
      <w:pPr>
        <w:ind w:left="2558" w:hanging="284"/>
      </w:pPr>
      <w:rPr>
        <w:rFonts w:hint="default"/>
        <w:lang w:val="en-US" w:eastAsia="en-US" w:bidi="en-US"/>
      </w:rPr>
    </w:lvl>
    <w:lvl w:ilvl="7" w:tplc="193672FE">
      <w:numFmt w:val="bullet"/>
      <w:lvlText w:val="•"/>
      <w:lvlJc w:val="left"/>
      <w:pPr>
        <w:ind w:left="2917" w:hanging="284"/>
      </w:pPr>
      <w:rPr>
        <w:rFonts w:hint="default"/>
        <w:lang w:val="en-US" w:eastAsia="en-US" w:bidi="en-US"/>
      </w:rPr>
    </w:lvl>
    <w:lvl w:ilvl="8" w:tplc="EB8AC278">
      <w:numFmt w:val="bullet"/>
      <w:lvlText w:val="•"/>
      <w:lvlJc w:val="left"/>
      <w:pPr>
        <w:ind w:left="3277" w:hanging="284"/>
      </w:pPr>
      <w:rPr>
        <w:rFonts w:hint="default"/>
        <w:lang w:val="en-US" w:eastAsia="en-US" w:bidi="en-US"/>
      </w:rPr>
    </w:lvl>
  </w:abstractNum>
  <w:abstractNum w:abstractNumId="2" w15:restartNumberingAfterBreak="0">
    <w:nsid w:val="38B53296"/>
    <w:multiLevelType w:val="hybridMultilevel"/>
    <w:tmpl w:val="AE8E1B08"/>
    <w:lvl w:ilvl="0" w:tplc="4C607CFA">
      <w:start w:val="1"/>
      <w:numFmt w:val="decimal"/>
      <w:lvlText w:val="%1."/>
      <w:lvlJc w:val="left"/>
      <w:pPr>
        <w:ind w:left="340" w:hanging="223"/>
        <w:jc w:val="left"/>
      </w:pPr>
      <w:rPr>
        <w:rFonts w:ascii="Book Antiqua" w:eastAsia="Book Antiqua" w:hAnsi="Book Antiqua" w:cs="Book Antiqua" w:hint="default"/>
        <w:b/>
        <w:bCs/>
        <w:color w:val="231F20"/>
        <w:w w:val="101"/>
        <w:sz w:val="22"/>
        <w:szCs w:val="22"/>
        <w:lang w:val="en-US" w:eastAsia="en-US" w:bidi="en-US"/>
      </w:rPr>
    </w:lvl>
    <w:lvl w:ilvl="1" w:tplc="14DA6084">
      <w:numFmt w:val="bullet"/>
      <w:lvlText w:val="•"/>
      <w:lvlJc w:val="left"/>
      <w:pPr>
        <w:ind w:left="617" w:hanging="223"/>
      </w:pPr>
      <w:rPr>
        <w:rFonts w:hint="default"/>
        <w:lang w:val="en-US" w:eastAsia="en-US" w:bidi="en-US"/>
      </w:rPr>
    </w:lvl>
    <w:lvl w:ilvl="2" w:tplc="33E2B8EE">
      <w:numFmt w:val="bullet"/>
      <w:lvlText w:val="•"/>
      <w:lvlJc w:val="left"/>
      <w:pPr>
        <w:ind w:left="895" w:hanging="223"/>
      </w:pPr>
      <w:rPr>
        <w:rFonts w:hint="default"/>
        <w:lang w:val="en-US" w:eastAsia="en-US" w:bidi="en-US"/>
      </w:rPr>
    </w:lvl>
    <w:lvl w:ilvl="3" w:tplc="2E480700">
      <w:numFmt w:val="bullet"/>
      <w:lvlText w:val="•"/>
      <w:lvlJc w:val="left"/>
      <w:pPr>
        <w:ind w:left="1173" w:hanging="223"/>
      </w:pPr>
      <w:rPr>
        <w:rFonts w:hint="default"/>
        <w:lang w:val="en-US" w:eastAsia="en-US" w:bidi="en-US"/>
      </w:rPr>
    </w:lvl>
    <w:lvl w:ilvl="4" w:tplc="F0F80CD0">
      <w:numFmt w:val="bullet"/>
      <w:lvlText w:val="•"/>
      <w:lvlJc w:val="left"/>
      <w:pPr>
        <w:ind w:left="1450" w:hanging="223"/>
      </w:pPr>
      <w:rPr>
        <w:rFonts w:hint="default"/>
        <w:lang w:val="en-US" w:eastAsia="en-US" w:bidi="en-US"/>
      </w:rPr>
    </w:lvl>
    <w:lvl w:ilvl="5" w:tplc="E4E00552">
      <w:numFmt w:val="bullet"/>
      <w:lvlText w:val="•"/>
      <w:lvlJc w:val="left"/>
      <w:pPr>
        <w:ind w:left="1728" w:hanging="223"/>
      </w:pPr>
      <w:rPr>
        <w:rFonts w:hint="default"/>
        <w:lang w:val="en-US" w:eastAsia="en-US" w:bidi="en-US"/>
      </w:rPr>
    </w:lvl>
    <w:lvl w:ilvl="6" w:tplc="9AA2D24A">
      <w:numFmt w:val="bullet"/>
      <w:lvlText w:val="•"/>
      <w:lvlJc w:val="left"/>
      <w:pPr>
        <w:ind w:left="2006" w:hanging="223"/>
      </w:pPr>
      <w:rPr>
        <w:rFonts w:hint="default"/>
        <w:lang w:val="en-US" w:eastAsia="en-US" w:bidi="en-US"/>
      </w:rPr>
    </w:lvl>
    <w:lvl w:ilvl="7" w:tplc="1A0C8F3A">
      <w:numFmt w:val="bullet"/>
      <w:lvlText w:val="•"/>
      <w:lvlJc w:val="left"/>
      <w:pPr>
        <w:ind w:left="2283" w:hanging="223"/>
      </w:pPr>
      <w:rPr>
        <w:rFonts w:hint="default"/>
        <w:lang w:val="en-US" w:eastAsia="en-US" w:bidi="en-US"/>
      </w:rPr>
    </w:lvl>
    <w:lvl w:ilvl="8" w:tplc="2DA806EC">
      <w:numFmt w:val="bullet"/>
      <w:lvlText w:val="•"/>
      <w:lvlJc w:val="left"/>
      <w:pPr>
        <w:ind w:left="2561" w:hanging="223"/>
      </w:pPr>
      <w:rPr>
        <w:rFonts w:hint="default"/>
        <w:lang w:val="en-US" w:eastAsia="en-US" w:bidi="en-US"/>
      </w:rPr>
    </w:lvl>
  </w:abstractNum>
  <w:abstractNum w:abstractNumId="3" w15:restartNumberingAfterBreak="0">
    <w:nsid w:val="673B0E06"/>
    <w:multiLevelType w:val="hybridMultilevel"/>
    <w:tmpl w:val="4BCC65F6"/>
    <w:lvl w:ilvl="0" w:tplc="EA5C58EC">
      <w:numFmt w:val="bullet"/>
      <w:lvlText w:val=""/>
      <w:lvlJc w:val="left"/>
      <w:pPr>
        <w:ind w:left="339" w:hanging="227"/>
      </w:pPr>
      <w:rPr>
        <w:rFonts w:ascii="Symbol" w:eastAsia="Symbol" w:hAnsi="Symbol" w:cs="Symbol" w:hint="default"/>
        <w:color w:val="231F20"/>
        <w:w w:val="100"/>
        <w:sz w:val="20"/>
        <w:szCs w:val="20"/>
        <w:lang w:val="en-US" w:eastAsia="en-US" w:bidi="en-US"/>
      </w:rPr>
    </w:lvl>
    <w:lvl w:ilvl="1" w:tplc="ADEE10C0">
      <w:numFmt w:val="bullet"/>
      <w:lvlText w:val="•"/>
      <w:lvlJc w:val="left"/>
      <w:pPr>
        <w:ind w:left="705" w:hanging="227"/>
      </w:pPr>
      <w:rPr>
        <w:rFonts w:hint="default"/>
        <w:lang w:val="en-US" w:eastAsia="en-US" w:bidi="en-US"/>
      </w:rPr>
    </w:lvl>
    <w:lvl w:ilvl="2" w:tplc="1180E32A">
      <w:numFmt w:val="bullet"/>
      <w:lvlText w:val="•"/>
      <w:lvlJc w:val="left"/>
      <w:pPr>
        <w:ind w:left="1071" w:hanging="227"/>
      </w:pPr>
      <w:rPr>
        <w:rFonts w:hint="default"/>
        <w:lang w:val="en-US" w:eastAsia="en-US" w:bidi="en-US"/>
      </w:rPr>
    </w:lvl>
    <w:lvl w:ilvl="3" w:tplc="80E42F98">
      <w:numFmt w:val="bullet"/>
      <w:lvlText w:val="•"/>
      <w:lvlJc w:val="left"/>
      <w:pPr>
        <w:ind w:left="1437" w:hanging="227"/>
      </w:pPr>
      <w:rPr>
        <w:rFonts w:hint="default"/>
        <w:lang w:val="en-US" w:eastAsia="en-US" w:bidi="en-US"/>
      </w:rPr>
    </w:lvl>
    <w:lvl w:ilvl="4" w:tplc="2B20C43E">
      <w:numFmt w:val="bullet"/>
      <w:lvlText w:val="•"/>
      <w:lvlJc w:val="left"/>
      <w:pPr>
        <w:ind w:left="1802" w:hanging="227"/>
      </w:pPr>
      <w:rPr>
        <w:rFonts w:hint="default"/>
        <w:lang w:val="en-US" w:eastAsia="en-US" w:bidi="en-US"/>
      </w:rPr>
    </w:lvl>
    <w:lvl w:ilvl="5" w:tplc="0518D3D2">
      <w:numFmt w:val="bullet"/>
      <w:lvlText w:val="•"/>
      <w:lvlJc w:val="left"/>
      <w:pPr>
        <w:ind w:left="2168" w:hanging="227"/>
      </w:pPr>
      <w:rPr>
        <w:rFonts w:hint="default"/>
        <w:lang w:val="en-US" w:eastAsia="en-US" w:bidi="en-US"/>
      </w:rPr>
    </w:lvl>
    <w:lvl w:ilvl="6" w:tplc="CD8ADE82">
      <w:numFmt w:val="bullet"/>
      <w:lvlText w:val="•"/>
      <w:lvlJc w:val="left"/>
      <w:pPr>
        <w:ind w:left="2534" w:hanging="227"/>
      </w:pPr>
      <w:rPr>
        <w:rFonts w:hint="default"/>
        <w:lang w:val="en-US" w:eastAsia="en-US" w:bidi="en-US"/>
      </w:rPr>
    </w:lvl>
    <w:lvl w:ilvl="7" w:tplc="BDF053B8">
      <w:numFmt w:val="bullet"/>
      <w:lvlText w:val="•"/>
      <w:lvlJc w:val="left"/>
      <w:pPr>
        <w:ind w:left="2899" w:hanging="227"/>
      </w:pPr>
      <w:rPr>
        <w:rFonts w:hint="default"/>
        <w:lang w:val="en-US" w:eastAsia="en-US" w:bidi="en-US"/>
      </w:rPr>
    </w:lvl>
    <w:lvl w:ilvl="8" w:tplc="41F4A9CC">
      <w:numFmt w:val="bullet"/>
      <w:lvlText w:val="•"/>
      <w:lvlJc w:val="left"/>
      <w:pPr>
        <w:ind w:left="3265" w:hanging="227"/>
      </w:pPr>
      <w:rPr>
        <w:rFonts w:hint="default"/>
        <w:lang w:val="en-US" w:eastAsia="en-US" w:bidi="en-US"/>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950479"/>
    <w:rsid w:val="0002231A"/>
    <w:rsid w:val="00045293"/>
    <w:rsid w:val="00070D2D"/>
    <w:rsid w:val="00104C5B"/>
    <w:rsid w:val="001171F6"/>
    <w:rsid w:val="00123652"/>
    <w:rsid w:val="001A3AA8"/>
    <w:rsid w:val="001B4BA0"/>
    <w:rsid w:val="001F5D82"/>
    <w:rsid w:val="00207740"/>
    <w:rsid w:val="00215BD8"/>
    <w:rsid w:val="00226CC5"/>
    <w:rsid w:val="0024620E"/>
    <w:rsid w:val="002619ED"/>
    <w:rsid w:val="00302495"/>
    <w:rsid w:val="003756E2"/>
    <w:rsid w:val="00386DDD"/>
    <w:rsid w:val="003B4A5F"/>
    <w:rsid w:val="003C0529"/>
    <w:rsid w:val="003F2E4F"/>
    <w:rsid w:val="004A4ABE"/>
    <w:rsid w:val="004D2B32"/>
    <w:rsid w:val="004D4E72"/>
    <w:rsid w:val="00514BC6"/>
    <w:rsid w:val="0058437E"/>
    <w:rsid w:val="006E69D5"/>
    <w:rsid w:val="00715A20"/>
    <w:rsid w:val="007D2A46"/>
    <w:rsid w:val="00835843"/>
    <w:rsid w:val="00841563"/>
    <w:rsid w:val="008B3629"/>
    <w:rsid w:val="008C4300"/>
    <w:rsid w:val="008D2298"/>
    <w:rsid w:val="008E5C01"/>
    <w:rsid w:val="00934652"/>
    <w:rsid w:val="00950479"/>
    <w:rsid w:val="00956352"/>
    <w:rsid w:val="00975817"/>
    <w:rsid w:val="00977124"/>
    <w:rsid w:val="00A14FA8"/>
    <w:rsid w:val="00A57A52"/>
    <w:rsid w:val="00B757AD"/>
    <w:rsid w:val="00C25FB5"/>
    <w:rsid w:val="00C54AA7"/>
    <w:rsid w:val="00CD25F7"/>
    <w:rsid w:val="00D47566"/>
    <w:rsid w:val="00DC4E52"/>
    <w:rsid w:val="00E5220A"/>
    <w:rsid w:val="00EA0DF9"/>
    <w:rsid w:val="00F11A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A12EC0"/>
  <w15:docId w15:val="{FD871AAB-135D-4475-9C67-8D7EC079F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Bookman Old Style" w:eastAsia="Bookman Old Style" w:hAnsi="Bookman Old Style" w:cs="Bookman Old Style"/>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pPr>
    <w:rPr>
      <w:rFonts w:ascii="Book Antiqua" w:eastAsia="Book Antiqua" w:hAnsi="Book Antiqua" w:cs="Book Antiqua"/>
      <w:b/>
      <w:bCs/>
    </w:rPr>
  </w:style>
  <w:style w:type="paragraph" w:styleId="ListParagraph">
    <w:name w:val="List Paragraph"/>
    <w:basedOn w:val="Normal"/>
    <w:uiPriority w:val="1"/>
    <w:qFormat/>
    <w:pPr>
      <w:spacing w:before="98"/>
      <w:ind w:left="340" w:hanging="224"/>
    </w:pPr>
    <w:rPr>
      <w:rFonts w:ascii="Book Antiqua" w:eastAsia="Book Antiqua" w:hAnsi="Book Antiqua" w:cs="Book Antiqua"/>
    </w:rPr>
  </w:style>
  <w:style w:type="paragraph" w:customStyle="1" w:styleId="TableParagraph">
    <w:name w:val="Table Paragraph"/>
    <w:basedOn w:val="Normal"/>
    <w:uiPriority w:val="1"/>
    <w:qFormat/>
    <w:pPr>
      <w:spacing w:before="95"/>
      <w:ind w:left="113"/>
    </w:pPr>
  </w:style>
  <w:style w:type="paragraph" w:styleId="Header">
    <w:name w:val="header"/>
    <w:basedOn w:val="Normal"/>
    <w:link w:val="HeaderChar"/>
    <w:uiPriority w:val="99"/>
    <w:unhideWhenUsed/>
    <w:rsid w:val="00E5220A"/>
    <w:pPr>
      <w:tabs>
        <w:tab w:val="center" w:pos="4680"/>
        <w:tab w:val="right" w:pos="9360"/>
      </w:tabs>
    </w:pPr>
  </w:style>
  <w:style w:type="character" w:customStyle="1" w:styleId="HeaderChar">
    <w:name w:val="Header Char"/>
    <w:basedOn w:val="DefaultParagraphFont"/>
    <w:link w:val="Header"/>
    <w:uiPriority w:val="99"/>
    <w:rsid w:val="00E5220A"/>
    <w:rPr>
      <w:rFonts w:ascii="Bookman Old Style" w:eastAsia="Bookman Old Style" w:hAnsi="Bookman Old Style" w:cs="Bookman Old Style"/>
      <w:lang w:bidi="en-US"/>
    </w:rPr>
  </w:style>
  <w:style w:type="paragraph" w:styleId="Footer">
    <w:name w:val="footer"/>
    <w:basedOn w:val="Normal"/>
    <w:link w:val="FooterChar"/>
    <w:uiPriority w:val="99"/>
    <w:unhideWhenUsed/>
    <w:rsid w:val="00E5220A"/>
    <w:pPr>
      <w:tabs>
        <w:tab w:val="center" w:pos="4680"/>
        <w:tab w:val="right" w:pos="9360"/>
      </w:tabs>
    </w:pPr>
  </w:style>
  <w:style w:type="character" w:customStyle="1" w:styleId="FooterChar">
    <w:name w:val="Footer Char"/>
    <w:basedOn w:val="DefaultParagraphFont"/>
    <w:link w:val="Footer"/>
    <w:uiPriority w:val="99"/>
    <w:rsid w:val="00E5220A"/>
    <w:rPr>
      <w:rFonts w:ascii="Bookman Old Style" w:eastAsia="Bookman Old Style" w:hAnsi="Bookman Old Style" w:cs="Bookman Old Style"/>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2474505">
      <w:bodyDiv w:val="1"/>
      <w:marLeft w:val="0"/>
      <w:marRight w:val="0"/>
      <w:marTop w:val="0"/>
      <w:marBottom w:val="0"/>
      <w:divBdr>
        <w:top w:val="none" w:sz="0" w:space="0" w:color="auto"/>
        <w:left w:val="none" w:sz="0" w:space="0" w:color="auto"/>
        <w:bottom w:val="none" w:sz="0" w:space="0" w:color="auto"/>
        <w:right w:val="none" w:sz="0" w:space="0" w:color="auto"/>
      </w:divBdr>
    </w:div>
    <w:div w:id="13871454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196</TotalTime>
  <Pages>1</Pages>
  <Words>512</Words>
  <Characters>2923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Home</cp:lastModifiedBy>
  <cp:revision>43</cp:revision>
  <dcterms:created xsi:type="dcterms:W3CDTF">2020-07-26T10:24:00Z</dcterms:created>
  <dcterms:modified xsi:type="dcterms:W3CDTF">2020-08-09T10:27:00Z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2020-07-22T00:00:00Z</vt:filetime>
  </property>
  <property fmtid="{D5CDD505-2E9C-101B-9397-08002B2CF9AE}" pid="3" name="Creator">
    <vt:lpwstr>Adobe InDesign CS6 (Windows)</vt:lpwstr>
  </property>
  <property fmtid="{D5CDD505-2E9C-101B-9397-08002B2CF9AE}" pid="4" name="LastSaved">
    <vt:filetime>2020-07-26T00:00:00Z</vt:filetime>
  </property>
</Properties>
</file>