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E5D" w:rsidRDefault="003D4E5D" w:rsidP="002529B2">
      <w:pPr>
        <w:jc w:val="center"/>
        <w:rPr>
          <w:b/>
          <w:sz w:val="32"/>
          <w:szCs w:val="32"/>
        </w:rPr>
      </w:pPr>
    </w:p>
    <w:p w:rsidR="00D32648" w:rsidRDefault="00D32648" w:rsidP="00D32648">
      <w:pPr>
        <w:jc w:val="right"/>
        <w:rPr>
          <w:rFonts w:ascii="Times New Roman" w:hAnsi="Times New Roman" w:cs="Times New Roman"/>
          <w:b/>
          <w:sz w:val="32"/>
          <w:szCs w:val="32"/>
          <w:u w:val="single"/>
        </w:rPr>
      </w:pPr>
      <w:r w:rsidRPr="00D32648">
        <w:rPr>
          <w:rFonts w:ascii="Times New Roman" w:hAnsi="Times New Roman" w:cs="Times New Roman"/>
          <w:b/>
          <w:noProof/>
          <w:sz w:val="32"/>
          <w:szCs w:val="32"/>
          <w:u w:val="single"/>
        </w:rPr>
        <w:drawing>
          <wp:inline distT="0" distB="0" distL="0" distR="0">
            <wp:extent cx="1484555" cy="1026795"/>
            <wp:effectExtent l="0" t="0" r="1905" b="1905"/>
            <wp:docPr id="2" name="Picture 2" descr="D:\Photo\04.01.2018 bgr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hoto\04.01.2018 bgr 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9403" cy="1037065"/>
                    </a:xfrm>
                    <a:prstGeom prst="rect">
                      <a:avLst/>
                    </a:prstGeom>
                    <a:noFill/>
                    <a:ln>
                      <a:noFill/>
                    </a:ln>
                  </pic:spPr>
                </pic:pic>
              </a:graphicData>
            </a:graphic>
          </wp:inline>
        </w:drawing>
      </w:r>
    </w:p>
    <w:p w:rsidR="00F55DD0" w:rsidRPr="002529B2" w:rsidRDefault="002529B2" w:rsidP="002529B2">
      <w:pPr>
        <w:jc w:val="center"/>
        <w:rPr>
          <w:b/>
        </w:rPr>
      </w:pPr>
      <w:r w:rsidRPr="00CF38B4">
        <w:rPr>
          <w:rFonts w:ascii="Times New Roman" w:hAnsi="Times New Roman" w:cs="Times New Roman"/>
          <w:b/>
          <w:sz w:val="32"/>
          <w:szCs w:val="32"/>
          <w:u w:val="single"/>
        </w:rPr>
        <w:t xml:space="preserve">Construction </w:t>
      </w:r>
      <w:r w:rsidR="002B2BB0" w:rsidRPr="00CF38B4">
        <w:rPr>
          <w:rFonts w:ascii="Times New Roman" w:hAnsi="Times New Roman" w:cs="Times New Roman"/>
          <w:b/>
          <w:sz w:val="32"/>
          <w:szCs w:val="32"/>
          <w:u w:val="single"/>
        </w:rPr>
        <w:t>Delay Analysis</w:t>
      </w:r>
      <w:r w:rsidRPr="00005071">
        <w:rPr>
          <w:rFonts w:ascii="Times New Roman" w:hAnsi="Times New Roman" w:cs="Times New Roman"/>
          <w:b/>
          <w:sz w:val="32"/>
          <w:szCs w:val="32"/>
        </w:rPr>
        <w:t>.</w:t>
      </w:r>
      <w:r w:rsidR="00D32648">
        <w:rPr>
          <w:b/>
        </w:rPr>
        <w:t xml:space="preserve"> By A. M</w:t>
      </w:r>
      <w:r w:rsidR="00D658AD">
        <w:rPr>
          <w:b/>
        </w:rPr>
        <w:t xml:space="preserve">. </w:t>
      </w:r>
      <w:r w:rsidR="00D32648">
        <w:rPr>
          <w:b/>
        </w:rPr>
        <w:t xml:space="preserve">Ibrahim </w:t>
      </w:r>
      <w:r w:rsidR="00D658AD">
        <w:rPr>
          <w:b/>
        </w:rPr>
        <w:t>B. Arch, FIE (I), MIBC, FICA.</w:t>
      </w:r>
    </w:p>
    <w:p w:rsidR="007B6FB7" w:rsidRPr="00812113" w:rsidRDefault="004773C7" w:rsidP="007B6FB7">
      <w:pPr>
        <w:pStyle w:val="Default"/>
        <w:jc w:val="both"/>
        <w:rPr>
          <w:rFonts w:asciiTheme="minorHAnsi" w:hAnsiTheme="minorHAnsi" w:cstheme="minorHAnsi"/>
          <w:color w:val="C00000"/>
          <w:sz w:val="22"/>
          <w:szCs w:val="22"/>
          <w:shd w:val="clear" w:color="auto" w:fill="FFFFFF"/>
        </w:rPr>
      </w:pPr>
      <w:r w:rsidRPr="004773C7">
        <w:rPr>
          <w:rFonts w:asciiTheme="minorHAnsi" w:hAnsiTheme="minorHAnsi" w:cstheme="minorHAnsi"/>
          <w:b/>
          <w:sz w:val="22"/>
          <w:szCs w:val="22"/>
        </w:rPr>
        <w:t>1.0</w:t>
      </w:r>
      <w:r>
        <w:rPr>
          <w:rFonts w:asciiTheme="minorHAnsi" w:hAnsiTheme="minorHAnsi" w:cstheme="minorHAnsi"/>
          <w:sz w:val="22"/>
          <w:szCs w:val="22"/>
        </w:rPr>
        <w:t xml:space="preserve"> </w:t>
      </w:r>
      <w:r w:rsidR="007B6FB7" w:rsidRPr="00812113">
        <w:rPr>
          <w:rFonts w:asciiTheme="minorHAnsi" w:hAnsiTheme="minorHAnsi" w:cstheme="minorHAnsi"/>
          <w:sz w:val="22"/>
          <w:szCs w:val="22"/>
        </w:rPr>
        <w:t xml:space="preserve">Basically delay is the time overrun either beyond the completion date specified in the contract or beyond the agreed-upon date for delivery of the project. Most large projects are completed later than these agreed-upon dates for a number of reasons. </w:t>
      </w:r>
      <w:r w:rsidR="007B6FB7" w:rsidRPr="00812113">
        <w:rPr>
          <w:rFonts w:asciiTheme="minorHAnsi" w:hAnsiTheme="minorHAnsi" w:cstheme="minorHAnsi"/>
          <w:sz w:val="22"/>
          <w:szCs w:val="22"/>
          <w:shd w:val="clear" w:color="auto" w:fill="FFFFFF"/>
        </w:rPr>
        <w:t>It is necessary for the Contractor to prove that there has been actual delay. In many cases it is possible to adopt a common sense approach in regard to claims for extensions of time. To take a simple example, it is quite obvious that a wall cannot be painted until it is built. Indeed, any building task that cannot be commenced until another is done will be held up until that other task has been completed. When the doing of one thing is a necessary precursor to the doing of another then it is said to be in the critical path</w:t>
      </w:r>
      <w:r w:rsidR="007B6FB7" w:rsidRPr="00812113">
        <w:rPr>
          <w:rFonts w:asciiTheme="minorHAnsi" w:hAnsiTheme="minorHAnsi" w:cstheme="minorHAnsi"/>
          <w:color w:val="C00000"/>
          <w:sz w:val="22"/>
          <w:szCs w:val="22"/>
          <w:shd w:val="clear" w:color="auto" w:fill="FFFFFF"/>
        </w:rPr>
        <w:t>.</w:t>
      </w:r>
    </w:p>
    <w:p w:rsidR="007B6FB7" w:rsidRPr="00812113" w:rsidRDefault="007B6FB7" w:rsidP="007B6FB7">
      <w:pPr>
        <w:pStyle w:val="Default"/>
        <w:jc w:val="both"/>
        <w:rPr>
          <w:rFonts w:asciiTheme="minorHAnsi" w:hAnsiTheme="minorHAnsi" w:cstheme="minorHAnsi"/>
          <w:color w:val="C00000"/>
          <w:sz w:val="22"/>
          <w:szCs w:val="22"/>
          <w:shd w:val="clear" w:color="auto" w:fill="FFFFFF"/>
        </w:rPr>
      </w:pPr>
    </w:p>
    <w:p w:rsidR="007B6FB7" w:rsidRPr="00812113" w:rsidRDefault="004773C7" w:rsidP="007B6FB7">
      <w:pPr>
        <w:pStyle w:val="Default"/>
        <w:jc w:val="both"/>
        <w:rPr>
          <w:rFonts w:asciiTheme="minorHAnsi" w:hAnsiTheme="minorHAnsi" w:cstheme="minorHAnsi"/>
          <w:b/>
          <w:color w:val="auto"/>
          <w:sz w:val="22"/>
          <w:szCs w:val="22"/>
          <w:u w:val="single"/>
          <w:shd w:val="clear" w:color="auto" w:fill="FFFFFF"/>
        </w:rPr>
      </w:pPr>
      <w:r>
        <w:rPr>
          <w:rFonts w:asciiTheme="minorHAnsi" w:hAnsiTheme="minorHAnsi" w:cstheme="minorHAnsi"/>
          <w:b/>
          <w:color w:val="auto"/>
          <w:sz w:val="22"/>
          <w:szCs w:val="22"/>
          <w:u w:val="single"/>
          <w:shd w:val="clear" w:color="auto" w:fill="FFFFFF"/>
        </w:rPr>
        <w:t xml:space="preserve">2.0 </w:t>
      </w:r>
      <w:r w:rsidR="007B6FB7" w:rsidRPr="00812113">
        <w:rPr>
          <w:rFonts w:asciiTheme="minorHAnsi" w:hAnsiTheme="minorHAnsi" w:cstheme="minorHAnsi"/>
          <w:b/>
          <w:color w:val="auto"/>
          <w:sz w:val="22"/>
          <w:szCs w:val="22"/>
          <w:u w:val="single"/>
          <w:shd w:val="clear" w:color="auto" w:fill="FFFFFF"/>
        </w:rPr>
        <w:t>Evolution of Construction Planning techniques:</w:t>
      </w:r>
    </w:p>
    <w:p w:rsidR="007B6FB7" w:rsidRPr="00812113" w:rsidRDefault="007B6FB7" w:rsidP="007B6FB7">
      <w:pPr>
        <w:pStyle w:val="Default"/>
        <w:jc w:val="both"/>
        <w:rPr>
          <w:rFonts w:asciiTheme="minorHAnsi" w:hAnsiTheme="minorHAnsi" w:cstheme="minorHAnsi"/>
          <w:color w:val="auto"/>
          <w:sz w:val="22"/>
          <w:szCs w:val="22"/>
          <w:shd w:val="clear" w:color="auto" w:fill="FFFFFF"/>
        </w:rPr>
      </w:pPr>
    </w:p>
    <w:tbl>
      <w:tblPr>
        <w:tblStyle w:val="TableGrid"/>
        <w:tblW w:w="0" w:type="auto"/>
        <w:tblLook w:val="04A0" w:firstRow="1" w:lastRow="0" w:firstColumn="1" w:lastColumn="0" w:noHBand="0" w:noVBand="1"/>
      </w:tblPr>
      <w:tblGrid>
        <w:gridCol w:w="1558"/>
        <w:gridCol w:w="1558"/>
        <w:gridCol w:w="1559"/>
        <w:gridCol w:w="2337"/>
        <w:gridCol w:w="2338"/>
      </w:tblGrid>
      <w:tr w:rsidR="007B6FB7" w:rsidRPr="00812113" w:rsidTr="00D24B5B">
        <w:trPr>
          <w:trHeight w:val="81"/>
        </w:trPr>
        <w:tc>
          <w:tcPr>
            <w:tcW w:w="4675" w:type="dxa"/>
            <w:gridSpan w:val="3"/>
            <w:vMerge w:val="restart"/>
            <w:tcBorders>
              <w:top w:val="single" w:sz="18" w:space="0" w:color="auto"/>
              <w:left w:val="single" w:sz="12" w:space="0" w:color="auto"/>
              <w:right w:val="single" w:sz="18" w:space="0" w:color="auto"/>
            </w:tcBorders>
          </w:tcPr>
          <w:p w:rsidR="007B6FB7" w:rsidRPr="00812113" w:rsidRDefault="004A3173" w:rsidP="00D24B5B">
            <w:pPr>
              <w:pStyle w:val="Default"/>
              <w:jc w:val="center"/>
              <w:rPr>
                <w:rFonts w:asciiTheme="minorHAnsi" w:hAnsiTheme="minorHAnsi" w:cstheme="minorHAnsi"/>
                <w:color w:val="auto"/>
                <w:sz w:val="22"/>
                <w:szCs w:val="22"/>
                <w:shd w:val="clear" w:color="auto" w:fill="FFFFFF"/>
              </w:rPr>
            </w:pPr>
            <w:r w:rsidRPr="004A3173">
              <w:rPr>
                <w:rFonts w:asciiTheme="minorHAnsi" w:hAnsiTheme="minorHAnsi" w:cstheme="minorHAnsi"/>
                <w:color w:val="auto"/>
                <w:sz w:val="22"/>
                <w:szCs w:val="22"/>
                <w:shd w:val="clear" w:color="auto" w:fill="FFFFFF"/>
                <w:vertAlign w:val="superscript"/>
              </w:rPr>
              <w:t>(1)</w:t>
            </w:r>
            <w:r>
              <w:rPr>
                <w:rFonts w:asciiTheme="minorHAnsi" w:hAnsiTheme="minorHAnsi" w:cstheme="minorHAnsi"/>
                <w:color w:val="auto"/>
                <w:sz w:val="22"/>
                <w:szCs w:val="22"/>
                <w:shd w:val="clear" w:color="auto" w:fill="FFFFFF"/>
              </w:rPr>
              <w:t xml:space="preserve"> </w:t>
            </w:r>
            <w:r w:rsidR="007B6FB7" w:rsidRPr="00812113">
              <w:rPr>
                <w:rFonts w:asciiTheme="minorHAnsi" w:hAnsiTheme="minorHAnsi" w:cstheme="minorHAnsi"/>
                <w:color w:val="auto"/>
                <w:sz w:val="22"/>
                <w:szCs w:val="22"/>
                <w:shd w:val="clear" w:color="auto" w:fill="FFFFFF"/>
              </w:rPr>
              <w:t xml:space="preserve">Bar Chart (A chart with bars whose lengths are proportional to quantities) aka Grantt Chart                                                    </w:t>
            </w:r>
            <w:r w:rsidR="007B6FB7" w:rsidRPr="00812113">
              <w:rPr>
                <w:rFonts w:ascii="Arial" w:hAnsi="Arial" w:cs="Arial"/>
                <w:color w:val="auto"/>
                <w:sz w:val="22"/>
                <w:szCs w:val="22"/>
                <w:shd w:val="clear" w:color="auto" w:fill="FFFFFF"/>
              </w:rPr>
              <w:t>►</w:t>
            </w:r>
          </w:p>
        </w:tc>
        <w:tc>
          <w:tcPr>
            <w:tcW w:w="4675" w:type="dxa"/>
            <w:gridSpan w:val="2"/>
            <w:tcBorders>
              <w:top w:val="single" w:sz="18" w:space="0" w:color="auto"/>
              <w:left w:val="single" w:sz="18" w:space="0" w:color="auto"/>
              <w:bottom w:val="single" w:sz="18" w:space="0" w:color="auto"/>
              <w:right w:val="single" w:sz="24" w:space="0" w:color="auto"/>
            </w:tcBorders>
          </w:tcPr>
          <w:p w:rsidR="007B6FB7" w:rsidRPr="00812113" w:rsidRDefault="007B6FB7" w:rsidP="00D24B5B">
            <w:pPr>
              <w:pStyle w:val="Default"/>
              <w:jc w:val="center"/>
              <w:rPr>
                <w:rFonts w:asciiTheme="minorHAnsi" w:hAnsiTheme="minorHAnsi" w:cstheme="minorHAnsi"/>
                <w:color w:val="auto"/>
                <w:sz w:val="22"/>
                <w:szCs w:val="22"/>
                <w:shd w:val="clear" w:color="auto" w:fill="FFFFFF"/>
              </w:rPr>
            </w:pPr>
            <w:r w:rsidRPr="00812113">
              <w:rPr>
                <w:rFonts w:asciiTheme="minorHAnsi" w:hAnsiTheme="minorHAnsi" w:cstheme="minorHAnsi"/>
                <w:color w:val="auto"/>
                <w:sz w:val="22"/>
                <w:szCs w:val="22"/>
                <w:shd w:val="clear" w:color="auto" w:fill="FFFFFF"/>
              </w:rPr>
              <w:t>Networks</w:t>
            </w:r>
          </w:p>
        </w:tc>
      </w:tr>
      <w:tr w:rsidR="007B6FB7" w:rsidRPr="00812113" w:rsidTr="00D24B5B">
        <w:trPr>
          <w:trHeight w:val="81"/>
        </w:trPr>
        <w:tc>
          <w:tcPr>
            <w:tcW w:w="4675" w:type="dxa"/>
            <w:gridSpan w:val="3"/>
            <w:vMerge/>
            <w:tcBorders>
              <w:left w:val="single" w:sz="12" w:space="0" w:color="auto"/>
              <w:bottom w:val="single" w:sz="18" w:space="0" w:color="auto"/>
              <w:right w:val="single" w:sz="18" w:space="0" w:color="auto"/>
            </w:tcBorders>
          </w:tcPr>
          <w:p w:rsidR="007B6FB7" w:rsidRPr="00812113" w:rsidRDefault="007B6FB7" w:rsidP="00D24B5B">
            <w:pPr>
              <w:pStyle w:val="Default"/>
              <w:jc w:val="center"/>
              <w:rPr>
                <w:rFonts w:asciiTheme="minorHAnsi" w:hAnsiTheme="minorHAnsi" w:cstheme="minorHAnsi"/>
                <w:color w:val="auto"/>
                <w:sz w:val="22"/>
                <w:szCs w:val="22"/>
                <w:shd w:val="clear" w:color="auto" w:fill="FFFFFF"/>
              </w:rPr>
            </w:pPr>
          </w:p>
        </w:tc>
        <w:tc>
          <w:tcPr>
            <w:tcW w:w="4675" w:type="dxa"/>
            <w:gridSpan w:val="2"/>
            <w:tcBorders>
              <w:top w:val="single" w:sz="18" w:space="0" w:color="auto"/>
              <w:left w:val="single" w:sz="18" w:space="0" w:color="auto"/>
              <w:bottom w:val="single" w:sz="18" w:space="0" w:color="auto"/>
              <w:right w:val="single" w:sz="24" w:space="0" w:color="auto"/>
            </w:tcBorders>
          </w:tcPr>
          <w:p w:rsidR="007B6FB7" w:rsidRPr="00812113" w:rsidRDefault="007B6FB7" w:rsidP="00D24B5B">
            <w:pPr>
              <w:pStyle w:val="Default"/>
              <w:jc w:val="both"/>
              <w:rPr>
                <w:rFonts w:asciiTheme="minorHAnsi" w:hAnsiTheme="minorHAnsi" w:cstheme="minorHAnsi"/>
                <w:color w:val="auto"/>
                <w:sz w:val="22"/>
                <w:szCs w:val="22"/>
                <w:shd w:val="clear" w:color="auto" w:fill="FFFFFF"/>
              </w:rPr>
            </w:pPr>
            <w:r w:rsidRPr="00812113">
              <w:rPr>
                <w:rFonts w:asciiTheme="minorHAnsi" w:hAnsiTheme="minorHAnsi" w:cstheme="minorHAnsi"/>
                <w:color w:val="auto"/>
                <w:sz w:val="22"/>
                <w:szCs w:val="22"/>
                <w:shd w:val="clear" w:color="auto" w:fill="FFFFFF"/>
              </w:rPr>
              <w:t>Critical path analysis (CPA) aka Critical path method (CPM)</w:t>
            </w:r>
          </w:p>
        </w:tc>
      </w:tr>
      <w:tr w:rsidR="007B6FB7" w:rsidRPr="00812113" w:rsidTr="00D24B5B">
        <w:trPr>
          <w:trHeight w:val="81"/>
        </w:trPr>
        <w:tc>
          <w:tcPr>
            <w:tcW w:w="1558" w:type="dxa"/>
            <w:tcBorders>
              <w:top w:val="single" w:sz="18" w:space="0" w:color="auto"/>
              <w:left w:val="single" w:sz="12" w:space="0" w:color="auto"/>
              <w:bottom w:val="single" w:sz="18" w:space="0" w:color="auto"/>
              <w:right w:val="single" w:sz="18" w:space="0" w:color="auto"/>
            </w:tcBorders>
            <w:shd w:val="clear" w:color="auto" w:fill="D9D9D9" w:themeFill="background1" w:themeFillShade="D9"/>
          </w:tcPr>
          <w:p w:rsidR="007B6FB7" w:rsidRPr="00812113" w:rsidRDefault="007B6FB7" w:rsidP="00D24B5B">
            <w:pPr>
              <w:pStyle w:val="Default"/>
              <w:jc w:val="both"/>
              <w:rPr>
                <w:rFonts w:asciiTheme="minorHAnsi" w:hAnsiTheme="minorHAnsi" w:cstheme="minorHAnsi"/>
                <w:color w:val="auto"/>
                <w:sz w:val="22"/>
                <w:szCs w:val="22"/>
                <w:shd w:val="clear" w:color="auto" w:fill="FFFFFF"/>
              </w:rPr>
            </w:pPr>
            <w:r w:rsidRPr="00812113">
              <w:rPr>
                <w:rFonts w:asciiTheme="minorHAnsi" w:hAnsiTheme="minorHAnsi" w:cstheme="minorHAnsi"/>
                <w:color w:val="auto"/>
                <w:sz w:val="22"/>
                <w:szCs w:val="22"/>
                <w:shd w:val="clear" w:color="auto" w:fill="FFFFFF"/>
              </w:rPr>
              <w:t xml:space="preserve">Bar chart </w:t>
            </w:r>
            <w:r w:rsidRPr="00812113">
              <w:rPr>
                <w:rFonts w:ascii="Arial" w:hAnsi="Arial" w:cs="Arial"/>
                <w:color w:val="auto"/>
                <w:sz w:val="22"/>
                <w:szCs w:val="22"/>
                <w:shd w:val="clear" w:color="auto" w:fill="FFFFFF"/>
              </w:rPr>
              <w:t>►</w:t>
            </w:r>
          </w:p>
        </w:tc>
        <w:tc>
          <w:tcPr>
            <w:tcW w:w="1558"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tcPr>
          <w:p w:rsidR="007B6FB7" w:rsidRPr="00812113" w:rsidRDefault="007B6FB7" w:rsidP="00D24B5B">
            <w:pPr>
              <w:pStyle w:val="Default"/>
              <w:jc w:val="both"/>
              <w:rPr>
                <w:rFonts w:asciiTheme="minorHAnsi" w:hAnsiTheme="minorHAnsi" w:cstheme="minorHAnsi"/>
                <w:color w:val="auto"/>
                <w:sz w:val="22"/>
                <w:szCs w:val="22"/>
                <w:shd w:val="clear" w:color="auto" w:fill="FFFFFF"/>
              </w:rPr>
            </w:pPr>
            <w:r w:rsidRPr="00812113">
              <w:rPr>
                <w:rFonts w:asciiTheme="minorHAnsi" w:hAnsiTheme="minorHAnsi" w:cstheme="minorHAnsi"/>
                <w:color w:val="auto"/>
                <w:sz w:val="22"/>
                <w:szCs w:val="22"/>
                <w:shd w:val="clear" w:color="auto" w:fill="FFFFFF"/>
              </w:rPr>
              <w:t xml:space="preserve">‘Milestone’ </w:t>
            </w:r>
          </w:p>
          <w:p w:rsidR="007B6FB7" w:rsidRPr="00812113" w:rsidRDefault="007B6FB7" w:rsidP="00D24B5B">
            <w:pPr>
              <w:pStyle w:val="Default"/>
              <w:jc w:val="both"/>
              <w:rPr>
                <w:rFonts w:asciiTheme="minorHAnsi" w:hAnsiTheme="minorHAnsi" w:cstheme="minorHAnsi"/>
                <w:color w:val="auto"/>
                <w:sz w:val="22"/>
                <w:szCs w:val="22"/>
                <w:shd w:val="clear" w:color="auto" w:fill="FFFFFF"/>
              </w:rPr>
            </w:pPr>
            <w:r w:rsidRPr="00812113">
              <w:rPr>
                <w:rFonts w:asciiTheme="minorHAnsi" w:hAnsiTheme="minorHAnsi" w:cstheme="minorHAnsi"/>
                <w:color w:val="auto"/>
                <w:sz w:val="22"/>
                <w:szCs w:val="22"/>
                <w:shd w:val="clear" w:color="auto" w:fill="FFFFFF"/>
              </w:rPr>
              <w:t xml:space="preserve">Method     </w:t>
            </w:r>
            <w:r w:rsidRPr="00812113">
              <w:rPr>
                <w:rFonts w:ascii="Arial" w:hAnsi="Arial" w:cs="Arial"/>
                <w:color w:val="auto"/>
                <w:sz w:val="22"/>
                <w:szCs w:val="22"/>
                <w:shd w:val="clear" w:color="auto" w:fill="FFFFFF"/>
              </w:rPr>
              <w:t>►</w:t>
            </w:r>
          </w:p>
        </w:tc>
        <w:tc>
          <w:tcPr>
            <w:tcW w:w="1559"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tcPr>
          <w:p w:rsidR="007B6FB7" w:rsidRPr="00812113" w:rsidRDefault="007B6FB7" w:rsidP="00D24B5B">
            <w:pPr>
              <w:pStyle w:val="Default"/>
              <w:jc w:val="both"/>
              <w:rPr>
                <w:rFonts w:asciiTheme="minorHAnsi" w:hAnsiTheme="minorHAnsi" w:cstheme="minorHAnsi"/>
                <w:color w:val="auto"/>
                <w:sz w:val="22"/>
                <w:szCs w:val="22"/>
                <w:shd w:val="clear" w:color="auto" w:fill="FFFFFF"/>
              </w:rPr>
            </w:pPr>
            <w:r w:rsidRPr="00812113">
              <w:rPr>
                <w:rFonts w:asciiTheme="minorHAnsi" w:hAnsiTheme="minorHAnsi" w:cstheme="minorHAnsi"/>
                <w:color w:val="auto"/>
                <w:sz w:val="22"/>
                <w:szCs w:val="22"/>
                <w:shd w:val="clear" w:color="auto" w:fill="FFFFFF"/>
              </w:rPr>
              <w:t>Location –</w:t>
            </w:r>
          </w:p>
          <w:p w:rsidR="007B6FB7" w:rsidRPr="00812113" w:rsidRDefault="007B6FB7" w:rsidP="00D24B5B">
            <w:pPr>
              <w:pStyle w:val="Default"/>
              <w:jc w:val="both"/>
              <w:rPr>
                <w:rFonts w:asciiTheme="minorHAnsi" w:hAnsiTheme="minorHAnsi" w:cstheme="minorHAnsi"/>
                <w:color w:val="auto"/>
                <w:sz w:val="22"/>
                <w:szCs w:val="22"/>
                <w:shd w:val="clear" w:color="auto" w:fill="FFFFFF"/>
              </w:rPr>
            </w:pPr>
            <w:r w:rsidRPr="00812113">
              <w:rPr>
                <w:rFonts w:asciiTheme="minorHAnsi" w:hAnsiTheme="minorHAnsi" w:cstheme="minorHAnsi"/>
                <w:color w:val="auto"/>
                <w:sz w:val="22"/>
                <w:szCs w:val="22"/>
                <w:shd w:val="clear" w:color="auto" w:fill="FFFFFF"/>
              </w:rPr>
              <w:t>Time chart</w:t>
            </w:r>
          </w:p>
        </w:tc>
        <w:tc>
          <w:tcPr>
            <w:tcW w:w="2337"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tcPr>
          <w:p w:rsidR="007B6FB7" w:rsidRPr="00812113" w:rsidRDefault="007B6FB7" w:rsidP="00D24B5B">
            <w:pPr>
              <w:pStyle w:val="Default"/>
              <w:jc w:val="both"/>
              <w:rPr>
                <w:rFonts w:asciiTheme="minorHAnsi" w:hAnsiTheme="minorHAnsi" w:cstheme="minorHAnsi"/>
                <w:color w:val="auto"/>
                <w:sz w:val="22"/>
                <w:szCs w:val="22"/>
                <w:shd w:val="clear" w:color="auto" w:fill="FFFFFF"/>
              </w:rPr>
            </w:pPr>
            <w:r w:rsidRPr="00812113">
              <w:rPr>
                <w:rFonts w:asciiTheme="minorHAnsi" w:hAnsiTheme="minorHAnsi" w:cstheme="minorHAnsi"/>
                <w:color w:val="auto"/>
                <w:sz w:val="22"/>
                <w:szCs w:val="22"/>
                <w:shd w:val="clear" w:color="auto" w:fill="FFFFFF"/>
              </w:rPr>
              <w:t xml:space="preserve">Network-1 CPA.    </w:t>
            </w:r>
            <w:r w:rsidRPr="00812113">
              <w:rPr>
                <w:rFonts w:ascii="Arial" w:hAnsi="Arial" w:cs="Arial"/>
                <w:color w:val="auto"/>
                <w:sz w:val="22"/>
                <w:szCs w:val="22"/>
                <w:shd w:val="clear" w:color="auto" w:fill="FFFFFF"/>
              </w:rPr>
              <w:t>►</w:t>
            </w:r>
            <w:r w:rsidRPr="00812113">
              <w:rPr>
                <w:rFonts w:asciiTheme="minorHAnsi" w:hAnsiTheme="minorHAnsi" w:cstheme="minorHAnsi"/>
                <w:color w:val="auto"/>
                <w:sz w:val="22"/>
                <w:szCs w:val="22"/>
                <w:shd w:val="clear" w:color="auto" w:fill="FFFFFF"/>
              </w:rPr>
              <w:t xml:space="preserve">                         </w:t>
            </w:r>
          </w:p>
        </w:tc>
        <w:tc>
          <w:tcPr>
            <w:tcW w:w="2338" w:type="dxa"/>
            <w:tcBorders>
              <w:top w:val="single" w:sz="18" w:space="0" w:color="auto"/>
              <w:left w:val="single" w:sz="18" w:space="0" w:color="auto"/>
              <w:bottom w:val="single" w:sz="18" w:space="0" w:color="auto"/>
              <w:right w:val="single" w:sz="24" w:space="0" w:color="auto"/>
            </w:tcBorders>
            <w:shd w:val="clear" w:color="auto" w:fill="D9D9D9" w:themeFill="background1" w:themeFillShade="D9"/>
          </w:tcPr>
          <w:p w:rsidR="007B6FB7" w:rsidRPr="00812113" w:rsidRDefault="007B6FB7" w:rsidP="00D24B5B">
            <w:pPr>
              <w:pStyle w:val="Default"/>
              <w:jc w:val="both"/>
              <w:rPr>
                <w:rFonts w:asciiTheme="minorHAnsi" w:hAnsiTheme="minorHAnsi" w:cstheme="minorHAnsi"/>
                <w:color w:val="auto"/>
                <w:sz w:val="22"/>
                <w:szCs w:val="22"/>
                <w:shd w:val="clear" w:color="auto" w:fill="FFFFFF"/>
              </w:rPr>
            </w:pPr>
            <w:r w:rsidRPr="00812113">
              <w:rPr>
                <w:rFonts w:asciiTheme="minorHAnsi" w:hAnsiTheme="minorHAnsi" w:cstheme="minorHAnsi"/>
                <w:color w:val="auto"/>
                <w:sz w:val="22"/>
                <w:szCs w:val="22"/>
                <w:shd w:val="clear" w:color="auto" w:fill="FFFFFF"/>
              </w:rPr>
              <w:t>Network-2</w:t>
            </w:r>
          </w:p>
          <w:p w:rsidR="007B6FB7" w:rsidRPr="00812113" w:rsidRDefault="007B6FB7" w:rsidP="00D24B5B">
            <w:pPr>
              <w:pStyle w:val="Default"/>
              <w:jc w:val="both"/>
              <w:rPr>
                <w:rFonts w:asciiTheme="minorHAnsi" w:hAnsiTheme="minorHAnsi" w:cstheme="minorHAnsi"/>
                <w:color w:val="auto"/>
                <w:sz w:val="22"/>
                <w:szCs w:val="22"/>
                <w:shd w:val="clear" w:color="auto" w:fill="FFFFFF"/>
              </w:rPr>
            </w:pPr>
            <w:r w:rsidRPr="00812113">
              <w:rPr>
                <w:rFonts w:asciiTheme="minorHAnsi" w:hAnsiTheme="minorHAnsi" w:cstheme="minorHAnsi"/>
                <w:color w:val="auto"/>
                <w:sz w:val="22"/>
                <w:szCs w:val="22"/>
                <w:shd w:val="clear" w:color="auto" w:fill="FFFFFF"/>
              </w:rPr>
              <w:t>Precedence diagram</w:t>
            </w:r>
          </w:p>
        </w:tc>
      </w:tr>
      <w:tr w:rsidR="007B6FB7" w:rsidRPr="00812113" w:rsidTr="00D24B5B">
        <w:tc>
          <w:tcPr>
            <w:tcW w:w="4675" w:type="dxa"/>
            <w:gridSpan w:val="3"/>
            <w:tcBorders>
              <w:left w:val="single" w:sz="12" w:space="0" w:color="auto"/>
              <w:bottom w:val="single" w:sz="24" w:space="0" w:color="auto"/>
              <w:right w:val="single" w:sz="18" w:space="0" w:color="auto"/>
            </w:tcBorders>
          </w:tcPr>
          <w:p w:rsidR="007B6FB7" w:rsidRPr="00812113" w:rsidRDefault="007B6FB7" w:rsidP="00D24B5B">
            <w:pPr>
              <w:pStyle w:val="Default"/>
              <w:jc w:val="both"/>
              <w:rPr>
                <w:rFonts w:asciiTheme="minorHAnsi" w:hAnsiTheme="minorHAnsi" w:cstheme="minorHAnsi"/>
                <w:color w:val="auto"/>
                <w:sz w:val="22"/>
                <w:szCs w:val="22"/>
                <w:shd w:val="clear" w:color="auto" w:fill="FFFFFF"/>
              </w:rPr>
            </w:pPr>
            <w:r w:rsidRPr="00812113">
              <w:rPr>
                <w:rFonts w:asciiTheme="minorHAnsi" w:hAnsiTheme="minorHAnsi" w:cstheme="minorHAnsi"/>
                <w:color w:val="auto"/>
                <w:sz w:val="22"/>
                <w:szCs w:val="22"/>
                <w:shd w:val="clear" w:color="auto" w:fill="FFFFFF"/>
              </w:rPr>
              <w:t>● Bar chart basically features a plan of a project split into logically related individual activities, each represented graphically by scaled lines. It is suitable for most structural and building application.</w:t>
            </w:r>
          </w:p>
          <w:p w:rsidR="007B6FB7" w:rsidRPr="00812113" w:rsidRDefault="007B6FB7" w:rsidP="00D24B5B">
            <w:pPr>
              <w:pStyle w:val="Default"/>
              <w:jc w:val="both"/>
              <w:rPr>
                <w:rFonts w:asciiTheme="minorHAnsi" w:hAnsiTheme="minorHAnsi" w:cstheme="minorHAnsi"/>
                <w:color w:val="auto"/>
                <w:sz w:val="22"/>
                <w:szCs w:val="22"/>
                <w:shd w:val="clear" w:color="auto" w:fill="FFFFFF"/>
              </w:rPr>
            </w:pPr>
            <w:r w:rsidRPr="00812113">
              <w:rPr>
                <w:rFonts w:asciiTheme="minorHAnsi" w:hAnsiTheme="minorHAnsi" w:cstheme="minorHAnsi"/>
                <w:color w:val="auto"/>
                <w:sz w:val="22"/>
                <w:szCs w:val="22"/>
                <w:shd w:val="clear" w:color="auto" w:fill="FFFFFF"/>
              </w:rPr>
              <w:t>● Later refinement work on the technique has led to the development of ‘Milestone’ method which is basically a linked bar chart and is also the first attempt to indicate precise interrelationships between activities.</w:t>
            </w:r>
          </w:p>
          <w:p w:rsidR="007B6FB7" w:rsidRPr="00812113" w:rsidRDefault="007B6FB7" w:rsidP="00D24B5B">
            <w:pPr>
              <w:pStyle w:val="Default"/>
              <w:jc w:val="both"/>
              <w:rPr>
                <w:rFonts w:asciiTheme="minorHAnsi" w:hAnsiTheme="minorHAnsi" w:cstheme="minorHAnsi"/>
                <w:color w:val="auto"/>
                <w:sz w:val="22"/>
                <w:szCs w:val="22"/>
                <w:shd w:val="clear" w:color="auto" w:fill="FFFFFF"/>
              </w:rPr>
            </w:pPr>
            <w:r w:rsidRPr="00812113">
              <w:rPr>
                <w:rFonts w:asciiTheme="minorHAnsi" w:hAnsiTheme="minorHAnsi" w:cstheme="minorHAnsi"/>
                <w:color w:val="auto"/>
                <w:sz w:val="22"/>
                <w:szCs w:val="22"/>
                <w:shd w:val="clear" w:color="auto" w:fill="FFFFFF"/>
              </w:rPr>
              <w:t xml:space="preserve">● For the programming of construction works such as motorways, railways and drainage system it requires some modifications. Rate of progress, cut and fill operations, location of likely restrictions to production can most readily be recorded on a location – time chart. </w:t>
            </w:r>
          </w:p>
        </w:tc>
        <w:tc>
          <w:tcPr>
            <w:tcW w:w="4675" w:type="dxa"/>
            <w:gridSpan w:val="2"/>
            <w:tcBorders>
              <w:left w:val="single" w:sz="18" w:space="0" w:color="auto"/>
              <w:bottom w:val="single" w:sz="24" w:space="0" w:color="auto"/>
              <w:right w:val="single" w:sz="24" w:space="0" w:color="auto"/>
            </w:tcBorders>
          </w:tcPr>
          <w:p w:rsidR="007B6FB7" w:rsidRPr="00812113" w:rsidRDefault="007B6FB7" w:rsidP="00D24B5B">
            <w:pPr>
              <w:pStyle w:val="Default"/>
              <w:jc w:val="both"/>
              <w:rPr>
                <w:rFonts w:asciiTheme="minorHAnsi" w:hAnsiTheme="minorHAnsi" w:cstheme="minorHAnsi"/>
                <w:color w:val="auto"/>
                <w:sz w:val="22"/>
                <w:szCs w:val="22"/>
                <w:shd w:val="clear" w:color="auto" w:fill="FFFFFF"/>
              </w:rPr>
            </w:pPr>
            <w:r w:rsidRPr="00812113">
              <w:rPr>
                <w:rFonts w:asciiTheme="minorHAnsi" w:hAnsiTheme="minorHAnsi" w:cstheme="minorHAnsi"/>
                <w:color w:val="auto"/>
                <w:sz w:val="22"/>
                <w:szCs w:val="22"/>
                <w:shd w:val="clear" w:color="auto" w:fill="FFFFFF"/>
              </w:rPr>
              <w:t xml:space="preserve">● Network-1: Critical path analysis what resulted from </w:t>
            </w:r>
            <w:r w:rsidRPr="00812113">
              <w:rPr>
                <w:rFonts w:ascii="Arial" w:hAnsi="Arial" w:cs="Arial"/>
                <w:color w:val="auto"/>
                <w:sz w:val="22"/>
                <w:szCs w:val="22"/>
                <w:shd w:val="clear" w:color="auto" w:fill="FFFFFF"/>
              </w:rPr>
              <w:t>◄</w:t>
            </w:r>
            <w:r w:rsidRPr="00812113">
              <w:rPr>
                <w:rFonts w:asciiTheme="minorHAnsi" w:hAnsiTheme="minorHAnsi" w:cstheme="minorHAnsi"/>
                <w:color w:val="auto"/>
                <w:sz w:val="22"/>
                <w:szCs w:val="22"/>
                <w:shd w:val="clear" w:color="auto" w:fill="FFFFFF"/>
              </w:rPr>
              <w:t xml:space="preserve"> these (Bar chart) was the early concept of network analysis – the diagrammatic representation of the sequences of interdependent activities (called a ‘plan’) taking the form of an arrow diagram. Where arrows of any length represented ‘activities’ and circular nodes at the heads or tails of these arrows represented milestones or events. This method of arrow diagramming was later given the name of ‘critical path method’.</w:t>
            </w:r>
          </w:p>
          <w:p w:rsidR="007B6FB7" w:rsidRPr="00812113" w:rsidRDefault="007B6FB7" w:rsidP="00D24B5B">
            <w:pPr>
              <w:pStyle w:val="Default"/>
              <w:jc w:val="both"/>
              <w:rPr>
                <w:rFonts w:asciiTheme="minorHAnsi" w:hAnsiTheme="minorHAnsi" w:cstheme="minorHAnsi"/>
                <w:color w:val="auto"/>
                <w:sz w:val="22"/>
                <w:szCs w:val="22"/>
                <w:shd w:val="clear" w:color="auto" w:fill="FFFFFF"/>
              </w:rPr>
            </w:pPr>
            <w:r w:rsidRPr="00812113">
              <w:rPr>
                <w:rFonts w:asciiTheme="minorHAnsi" w:hAnsiTheme="minorHAnsi" w:cstheme="minorHAnsi"/>
                <w:color w:val="auto"/>
                <w:sz w:val="22"/>
                <w:szCs w:val="22"/>
                <w:shd w:val="clear" w:color="auto" w:fill="FFFFFF"/>
              </w:rPr>
              <w:t xml:space="preserve">● Network 2: Precedence Diagrams. This performs the same function as the arrow diagram. A precedence diagram consists rectangles and links. Within the rectangles are activity descriptions. The links display the logic. </w:t>
            </w:r>
            <w:r w:rsidR="004A3173" w:rsidRPr="004A3173">
              <w:rPr>
                <w:rFonts w:asciiTheme="minorHAnsi" w:hAnsiTheme="minorHAnsi" w:cstheme="minorHAnsi"/>
                <w:color w:val="auto"/>
                <w:sz w:val="22"/>
                <w:szCs w:val="22"/>
                <w:shd w:val="clear" w:color="auto" w:fill="FFFFFF"/>
                <w:vertAlign w:val="superscript"/>
              </w:rPr>
              <w:t>(1)</w:t>
            </w:r>
          </w:p>
        </w:tc>
      </w:tr>
    </w:tbl>
    <w:p w:rsidR="007B6FB7" w:rsidRPr="00812113" w:rsidRDefault="007B6FB7" w:rsidP="007B6FB7">
      <w:pPr>
        <w:pStyle w:val="Default"/>
        <w:jc w:val="both"/>
        <w:rPr>
          <w:rFonts w:asciiTheme="minorHAnsi" w:hAnsiTheme="minorHAnsi" w:cstheme="minorHAnsi"/>
          <w:color w:val="C00000"/>
          <w:sz w:val="22"/>
          <w:szCs w:val="22"/>
          <w:shd w:val="clear" w:color="auto" w:fill="FFFFFF"/>
        </w:rPr>
      </w:pPr>
    </w:p>
    <w:p w:rsidR="007B6FB7" w:rsidRPr="00812113" w:rsidRDefault="004773C7" w:rsidP="007B6FB7">
      <w:pPr>
        <w:pStyle w:val="Default"/>
        <w:jc w:val="both"/>
        <w:rPr>
          <w:rFonts w:asciiTheme="minorHAnsi" w:hAnsiTheme="minorHAnsi" w:cstheme="minorHAnsi"/>
          <w:sz w:val="22"/>
          <w:szCs w:val="22"/>
        </w:rPr>
      </w:pPr>
      <w:r w:rsidRPr="007C7375">
        <w:rPr>
          <w:rFonts w:asciiTheme="minorHAnsi" w:hAnsiTheme="minorHAnsi" w:cstheme="minorHAnsi"/>
          <w:b/>
          <w:sz w:val="22"/>
          <w:szCs w:val="22"/>
        </w:rPr>
        <w:t>3.0</w:t>
      </w:r>
      <w:r>
        <w:rPr>
          <w:rFonts w:asciiTheme="minorHAnsi" w:hAnsiTheme="minorHAnsi" w:cstheme="minorHAnsi"/>
          <w:sz w:val="22"/>
          <w:szCs w:val="22"/>
        </w:rPr>
        <w:t xml:space="preserve"> </w:t>
      </w:r>
      <w:r w:rsidR="007B6FB7" w:rsidRPr="00812113">
        <w:rPr>
          <w:rFonts w:asciiTheme="minorHAnsi" w:hAnsiTheme="minorHAnsi" w:cstheme="minorHAnsi"/>
          <w:sz w:val="22"/>
          <w:szCs w:val="22"/>
        </w:rPr>
        <w:t xml:space="preserve">Delay takes only three forms: 1) delay to commencement, 2) extended duration and 3) suspension during performance. </w:t>
      </w:r>
    </w:p>
    <w:p w:rsidR="0081707A" w:rsidRPr="00812113" w:rsidRDefault="004773C7" w:rsidP="0081707A">
      <w:pPr>
        <w:jc w:val="both"/>
        <w:rPr>
          <w:rFonts w:cstheme="minorHAnsi"/>
        </w:rPr>
      </w:pPr>
      <w:bookmarkStart w:id="0" w:name="_GoBack"/>
      <w:bookmarkEnd w:id="0"/>
      <w:r>
        <w:rPr>
          <w:rFonts w:cstheme="minorHAnsi"/>
          <w:b/>
        </w:rPr>
        <w:lastRenderedPageBreak/>
        <w:t xml:space="preserve">3.1 </w:t>
      </w:r>
      <w:r w:rsidR="0081707A" w:rsidRPr="00812113">
        <w:rPr>
          <w:rFonts w:cstheme="minorHAnsi"/>
          <w:b/>
        </w:rPr>
        <w:t>Types of Delays:</w:t>
      </w:r>
      <w:r w:rsidR="0081707A" w:rsidRPr="00812113">
        <w:rPr>
          <w:rFonts w:cstheme="minorHAnsi"/>
        </w:rPr>
        <w:t xml:space="preserve">  Construction project delays can be classified according to their origin into four groups: 1. </w:t>
      </w:r>
      <w:r w:rsidR="0081707A" w:rsidRPr="00812113">
        <w:rPr>
          <w:rFonts w:cstheme="minorHAnsi"/>
          <w:b/>
        </w:rPr>
        <w:t>(EC)</w:t>
      </w:r>
      <w:r w:rsidR="0081707A" w:rsidRPr="00812113">
        <w:rPr>
          <w:rFonts w:cstheme="minorHAnsi"/>
        </w:rPr>
        <w:t xml:space="preserve"> Excusable compensable (caused by the owner): For example, owner initiated changes in work; architect or engineer supplied designs which are defective; work site is not available to the contractor in timely manner, etc. 2. </w:t>
      </w:r>
      <w:r w:rsidR="0081707A" w:rsidRPr="00812113">
        <w:rPr>
          <w:rFonts w:cstheme="minorHAnsi"/>
          <w:b/>
        </w:rPr>
        <w:t>(EN)</w:t>
      </w:r>
      <w:r w:rsidR="0081707A" w:rsidRPr="00812113">
        <w:rPr>
          <w:rFonts w:cstheme="minorHAnsi"/>
        </w:rPr>
        <w:t xml:space="preserve"> Excusable but not compensable (neither the contractor's nor the owner's fault): For example, force majeure; unusually severe weather conditions, etc. 3. </w:t>
      </w:r>
      <w:r w:rsidR="0081707A" w:rsidRPr="00812113">
        <w:rPr>
          <w:rFonts w:cstheme="minorHAnsi"/>
          <w:b/>
        </w:rPr>
        <w:t>(NN)</w:t>
      </w:r>
      <w:r w:rsidR="0081707A" w:rsidRPr="00812113">
        <w:rPr>
          <w:rFonts w:cstheme="minorHAnsi"/>
        </w:rPr>
        <w:t xml:space="preserve"> Neither excusable nor compensable (caused by the contractor or its subcontractor): For example, failure of the contractor to mobilize work crews and start the work in timely manner; improperly allocating labor, material, and other resources; lack of coordination of subcontractors, etc. 4. </w:t>
      </w:r>
      <w:r w:rsidR="0081707A" w:rsidRPr="00812113">
        <w:rPr>
          <w:rFonts w:cstheme="minorHAnsi"/>
          <w:b/>
        </w:rPr>
        <w:t>(EN</w:t>
      </w:r>
      <w:r w:rsidR="0081707A" w:rsidRPr="00812113">
        <w:rPr>
          <w:rFonts w:cstheme="minorHAnsi"/>
        </w:rPr>
        <w:t xml:space="preserve">) Concurrent (delay caused by multiple factors). </w:t>
      </w:r>
    </w:p>
    <w:tbl>
      <w:tblPr>
        <w:tblStyle w:val="TableGrid"/>
        <w:tblW w:w="0" w:type="auto"/>
        <w:tblLook w:val="04A0" w:firstRow="1" w:lastRow="0" w:firstColumn="1" w:lastColumn="0" w:noHBand="0" w:noVBand="1"/>
      </w:tblPr>
      <w:tblGrid>
        <w:gridCol w:w="1971"/>
        <w:gridCol w:w="1974"/>
        <w:gridCol w:w="1957"/>
        <w:gridCol w:w="1827"/>
        <w:gridCol w:w="1591"/>
      </w:tblGrid>
      <w:tr w:rsidR="0081707A" w:rsidRPr="00812113" w:rsidTr="00CC431D">
        <w:trPr>
          <w:trHeight w:val="174"/>
        </w:trPr>
        <w:tc>
          <w:tcPr>
            <w:tcW w:w="1971" w:type="dxa"/>
            <w:vMerge w:val="restart"/>
            <w:tcBorders>
              <w:top w:val="single" w:sz="18" w:space="0" w:color="auto"/>
              <w:left w:val="single" w:sz="8" w:space="0" w:color="auto"/>
              <w:right w:val="single" w:sz="18" w:space="0" w:color="auto"/>
            </w:tcBorders>
            <w:shd w:val="clear" w:color="auto" w:fill="D9D9D9" w:themeFill="background1" w:themeFillShade="D9"/>
          </w:tcPr>
          <w:p w:rsidR="0081707A" w:rsidRPr="00812113" w:rsidRDefault="0081707A" w:rsidP="00CC431D">
            <w:pPr>
              <w:jc w:val="both"/>
              <w:rPr>
                <w:rFonts w:cstheme="minorHAnsi"/>
              </w:rPr>
            </w:pPr>
            <w:r w:rsidRPr="00812113">
              <w:rPr>
                <w:rFonts w:cstheme="minorHAnsi"/>
                <w:b/>
              </w:rPr>
              <w:t>(EC) Excusable and Compensable</w:t>
            </w:r>
            <w:r w:rsidRPr="00812113">
              <w:rPr>
                <w:rFonts w:cstheme="minorHAnsi"/>
              </w:rPr>
              <w:t xml:space="preserve">  (Owner Caused Delay)</w:t>
            </w:r>
          </w:p>
          <w:p w:rsidR="0081707A" w:rsidRPr="00812113" w:rsidRDefault="0081707A" w:rsidP="00CC431D">
            <w:pPr>
              <w:jc w:val="both"/>
              <w:rPr>
                <w:rFonts w:cstheme="minorHAnsi"/>
                <w:b/>
                <w:i/>
              </w:rPr>
            </w:pPr>
            <w:r w:rsidRPr="00812113">
              <w:rPr>
                <w:rFonts w:cstheme="minorHAnsi"/>
                <w:b/>
                <w:i/>
              </w:rPr>
              <w:t>Critical Delays</w:t>
            </w:r>
          </w:p>
        </w:tc>
        <w:tc>
          <w:tcPr>
            <w:tcW w:w="3931" w:type="dxa"/>
            <w:gridSpan w:val="2"/>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1707A" w:rsidRPr="00812113" w:rsidRDefault="0081707A" w:rsidP="00CC431D">
            <w:pPr>
              <w:jc w:val="center"/>
              <w:rPr>
                <w:rFonts w:cstheme="minorHAnsi"/>
                <w:b/>
              </w:rPr>
            </w:pPr>
            <w:r w:rsidRPr="00812113">
              <w:rPr>
                <w:rFonts w:cstheme="minorHAnsi"/>
                <w:b/>
              </w:rPr>
              <w:t>Excusable Non Compensable</w:t>
            </w:r>
          </w:p>
        </w:tc>
        <w:tc>
          <w:tcPr>
            <w:tcW w:w="1827" w:type="dxa"/>
            <w:vMerge w:val="restart"/>
            <w:tcBorders>
              <w:top w:val="single" w:sz="18" w:space="0" w:color="auto"/>
              <w:left w:val="single" w:sz="18" w:space="0" w:color="auto"/>
              <w:right w:val="single" w:sz="18" w:space="0" w:color="auto"/>
            </w:tcBorders>
            <w:shd w:val="clear" w:color="auto" w:fill="D9D9D9" w:themeFill="background1" w:themeFillShade="D9"/>
          </w:tcPr>
          <w:p w:rsidR="0081707A" w:rsidRPr="00812113" w:rsidRDefault="0081707A" w:rsidP="00CC431D">
            <w:pPr>
              <w:jc w:val="both"/>
              <w:rPr>
                <w:rFonts w:cstheme="minorHAnsi"/>
              </w:rPr>
            </w:pPr>
            <w:r w:rsidRPr="00812113">
              <w:rPr>
                <w:rFonts w:cstheme="minorHAnsi"/>
                <w:b/>
              </w:rPr>
              <w:t>Non excusable – non compensable</w:t>
            </w:r>
            <w:r w:rsidRPr="00812113">
              <w:rPr>
                <w:rFonts w:cstheme="minorHAnsi"/>
              </w:rPr>
              <w:t xml:space="preserve"> (NN)</w:t>
            </w:r>
          </w:p>
        </w:tc>
        <w:tc>
          <w:tcPr>
            <w:tcW w:w="1591" w:type="dxa"/>
            <w:vMerge w:val="restart"/>
            <w:tcBorders>
              <w:top w:val="single" w:sz="18" w:space="0" w:color="auto"/>
              <w:left w:val="single" w:sz="18" w:space="0" w:color="auto"/>
              <w:right w:val="single" w:sz="24" w:space="0" w:color="auto"/>
            </w:tcBorders>
            <w:shd w:val="clear" w:color="auto" w:fill="D9D9D9" w:themeFill="background1" w:themeFillShade="D9"/>
          </w:tcPr>
          <w:p w:rsidR="0081707A" w:rsidRPr="00812113" w:rsidRDefault="0081707A" w:rsidP="00CC431D">
            <w:pPr>
              <w:jc w:val="both"/>
              <w:rPr>
                <w:rFonts w:cstheme="minorHAnsi"/>
                <w:b/>
              </w:rPr>
            </w:pPr>
            <w:r w:rsidRPr="00812113">
              <w:rPr>
                <w:rFonts w:cstheme="minorHAnsi"/>
                <w:b/>
              </w:rPr>
              <w:t>Force Majeure</w:t>
            </w:r>
          </w:p>
        </w:tc>
      </w:tr>
      <w:tr w:rsidR="0081707A" w:rsidRPr="00812113" w:rsidTr="00CC431D">
        <w:trPr>
          <w:trHeight w:val="173"/>
        </w:trPr>
        <w:tc>
          <w:tcPr>
            <w:tcW w:w="1971" w:type="dxa"/>
            <w:vMerge/>
            <w:tcBorders>
              <w:left w:val="single" w:sz="8" w:space="0" w:color="auto"/>
              <w:bottom w:val="single" w:sz="18" w:space="0" w:color="auto"/>
              <w:right w:val="single" w:sz="18" w:space="0" w:color="auto"/>
            </w:tcBorders>
            <w:shd w:val="clear" w:color="auto" w:fill="D9D9D9" w:themeFill="background1" w:themeFillShade="D9"/>
          </w:tcPr>
          <w:p w:rsidR="0081707A" w:rsidRPr="00812113" w:rsidRDefault="0081707A" w:rsidP="00CC431D">
            <w:pPr>
              <w:jc w:val="both"/>
              <w:rPr>
                <w:rFonts w:cstheme="minorHAnsi"/>
              </w:rPr>
            </w:pPr>
          </w:p>
        </w:tc>
        <w:tc>
          <w:tcPr>
            <w:tcW w:w="1974" w:type="dxa"/>
            <w:tcBorders>
              <w:top w:val="single" w:sz="18" w:space="0" w:color="auto"/>
              <w:left w:val="single" w:sz="18" w:space="0" w:color="auto"/>
              <w:bottom w:val="single" w:sz="18" w:space="0" w:color="auto"/>
              <w:right w:val="single" w:sz="18" w:space="0" w:color="auto"/>
            </w:tcBorders>
            <w:shd w:val="clear" w:color="auto" w:fill="BFBFBF" w:themeFill="background1" w:themeFillShade="BF"/>
          </w:tcPr>
          <w:p w:rsidR="0081707A" w:rsidRPr="00812113" w:rsidRDefault="0081707A" w:rsidP="00CC431D">
            <w:pPr>
              <w:jc w:val="both"/>
              <w:rPr>
                <w:rFonts w:cstheme="minorHAnsi"/>
                <w:b/>
                <w:i/>
              </w:rPr>
            </w:pPr>
            <w:r w:rsidRPr="00812113">
              <w:rPr>
                <w:rFonts w:cstheme="minorHAnsi"/>
                <w:b/>
                <w:i/>
              </w:rPr>
              <w:t xml:space="preserve">Concurrent. </w:t>
            </w:r>
          </w:p>
          <w:p w:rsidR="0081707A" w:rsidRPr="00812113" w:rsidRDefault="0081707A" w:rsidP="00CC431D">
            <w:pPr>
              <w:jc w:val="both"/>
              <w:rPr>
                <w:rFonts w:cstheme="minorHAnsi"/>
              </w:rPr>
            </w:pPr>
            <w:r w:rsidRPr="00812113">
              <w:rPr>
                <w:rFonts w:cstheme="minorHAnsi"/>
                <w:b/>
                <w:i/>
              </w:rPr>
              <w:t>Contractor as well as Employer</w:t>
            </w:r>
          </w:p>
        </w:tc>
        <w:tc>
          <w:tcPr>
            <w:tcW w:w="1957" w:type="dxa"/>
            <w:tcBorders>
              <w:top w:val="single" w:sz="18" w:space="0" w:color="auto"/>
              <w:left w:val="single" w:sz="18" w:space="0" w:color="auto"/>
              <w:bottom w:val="single" w:sz="18" w:space="0" w:color="auto"/>
              <w:right w:val="single" w:sz="18" w:space="0" w:color="auto"/>
            </w:tcBorders>
            <w:shd w:val="clear" w:color="auto" w:fill="BFBFBF" w:themeFill="background1" w:themeFillShade="BF"/>
          </w:tcPr>
          <w:p w:rsidR="0081707A" w:rsidRPr="00812113" w:rsidRDefault="0081707A" w:rsidP="00CC431D">
            <w:pPr>
              <w:jc w:val="both"/>
              <w:rPr>
                <w:rFonts w:cstheme="minorHAnsi"/>
                <w:b/>
                <w:i/>
              </w:rPr>
            </w:pPr>
            <w:r w:rsidRPr="00812113">
              <w:rPr>
                <w:rFonts w:cstheme="minorHAnsi"/>
                <w:b/>
                <w:i/>
              </w:rPr>
              <w:t>Non Critical Delays</w:t>
            </w:r>
          </w:p>
        </w:tc>
        <w:tc>
          <w:tcPr>
            <w:tcW w:w="1827" w:type="dxa"/>
            <w:vMerge/>
            <w:tcBorders>
              <w:left w:val="single" w:sz="18" w:space="0" w:color="auto"/>
              <w:bottom w:val="single" w:sz="18" w:space="0" w:color="auto"/>
              <w:right w:val="single" w:sz="18" w:space="0" w:color="auto"/>
            </w:tcBorders>
            <w:shd w:val="clear" w:color="auto" w:fill="D9D9D9" w:themeFill="background1" w:themeFillShade="D9"/>
          </w:tcPr>
          <w:p w:rsidR="0081707A" w:rsidRPr="00812113" w:rsidRDefault="0081707A" w:rsidP="00CC431D">
            <w:pPr>
              <w:jc w:val="both"/>
              <w:rPr>
                <w:rFonts w:cstheme="minorHAnsi"/>
              </w:rPr>
            </w:pPr>
          </w:p>
        </w:tc>
        <w:tc>
          <w:tcPr>
            <w:tcW w:w="1591" w:type="dxa"/>
            <w:vMerge/>
            <w:tcBorders>
              <w:left w:val="single" w:sz="18" w:space="0" w:color="auto"/>
              <w:bottom w:val="single" w:sz="18" w:space="0" w:color="auto"/>
              <w:right w:val="single" w:sz="24" w:space="0" w:color="auto"/>
            </w:tcBorders>
            <w:shd w:val="clear" w:color="auto" w:fill="D9D9D9" w:themeFill="background1" w:themeFillShade="D9"/>
          </w:tcPr>
          <w:p w:rsidR="0081707A" w:rsidRPr="00812113" w:rsidRDefault="0081707A" w:rsidP="00CC431D">
            <w:pPr>
              <w:jc w:val="both"/>
              <w:rPr>
                <w:rFonts w:cstheme="minorHAnsi"/>
              </w:rPr>
            </w:pPr>
          </w:p>
        </w:tc>
      </w:tr>
      <w:tr w:rsidR="0081707A" w:rsidRPr="00812113" w:rsidTr="00CC431D">
        <w:tc>
          <w:tcPr>
            <w:tcW w:w="1971" w:type="dxa"/>
            <w:tcBorders>
              <w:top w:val="single" w:sz="18" w:space="0" w:color="auto"/>
              <w:left w:val="single" w:sz="8" w:space="0" w:color="auto"/>
              <w:bottom w:val="single" w:sz="24" w:space="0" w:color="auto"/>
              <w:right w:val="single" w:sz="18" w:space="0" w:color="auto"/>
            </w:tcBorders>
          </w:tcPr>
          <w:p w:rsidR="0081707A" w:rsidRPr="00812113" w:rsidRDefault="0081707A" w:rsidP="00CC431D">
            <w:pPr>
              <w:jc w:val="both"/>
              <w:rPr>
                <w:rFonts w:cstheme="minorHAnsi"/>
              </w:rPr>
            </w:pPr>
            <w:r w:rsidRPr="00812113">
              <w:rPr>
                <w:rFonts w:cstheme="minorHAnsi"/>
              </w:rPr>
              <w:t xml:space="preserve">Four tests must be satisfied before recovery of costs: Delay shall be </w:t>
            </w:r>
          </w:p>
          <w:p w:rsidR="0081707A" w:rsidRPr="00812113" w:rsidRDefault="0081707A" w:rsidP="00CC431D">
            <w:pPr>
              <w:jc w:val="both"/>
              <w:rPr>
                <w:rFonts w:cstheme="minorHAnsi"/>
              </w:rPr>
            </w:pPr>
          </w:p>
          <w:p w:rsidR="0081707A" w:rsidRPr="00812113" w:rsidRDefault="005E3375" w:rsidP="00CC431D">
            <w:pPr>
              <w:jc w:val="both"/>
              <w:rPr>
                <w:rFonts w:cstheme="minorHAnsi"/>
              </w:rPr>
            </w:pPr>
            <w:r>
              <w:rPr>
                <w:rFonts w:cstheme="minorHAnsi"/>
              </w:rPr>
              <w:t>1.</w:t>
            </w:r>
            <w:r w:rsidR="0081707A" w:rsidRPr="00812113">
              <w:rPr>
                <w:rFonts w:cstheme="minorHAnsi"/>
              </w:rPr>
              <w:t xml:space="preserve"> Excusable</w:t>
            </w:r>
          </w:p>
          <w:p w:rsidR="0081707A" w:rsidRPr="00812113" w:rsidRDefault="005E3375" w:rsidP="00CC431D">
            <w:pPr>
              <w:jc w:val="both"/>
              <w:rPr>
                <w:rFonts w:cstheme="minorHAnsi"/>
              </w:rPr>
            </w:pPr>
            <w:r>
              <w:rPr>
                <w:rFonts w:cstheme="minorHAnsi"/>
              </w:rPr>
              <w:t>2.</w:t>
            </w:r>
            <w:r w:rsidR="0081707A" w:rsidRPr="00812113">
              <w:rPr>
                <w:rFonts w:cstheme="minorHAnsi"/>
              </w:rPr>
              <w:t xml:space="preserve"> Compensable</w:t>
            </w:r>
          </w:p>
          <w:p w:rsidR="0081707A" w:rsidRPr="00812113" w:rsidRDefault="005E3375" w:rsidP="00CC431D">
            <w:pPr>
              <w:jc w:val="both"/>
              <w:rPr>
                <w:rFonts w:cstheme="minorHAnsi"/>
              </w:rPr>
            </w:pPr>
            <w:r>
              <w:rPr>
                <w:rFonts w:cstheme="minorHAnsi"/>
              </w:rPr>
              <w:t>3.</w:t>
            </w:r>
            <w:r w:rsidR="0081707A" w:rsidRPr="00812113">
              <w:rPr>
                <w:rFonts w:cstheme="minorHAnsi"/>
              </w:rPr>
              <w:t xml:space="preserve"> Critical and</w:t>
            </w:r>
          </w:p>
          <w:p w:rsidR="005E3375" w:rsidRDefault="005E3375" w:rsidP="00CC431D">
            <w:pPr>
              <w:jc w:val="both"/>
              <w:rPr>
                <w:rFonts w:cstheme="minorHAnsi"/>
              </w:rPr>
            </w:pPr>
            <w:r>
              <w:rPr>
                <w:rFonts w:cstheme="minorHAnsi"/>
              </w:rPr>
              <w:t>4.</w:t>
            </w:r>
            <w:r w:rsidR="0081707A" w:rsidRPr="00812113">
              <w:rPr>
                <w:rFonts w:cstheme="minorHAnsi"/>
              </w:rPr>
              <w:t xml:space="preserve"> Non-concurrent</w:t>
            </w:r>
          </w:p>
          <w:p w:rsidR="0081707A" w:rsidRPr="00812113" w:rsidRDefault="0081707A" w:rsidP="00CC431D">
            <w:pPr>
              <w:jc w:val="both"/>
              <w:rPr>
                <w:rFonts w:cstheme="minorHAnsi"/>
              </w:rPr>
            </w:pPr>
            <w:r w:rsidRPr="00812113">
              <w:rPr>
                <w:rFonts w:cstheme="minorHAnsi"/>
              </w:rPr>
              <w:t xml:space="preserve"> </w:t>
            </w:r>
          </w:p>
          <w:p w:rsidR="0081707A" w:rsidRPr="00812113" w:rsidRDefault="0081707A" w:rsidP="00CC431D">
            <w:pPr>
              <w:jc w:val="both"/>
              <w:rPr>
                <w:rFonts w:cstheme="minorHAnsi"/>
              </w:rPr>
            </w:pPr>
            <w:r w:rsidRPr="00812113">
              <w:rPr>
                <w:rFonts w:cstheme="minorHAnsi"/>
              </w:rPr>
              <w:t xml:space="preserve">The third and fourth tests require some form of CPM based schedule analysis.  </w:t>
            </w:r>
          </w:p>
        </w:tc>
        <w:tc>
          <w:tcPr>
            <w:tcW w:w="1974" w:type="dxa"/>
            <w:tcBorders>
              <w:top w:val="single" w:sz="18" w:space="0" w:color="auto"/>
              <w:left w:val="single" w:sz="18" w:space="0" w:color="auto"/>
              <w:bottom w:val="single" w:sz="24" w:space="0" w:color="auto"/>
              <w:right w:val="single" w:sz="18" w:space="0" w:color="auto"/>
            </w:tcBorders>
          </w:tcPr>
          <w:p w:rsidR="0081707A" w:rsidRPr="00812113" w:rsidRDefault="0081707A" w:rsidP="00CC431D">
            <w:pPr>
              <w:jc w:val="both"/>
              <w:rPr>
                <w:rFonts w:cstheme="minorHAnsi"/>
              </w:rPr>
            </w:pPr>
            <w:r w:rsidRPr="00812113">
              <w:rPr>
                <w:rFonts w:cstheme="minorHAnsi"/>
              </w:rPr>
              <w:t>● Such delays are excusable by both parties</w:t>
            </w:r>
          </w:p>
          <w:p w:rsidR="0081707A" w:rsidRPr="00812113" w:rsidRDefault="0081707A" w:rsidP="00CC431D">
            <w:pPr>
              <w:jc w:val="both"/>
              <w:rPr>
                <w:rFonts w:cstheme="minorHAnsi"/>
              </w:rPr>
            </w:pPr>
          </w:p>
          <w:p w:rsidR="0081707A" w:rsidRPr="00812113" w:rsidRDefault="0081707A" w:rsidP="00CC431D">
            <w:pPr>
              <w:jc w:val="both"/>
              <w:rPr>
                <w:rFonts w:cstheme="minorHAnsi"/>
              </w:rPr>
            </w:pPr>
            <w:r w:rsidRPr="00812113">
              <w:rPr>
                <w:rFonts w:cstheme="minorHAnsi"/>
              </w:rPr>
              <w:t>● Not compensable</w:t>
            </w:r>
          </w:p>
          <w:p w:rsidR="0081707A" w:rsidRPr="00812113" w:rsidRDefault="0081707A" w:rsidP="00CC431D">
            <w:pPr>
              <w:jc w:val="both"/>
              <w:rPr>
                <w:rFonts w:cstheme="minorHAnsi"/>
              </w:rPr>
            </w:pPr>
          </w:p>
          <w:p w:rsidR="0081707A" w:rsidRPr="00812113" w:rsidRDefault="0081707A" w:rsidP="00CC431D">
            <w:pPr>
              <w:jc w:val="both"/>
              <w:rPr>
                <w:rFonts w:cstheme="minorHAnsi"/>
              </w:rPr>
            </w:pPr>
            <w:r w:rsidRPr="00812113">
              <w:rPr>
                <w:rFonts w:cstheme="minorHAnsi"/>
              </w:rPr>
              <w:t>●Contractor is awarded time extension but not compensation.</w:t>
            </w:r>
          </w:p>
          <w:p w:rsidR="0081707A" w:rsidRPr="00812113" w:rsidRDefault="0081707A" w:rsidP="00CC431D">
            <w:pPr>
              <w:jc w:val="both"/>
              <w:rPr>
                <w:rFonts w:cstheme="minorHAnsi"/>
              </w:rPr>
            </w:pPr>
          </w:p>
        </w:tc>
        <w:tc>
          <w:tcPr>
            <w:tcW w:w="1957" w:type="dxa"/>
            <w:tcBorders>
              <w:top w:val="single" w:sz="18" w:space="0" w:color="auto"/>
              <w:left w:val="single" w:sz="18" w:space="0" w:color="auto"/>
              <w:bottom w:val="single" w:sz="24" w:space="0" w:color="auto"/>
              <w:right w:val="single" w:sz="18" w:space="0" w:color="auto"/>
            </w:tcBorders>
          </w:tcPr>
          <w:p w:rsidR="0081707A" w:rsidRPr="00812113" w:rsidRDefault="0081707A" w:rsidP="00CC431D">
            <w:pPr>
              <w:jc w:val="both"/>
              <w:rPr>
                <w:rFonts w:cstheme="minorHAnsi"/>
              </w:rPr>
            </w:pPr>
            <w:r w:rsidRPr="00812113">
              <w:rPr>
                <w:rFonts w:cstheme="minorHAnsi"/>
              </w:rPr>
              <w:t>● Do not delay the project</w:t>
            </w:r>
          </w:p>
          <w:p w:rsidR="0081707A" w:rsidRPr="00812113" w:rsidRDefault="0081707A" w:rsidP="00CC431D">
            <w:pPr>
              <w:jc w:val="both"/>
              <w:rPr>
                <w:rFonts w:cstheme="minorHAnsi"/>
              </w:rPr>
            </w:pPr>
          </w:p>
          <w:p w:rsidR="0081707A" w:rsidRPr="00812113" w:rsidRDefault="0081707A" w:rsidP="00CC431D">
            <w:pPr>
              <w:jc w:val="both"/>
              <w:rPr>
                <w:rFonts w:cstheme="minorHAnsi"/>
              </w:rPr>
            </w:pPr>
            <w:r w:rsidRPr="00812113">
              <w:rPr>
                <w:rFonts w:cstheme="minorHAnsi"/>
              </w:rPr>
              <w:t>● Non excusable and</w:t>
            </w:r>
          </w:p>
          <w:p w:rsidR="0081707A" w:rsidRPr="00812113" w:rsidRDefault="0081707A" w:rsidP="00CC431D">
            <w:pPr>
              <w:jc w:val="both"/>
              <w:rPr>
                <w:rFonts w:cstheme="minorHAnsi"/>
              </w:rPr>
            </w:pPr>
          </w:p>
          <w:p w:rsidR="0081707A" w:rsidRPr="00812113" w:rsidRDefault="0081707A" w:rsidP="00CC431D">
            <w:pPr>
              <w:jc w:val="both"/>
              <w:rPr>
                <w:rFonts w:cstheme="minorHAnsi"/>
              </w:rPr>
            </w:pPr>
            <w:r w:rsidRPr="00812113">
              <w:rPr>
                <w:rFonts w:cstheme="minorHAnsi"/>
              </w:rPr>
              <w:t>● Non compensable</w:t>
            </w:r>
          </w:p>
          <w:p w:rsidR="0081707A" w:rsidRPr="00812113" w:rsidRDefault="0081707A" w:rsidP="00CC431D">
            <w:pPr>
              <w:jc w:val="both"/>
              <w:rPr>
                <w:rFonts w:cstheme="minorHAnsi"/>
              </w:rPr>
            </w:pPr>
          </w:p>
        </w:tc>
        <w:tc>
          <w:tcPr>
            <w:tcW w:w="1827" w:type="dxa"/>
            <w:tcBorders>
              <w:top w:val="single" w:sz="18" w:space="0" w:color="auto"/>
              <w:left w:val="single" w:sz="18" w:space="0" w:color="auto"/>
              <w:bottom w:val="single" w:sz="24" w:space="0" w:color="auto"/>
              <w:right w:val="single" w:sz="18" w:space="0" w:color="auto"/>
            </w:tcBorders>
          </w:tcPr>
          <w:p w:rsidR="0081707A" w:rsidRPr="00812113" w:rsidRDefault="0081707A" w:rsidP="00CC431D">
            <w:pPr>
              <w:jc w:val="both"/>
              <w:rPr>
                <w:rFonts w:cstheme="minorHAnsi"/>
              </w:rPr>
            </w:pPr>
            <w:r w:rsidRPr="00812113">
              <w:rPr>
                <w:rFonts w:cstheme="minorHAnsi"/>
              </w:rPr>
              <w:t>● Contractor is individually responsible for delay.</w:t>
            </w:r>
          </w:p>
          <w:p w:rsidR="0081707A" w:rsidRPr="00812113" w:rsidRDefault="0081707A" w:rsidP="00CC431D">
            <w:pPr>
              <w:jc w:val="both"/>
              <w:rPr>
                <w:rFonts w:cstheme="minorHAnsi"/>
              </w:rPr>
            </w:pPr>
          </w:p>
          <w:p w:rsidR="0081707A" w:rsidRPr="00812113" w:rsidRDefault="0081707A" w:rsidP="00CC431D">
            <w:pPr>
              <w:jc w:val="both"/>
              <w:rPr>
                <w:rFonts w:cstheme="minorHAnsi"/>
              </w:rPr>
            </w:pPr>
            <w:r w:rsidRPr="00812113">
              <w:rPr>
                <w:rFonts w:cstheme="minorHAnsi"/>
              </w:rPr>
              <w:t>● Neither time extension nor compensation is granted.</w:t>
            </w:r>
          </w:p>
        </w:tc>
        <w:tc>
          <w:tcPr>
            <w:tcW w:w="1591" w:type="dxa"/>
            <w:tcBorders>
              <w:top w:val="single" w:sz="18" w:space="0" w:color="auto"/>
              <w:left w:val="single" w:sz="18" w:space="0" w:color="auto"/>
              <w:bottom w:val="single" w:sz="24" w:space="0" w:color="auto"/>
              <w:right w:val="single" w:sz="24" w:space="0" w:color="auto"/>
            </w:tcBorders>
          </w:tcPr>
          <w:p w:rsidR="0081707A" w:rsidRPr="00812113" w:rsidRDefault="0081707A" w:rsidP="00CC431D">
            <w:pPr>
              <w:jc w:val="both"/>
              <w:rPr>
                <w:rFonts w:cstheme="minorHAnsi"/>
              </w:rPr>
            </w:pPr>
            <w:r w:rsidRPr="00812113">
              <w:rPr>
                <w:rFonts w:cstheme="minorHAnsi"/>
              </w:rPr>
              <w:t xml:space="preserve">● Contractor is given time extension if the project is to be executed. </w:t>
            </w:r>
          </w:p>
          <w:p w:rsidR="0081707A" w:rsidRPr="00812113" w:rsidRDefault="0081707A" w:rsidP="00CC431D">
            <w:pPr>
              <w:jc w:val="both"/>
              <w:rPr>
                <w:rFonts w:cstheme="minorHAnsi"/>
              </w:rPr>
            </w:pPr>
            <w:r w:rsidRPr="00812113">
              <w:rPr>
                <w:rFonts w:cstheme="minorHAnsi"/>
              </w:rPr>
              <w:t>● As regards the compensation, it needs to be examined as to what claims can be accepted to compensate the contractor.</w:t>
            </w:r>
          </w:p>
        </w:tc>
      </w:tr>
    </w:tbl>
    <w:p w:rsidR="0081707A" w:rsidRDefault="0081707A" w:rsidP="0081707A">
      <w:pPr>
        <w:autoSpaceDE w:val="0"/>
        <w:autoSpaceDN w:val="0"/>
        <w:adjustRightInd w:val="0"/>
        <w:spacing w:after="0" w:line="240" w:lineRule="auto"/>
        <w:jc w:val="both"/>
        <w:rPr>
          <w:rFonts w:cstheme="minorHAnsi"/>
          <w:b/>
          <w:vertAlign w:val="superscript"/>
        </w:rPr>
      </w:pPr>
    </w:p>
    <w:p w:rsidR="005209EB" w:rsidRPr="003F069C" w:rsidRDefault="003F069C" w:rsidP="005209EB">
      <w:pPr>
        <w:autoSpaceDE w:val="0"/>
        <w:autoSpaceDN w:val="0"/>
        <w:adjustRightInd w:val="0"/>
        <w:spacing w:after="0" w:line="240" w:lineRule="auto"/>
        <w:jc w:val="both"/>
        <w:rPr>
          <w:rFonts w:cstheme="minorHAnsi"/>
          <w:b/>
          <w:bCs/>
          <w:vertAlign w:val="superscript"/>
        </w:rPr>
      </w:pPr>
      <w:r w:rsidRPr="003F069C">
        <w:rPr>
          <w:rFonts w:cstheme="minorHAnsi"/>
          <w:b/>
          <w:bCs/>
          <w:vertAlign w:val="superscript"/>
        </w:rPr>
        <w:t>(SCL)</w:t>
      </w:r>
      <w:r>
        <w:rPr>
          <w:rFonts w:cstheme="minorHAnsi"/>
          <w:b/>
          <w:bCs/>
          <w:vertAlign w:val="superscript"/>
        </w:rPr>
        <w:t xml:space="preserve">  </w:t>
      </w:r>
      <w:r w:rsidR="005209EB" w:rsidRPr="006C73F8">
        <w:rPr>
          <w:rFonts w:cstheme="minorHAnsi"/>
        </w:rPr>
        <w:t xml:space="preserve">Where Employer Delay to Completion and Contractor Delay to Completion are concurrent and, as a result of that delay the Contractor incurs additional costs, then the Contractor should only recover compensation if it is able to separate the additional costs caused by the Employer Delay from those caused by the Contractor Delay. If it would have incurred the additional costs in any event as a result of Contractor Delay, the Contractor will not be entitled to recover those additional costs. </w:t>
      </w:r>
      <w:r w:rsidR="005209EB" w:rsidRPr="003F069C">
        <w:rPr>
          <w:rFonts w:cstheme="minorHAnsi"/>
          <w:b/>
          <w:bCs/>
          <w:vertAlign w:val="superscript"/>
        </w:rPr>
        <w:t>(SCL)</w:t>
      </w:r>
    </w:p>
    <w:p w:rsidR="00F0602B" w:rsidRDefault="00F0602B" w:rsidP="005209EB">
      <w:pPr>
        <w:autoSpaceDE w:val="0"/>
        <w:autoSpaceDN w:val="0"/>
        <w:adjustRightInd w:val="0"/>
        <w:spacing w:after="0" w:line="240" w:lineRule="auto"/>
        <w:jc w:val="both"/>
        <w:rPr>
          <w:rFonts w:asciiTheme="majorBidi" w:hAnsiTheme="majorBidi" w:cstheme="majorBidi"/>
          <w:b/>
          <w:bCs/>
          <w:sz w:val="18"/>
          <w:szCs w:val="18"/>
        </w:rPr>
      </w:pPr>
    </w:p>
    <w:p w:rsidR="007B6FB7" w:rsidRPr="006C73F8" w:rsidRDefault="00D32B4B" w:rsidP="007B6FB7">
      <w:pPr>
        <w:jc w:val="both"/>
        <w:rPr>
          <w:rFonts w:cstheme="minorHAnsi"/>
        </w:rPr>
      </w:pPr>
      <w:r w:rsidRPr="0009457F">
        <w:rPr>
          <w:rFonts w:cstheme="minorHAnsi"/>
          <w:b/>
        </w:rPr>
        <w:t>4.0</w:t>
      </w:r>
      <w:r>
        <w:rPr>
          <w:rFonts w:cstheme="minorHAnsi"/>
          <w:b/>
          <w:vertAlign w:val="superscript"/>
        </w:rPr>
        <w:t xml:space="preserve"> </w:t>
      </w:r>
      <w:r w:rsidRPr="00812113">
        <w:rPr>
          <w:rFonts w:cstheme="minorHAnsi"/>
          <w:b/>
          <w:vertAlign w:val="superscript"/>
        </w:rPr>
        <w:t>(</w:t>
      </w:r>
      <w:r w:rsidR="007B6FB7" w:rsidRPr="00812113">
        <w:rPr>
          <w:rFonts w:cstheme="minorHAnsi"/>
          <w:b/>
          <w:vertAlign w:val="superscript"/>
        </w:rPr>
        <w:t>1)</w:t>
      </w:r>
      <w:r w:rsidR="007B6FB7" w:rsidRPr="00812113">
        <w:rPr>
          <w:rFonts w:cstheme="minorHAnsi"/>
        </w:rPr>
        <w:t xml:space="preserve"> A Critical Activity is one in which the earliest and latest dates are equal. The sequences of these activities from start to finish is known as </w:t>
      </w:r>
      <w:r w:rsidR="007B6FB7" w:rsidRPr="00812113">
        <w:rPr>
          <w:rFonts w:cstheme="minorHAnsi"/>
          <w:b/>
          <w:i/>
        </w:rPr>
        <w:t>Critical Path</w:t>
      </w:r>
      <w:r w:rsidR="007B6FB7" w:rsidRPr="00812113">
        <w:rPr>
          <w:rFonts w:cstheme="minorHAnsi"/>
        </w:rPr>
        <w:t>. The shortest duration of the project is the sum of these critical activities on the Critical Path. The Critical Path is not only the longest route in time, but also each event on that route has early and late start time identical. The Critical Path determines the contract duration. It is the longest path into the last event. There is no free time associated with the Critical Path.</w:t>
      </w:r>
      <w:r w:rsidR="005E3375" w:rsidRPr="005E3375">
        <w:t xml:space="preserve"> </w:t>
      </w:r>
      <w:r w:rsidR="005E3375" w:rsidRPr="006C73F8">
        <w:t>A delay to progress of any activity on the critical path will, without acceleration or re-</w:t>
      </w:r>
      <w:r w:rsidR="005E3375" w:rsidRPr="006C73F8">
        <w:lastRenderedPageBreak/>
        <w:t>sequencing, cause the overall project duration to be extended, and is therefore referred to as a ‘critical delay’.</w:t>
      </w:r>
    </w:p>
    <w:p w:rsidR="0009457F" w:rsidRPr="00812113" w:rsidRDefault="0009457F" w:rsidP="003B54C0">
      <w:pPr>
        <w:pStyle w:val="NormalWeb"/>
        <w:jc w:val="both"/>
        <w:rPr>
          <w:rFonts w:asciiTheme="minorHAnsi" w:hAnsiTheme="minorHAnsi" w:cstheme="minorHAnsi"/>
          <w:sz w:val="22"/>
          <w:szCs w:val="22"/>
        </w:rPr>
      </w:pPr>
      <w:r w:rsidRPr="0009457F">
        <w:rPr>
          <w:rFonts w:asciiTheme="minorHAnsi" w:hAnsiTheme="minorHAnsi" w:cstheme="minorHAnsi"/>
          <w:b/>
          <w:sz w:val="22"/>
          <w:szCs w:val="22"/>
        </w:rPr>
        <w:t>4.1</w:t>
      </w:r>
      <w:r>
        <w:rPr>
          <w:rFonts w:asciiTheme="minorHAnsi" w:hAnsiTheme="minorHAnsi" w:cstheme="minorHAnsi"/>
          <w:sz w:val="22"/>
          <w:szCs w:val="22"/>
        </w:rPr>
        <w:t xml:space="preserve"> </w:t>
      </w:r>
      <w:r w:rsidR="007B6FB7" w:rsidRPr="00812113">
        <w:rPr>
          <w:rFonts w:asciiTheme="minorHAnsi" w:hAnsiTheme="minorHAnsi" w:cstheme="minorHAnsi"/>
          <w:sz w:val="22"/>
          <w:szCs w:val="22"/>
        </w:rPr>
        <w:t xml:space="preserve">Other activities will have </w:t>
      </w:r>
      <w:r w:rsidR="007B6FB7" w:rsidRPr="00812113">
        <w:rPr>
          <w:rFonts w:asciiTheme="minorHAnsi" w:hAnsiTheme="minorHAnsi" w:cstheme="minorHAnsi"/>
          <w:b/>
          <w:i/>
          <w:sz w:val="22"/>
          <w:szCs w:val="22"/>
        </w:rPr>
        <w:t xml:space="preserve">float </w:t>
      </w:r>
      <w:r w:rsidR="007B6FB7" w:rsidRPr="00812113">
        <w:rPr>
          <w:rFonts w:asciiTheme="minorHAnsi" w:hAnsiTheme="minorHAnsi" w:cstheme="minorHAnsi"/>
          <w:sz w:val="22"/>
          <w:szCs w:val="22"/>
        </w:rPr>
        <w:t xml:space="preserve">or </w:t>
      </w:r>
      <w:r w:rsidR="007B6FB7" w:rsidRPr="00812113">
        <w:rPr>
          <w:rFonts w:asciiTheme="minorHAnsi" w:hAnsiTheme="minorHAnsi" w:cstheme="minorHAnsi"/>
          <w:b/>
          <w:sz w:val="22"/>
          <w:szCs w:val="22"/>
        </w:rPr>
        <w:t>slack time</w:t>
      </w:r>
      <w:r w:rsidR="007B6FB7" w:rsidRPr="00812113">
        <w:rPr>
          <w:rFonts w:asciiTheme="minorHAnsi" w:hAnsiTheme="minorHAnsi" w:cstheme="minorHAnsi"/>
          <w:sz w:val="22"/>
          <w:szCs w:val="22"/>
        </w:rPr>
        <w:t>. It is the time available for an activity in addition to its planned duration. Where the word ‘float’ appears, it means positive not negative float, unless expressly stated otherwise.</w:t>
      </w:r>
      <w:r w:rsidR="00BC227B" w:rsidRPr="00812113">
        <w:rPr>
          <w:rFonts w:asciiTheme="minorHAnsi" w:hAnsiTheme="minorHAnsi" w:cstheme="minorHAnsi"/>
          <w:sz w:val="22"/>
          <w:szCs w:val="22"/>
        </w:rPr>
        <w:t xml:space="preserve"> </w:t>
      </w:r>
      <w:bookmarkStart w:id="1" w:name="para573"/>
      <w:r w:rsidR="00BC227B" w:rsidRPr="00812113">
        <w:rPr>
          <w:rFonts w:asciiTheme="minorHAnsi" w:hAnsiTheme="minorHAnsi" w:cstheme="minorHAnsi"/>
          <w:sz w:val="22"/>
          <w:szCs w:val="22"/>
        </w:rPr>
        <w:t>Float in a programming sense means the length of time between when an activity is due to start and when it must start if it is to avoid being on the critical path. Float can also be used to refer to the additional time needed/allowed to complete an activity over and above the shortest time that is reasonably required.</w:t>
      </w:r>
      <w:bookmarkEnd w:id="1"/>
    </w:p>
    <w:tbl>
      <w:tblPr>
        <w:tblStyle w:val="TableGrid"/>
        <w:tblW w:w="0" w:type="auto"/>
        <w:tblLook w:val="04A0" w:firstRow="1" w:lastRow="0" w:firstColumn="1" w:lastColumn="0" w:noHBand="0" w:noVBand="1"/>
      </w:tblPr>
      <w:tblGrid>
        <w:gridCol w:w="2337"/>
        <w:gridCol w:w="2337"/>
        <w:gridCol w:w="2338"/>
        <w:gridCol w:w="2338"/>
      </w:tblGrid>
      <w:tr w:rsidR="007B6FB7" w:rsidRPr="00812113" w:rsidTr="00D24B5B">
        <w:tc>
          <w:tcPr>
            <w:tcW w:w="2337" w:type="dxa"/>
            <w:tcBorders>
              <w:top w:val="single" w:sz="18" w:space="0" w:color="000000"/>
              <w:bottom w:val="single" w:sz="18" w:space="0" w:color="000000"/>
              <w:right w:val="single" w:sz="18" w:space="0" w:color="000000"/>
            </w:tcBorders>
            <w:shd w:val="clear" w:color="auto" w:fill="D9D9D9" w:themeFill="background1" w:themeFillShade="D9"/>
          </w:tcPr>
          <w:p w:rsidR="007B6FB7" w:rsidRPr="00812113" w:rsidRDefault="004A3173" w:rsidP="00D24B5B">
            <w:pPr>
              <w:jc w:val="center"/>
              <w:rPr>
                <w:rFonts w:cstheme="minorHAnsi"/>
                <w:b/>
              </w:rPr>
            </w:pPr>
            <w:r w:rsidRPr="004A3173">
              <w:rPr>
                <w:rFonts w:cstheme="minorHAnsi"/>
                <w:shd w:val="clear" w:color="auto" w:fill="FFFFFF"/>
                <w:vertAlign w:val="superscript"/>
              </w:rPr>
              <w:t>(1)</w:t>
            </w:r>
            <w:r>
              <w:rPr>
                <w:rFonts w:cstheme="minorHAnsi"/>
                <w:shd w:val="clear" w:color="auto" w:fill="FFFFFF"/>
              </w:rPr>
              <w:t xml:space="preserve"> </w:t>
            </w:r>
            <w:r w:rsidR="007B6FB7" w:rsidRPr="00812113">
              <w:rPr>
                <w:rFonts w:cstheme="minorHAnsi"/>
                <w:b/>
              </w:rPr>
              <w:t>Total float</w:t>
            </w:r>
          </w:p>
        </w:tc>
        <w:tc>
          <w:tcPr>
            <w:tcW w:w="2337" w:type="dxa"/>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rsidR="007B6FB7" w:rsidRPr="00812113" w:rsidRDefault="007B6FB7" w:rsidP="00D24B5B">
            <w:pPr>
              <w:jc w:val="center"/>
              <w:rPr>
                <w:rFonts w:cstheme="minorHAnsi"/>
                <w:b/>
              </w:rPr>
            </w:pPr>
            <w:r w:rsidRPr="00812113">
              <w:rPr>
                <w:rFonts w:cstheme="minorHAnsi"/>
                <w:b/>
              </w:rPr>
              <w:t>Free float</w:t>
            </w:r>
          </w:p>
        </w:tc>
        <w:tc>
          <w:tcPr>
            <w:tcW w:w="2338" w:type="dxa"/>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rsidR="007B6FB7" w:rsidRPr="00812113" w:rsidRDefault="007B6FB7" w:rsidP="00D24B5B">
            <w:pPr>
              <w:jc w:val="center"/>
              <w:rPr>
                <w:rFonts w:cstheme="minorHAnsi"/>
                <w:b/>
              </w:rPr>
            </w:pPr>
            <w:r w:rsidRPr="00812113">
              <w:rPr>
                <w:rFonts w:cstheme="minorHAnsi"/>
                <w:b/>
              </w:rPr>
              <w:t>Interfering float</w:t>
            </w:r>
          </w:p>
        </w:tc>
        <w:tc>
          <w:tcPr>
            <w:tcW w:w="2338" w:type="dxa"/>
            <w:tcBorders>
              <w:top w:val="single" w:sz="18" w:space="0" w:color="000000"/>
              <w:left w:val="single" w:sz="18" w:space="0" w:color="000000"/>
              <w:bottom w:val="single" w:sz="18" w:space="0" w:color="000000"/>
              <w:right w:val="single" w:sz="24" w:space="0" w:color="000000"/>
            </w:tcBorders>
            <w:shd w:val="clear" w:color="auto" w:fill="D9D9D9" w:themeFill="background1" w:themeFillShade="D9"/>
          </w:tcPr>
          <w:p w:rsidR="007B6FB7" w:rsidRPr="00812113" w:rsidRDefault="007B6FB7" w:rsidP="00D24B5B">
            <w:pPr>
              <w:jc w:val="center"/>
              <w:rPr>
                <w:rFonts w:cstheme="minorHAnsi"/>
                <w:b/>
              </w:rPr>
            </w:pPr>
            <w:r w:rsidRPr="00812113">
              <w:rPr>
                <w:rFonts w:cstheme="minorHAnsi"/>
                <w:b/>
              </w:rPr>
              <w:t>Independent float</w:t>
            </w:r>
          </w:p>
        </w:tc>
      </w:tr>
      <w:tr w:rsidR="007B6FB7" w:rsidRPr="00812113" w:rsidTr="00D24B5B">
        <w:tc>
          <w:tcPr>
            <w:tcW w:w="2337" w:type="dxa"/>
            <w:tcBorders>
              <w:top w:val="single" w:sz="18" w:space="0" w:color="000000"/>
              <w:left w:val="single" w:sz="8" w:space="0" w:color="000000"/>
              <w:bottom w:val="single" w:sz="24" w:space="0" w:color="000000"/>
              <w:right w:val="single" w:sz="8" w:space="0" w:color="000000"/>
            </w:tcBorders>
          </w:tcPr>
          <w:p w:rsidR="007B6FB7" w:rsidRPr="00812113" w:rsidRDefault="007B6FB7" w:rsidP="00D24B5B">
            <w:pPr>
              <w:jc w:val="both"/>
              <w:rPr>
                <w:rFonts w:cstheme="minorHAnsi"/>
              </w:rPr>
            </w:pPr>
            <w:r w:rsidRPr="00812113">
              <w:rPr>
                <w:rFonts w:cstheme="minorHAnsi"/>
              </w:rPr>
              <w:t xml:space="preserve">This is the time by which an activity may be delayed without affecting the planned contract completion date. It is found by subtracting the earliest starting time of an operation from its latest starting time. </w:t>
            </w:r>
          </w:p>
        </w:tc>
        <w:tc>
          <w:tcPr>
            <w:tcW w:w="2337" w:type="dxa"/>
            <w:tcBorders>
              <w:top w:val="single" w:sz="18" w:space="0" w:color="000000"/>
              <w:left w:val="single" w:sz="8" w:space="0" w:color="000000"/>
              <w:bottom w:val="single" w:sz="24" w:space="0" w:color="000000"/>
              <w:right w:val="single" w:sz="8" w:space="0" w:color="000000"/>
            </w:tcBorders>
          </w:tcPr>
          <w:p w:rsidR="007B6FB7" w:rsidRPr="00812113" w:rsidRDefault="007B6FB7" w:rsidP="00D24B5B">
            <w:pPr>
              <w:jc w:val="both"/>
              <w:rPr>
                <w:rFonts w:cstheme="minorHAnsi"/>
              </w:rPr>
            </w:pPr>
            <w:r w:rsidRPr="00812113">
              <w:rPr>
                <w:rFonts w:cstheme="minorHAnsi"/>
              </w:rPr>
              <w:t xml:space="preserve">This is the time an activity may be delayed without affecting any other activity. It is found by subtracting the earliest finishing time of an operation under consideration from the earliest starting time of its succeeding activity. </w:t>
            </w:r>
          </w:p>
        </w:tc>
        <w:tc>
          <w:tcPr>
            <w:tcW w:w="2338" w:type="dxa"/>
            <w:tcBorders>
              <w:top w:val="single" w:sz="18" w:space="0" w:color="000000"/>
              <w:left w:val="single" w:sz="8" w:space="0" w:color="000000"/>
              <w:bottom w:val="single" w:sz="24" w:space="0" w:color="000000"/>
              <w:right w:val="single" w:sz="8" w:space="0" w:color="000000"/>
            </w:tcBorders>
          </w:tcPr>
          <w:p w:rsidR="007B6FB7" w:rsidRPr="00812113" w:rsidRDefault="007B6FB7" w:rsidP="00D24B5B">
            <w:pPr>
              <w:jc w:val="both"/>
              <w:rPr>
                <w:rFonts w:cstheme="minorHAnsi"/>
              </w:rPr>
            </w:pPr>
            <w:r w:rsidRPr="00812113">
              <w:rPr>
                <w:rFonts w:cstheme="minorHAnsi"/>
              </w:rPr>
              <w:t>This is the difference between total and free floats for an activity, or the difference between the latest finishing time of a preceding activity and the earliest starting time of a succeeding activity under consideration.</w:t>
            </w:r>
          </w:p>
        </w:tc>
        <w:tc>
          <w:tcPr>
            <w:tcW w:w="2338" w:type="dxa"/>
            <w:tcBorders>
              <w:top w:val="single" w:sz="18" w:space="0" w:color="000000"/>
              <w:left w:val="single" w:sz="8" w:space="0" w:color="000000"/>
              <w:bottom w:val="single" w:sz="24" w:space="0" w:color="000000"/>
              <w:right w:val="single" w:sz="24" w:space="0" w:color="000000"/>
            </w:tcBorders>
          </w:tcPr>
          <w:p w:rsidR="007B6FB7" w:rsidRPr="00812113" w:rsidRDefault="007B6FB7" w:rsidP="00D24B5B">
            <w:pPr>
              <w:jc w:val="both"/>
              <w:rPr>
                <w:rFonts w:cstheme="minorHAnsi"/>
              </w:rPr>
            </w:pPr>
            <w:r w:rsidRPr="00812113">
              <w:rPr>
                <w:rFonts w:cstheme="minorHAnsi"/>
              </w:rPr>
              <w:t>This is the amount of float which an activity will always have irrespective of how early or late its preceding or succeeding activities are. It is calculated by subtracting the latest finishing time of the preceding activity from the earliest starting time of the succeeding activity and subtracting from the answer the duration of the operation under consideration.</w:t>
            </w:r>
            <w:r w:rsidR="004A3173">
              <w:rPr>
                <w:rFonts w:cstheme="minorHAnsi"/>
              </w:rPr>
              <w:t xml:space="preserve">  </w:t>
            </w:r>
            <w:r w:rsidR="004A3173" w:rsidRPr="004A3173">
              <w:rPr>
                <w:rFonts w:cstheme="minorHAnsi"/>
                <w:shd w:val="clear" w:color="auto" w:fill="FFFFFF"/>
                <w:vertAlign w:val="superscript"/>
              </w:rPr>
              <w:t>(1)</w:t>
            </w:r>
          </w:p>
        </w:tc>
      </w:tr>
    </w:tbl>
    <w:p w:rsidR="00D32648" w:rsidRDefault="00D32648" w:rsidP="007B6FB7">
      <w:pPr>
        <w:jc w:val="both"/>
        <w:rPr>
          <w:rFonts w:cstheme="minorHAnsi"/>
          <w:b/>
        </w:rPr>
      </w:pPr>
    </w:p>
    <w:p w:rsidR="007B6FB7" w:rsidRPr="00812113" w:rsidRDefault="0009457F" w:rsidP="007B6FB7">
      <w:pPr>
        <w:jc w:val="both"/>
        <w:rPr>
          <w:rFonts w:cstheme="minorHAnsi"/>
          <w:b/>
          <w:vertAlign w:val="superscript"/>
        </w:rPr>
      </w:pPr>
      <w:r>
        <w:rPr>
          <w:rFonts w:cstheme="minorHAnsi"/>
          <w:b/>
        </w:rPr>
        <w:t>4.2</w:t>
      </w:r>
      <w:r w:rsidR="001F76DA">
        <w:rPr>
          <w:rFonts w:cstheme="minorHAnsi"/>
          <w:b/>
        </w:rPr>
        <w:t xml:space="preserve"> </w:t>
      </w:r>
      <w:r w:rsidR="007B6FB7" w:rsidRPr="00812113">
        <w:rPr>
          <w:rFonts w:cstheme="minorHAnsi"/>
          <w:b/>
        </w:rPr>
        <w:t>Negative float</w:t>
      </w:r>
      <w:r w:rsidR="007B6FB7" w:rsidRPr="00812113">
        <w:rPr>
          <w:rFonts w:cstheme="minorHAnsi"/>
        </w:rPr>
        <w:t>: The term is used when a project fails to maintain the planned progress because an activity can not be completed within the allocated duration. The activity is then worse than critical and the project can only be completed in time if the succeeding critical activities are reduced in duration.</w:t>
      </w:r>
      <w:r w:rsidR="007B6FB7" w:rsidRPr="00812113">
        <w:rPr>
          <w:rFonts w:cstheme="minorHAnsi"/>
          <w:b/>
          <w:vertAlign w:val="superscript"/>
        </w:rPr>
        <w:t xml:space="preserve"> (1)</w:t>
      </w:r>
    </w:p>
    <w:p w:rsidR="007B6FB7" w:rsidRDefault="001F76DA" w:rsidP="007B6FB7">
      <w:pPr>
        <w:autoSpaceDE w:val="0"/>
        <w:autoSpaceDN w:val="0"/>
        <w:adjustRightInd w:val="0"/>
        <w:spacing w:after="0" w:line="240" w:lineRule="auto"/>
        <w:jc w:val="both"/>
        <w:rPr>
          <w:rFonts w:cstheme="minorHAnsi"/>
          <w:b/>
          <w:vertAlign w:val="superscript"/>
        </w:rPr>
      </w:pPr>
      <w:r w:rsidRPr="0009457F">
        <w:rPr>
          <w:rFonts w:cstheme="minorHAnsi"/>
          <w:b/>
        </w:rPr>
        <w:t>4.3</w:t>
      </w:r>
      <w:r>
        <w:rPr>
          <w:rFonts w:cstheme="minorHAnsi"/>
          <w:b/>
          <w:vertAlign w:val="superscript"/>
        </w:rPr>
        <w:t xml:space="preserve"> </w:t>
      </w:r>
      <w:r w:rsidR="007B6FB7" w:rsidRPr="00812113">
        <w:rPr>
          <w:rFonts w:cstheme="minorHAnsi"/>
          <w:b/>
          <w:vertAlign w:val="superscript"/>
        </w:rPr>
        <w:t>(SCL)</w:t>
      </w:r>
      <w:r w:rsidR="007B6FB7" w:rsidRPr="00812113">
        <w:rPr>
          <w:rFonts w:cstheme="minorHAnsi"/>
          <w:b/>
        </w:rPr>
        <w:t xml:space="preserve"> Float Ownership</w:t>
      </w:r>
      <w:r w:rsidR="007B6FB7" w:rsidRPr="00812113">
        <w:rPr>
          <w:rFonts w:cstheme="minorHAnsi"/>
        </w:rPr>
        <w:t xml:space="preserve">: Parties should ensure that this issue is addressed in their contracts. The expression ‘float’ rarely, if ever, appears in standard form conditions of contract. Where the wording of the EOT </w:t>
      </w:r>
      <w:r w:rsidR="007C7375">
        <w:rPr>
          <w:rFonts w:cstheme="minorHAnsi"/>
        </w:rPr>
        <w:t xml:space="preserve">(Extension of Time) </w:t>
      </w:r>
      <w:r w:rsidR="007B6FB7" w:rsidRPr="00812113">
        <w:rPr>
          <w:rFonts w:cstheme="minorHAnsi"/>
        </w:rPr>
        <w:t xml:space="preserve">clause in a contract is such that an EOT is only to be granted if the Employer Delay delays completion beyond the contract completion date, then the likely effect of that wording is that total float has to be used up before an EOT will be due. If the wording of the EOT clause is such that an EOT will be due whenever the Employer Delay makes the Contractor’s planned completion date later than it would have been if it were not for that delay, then total float will probably not be available for the benefit of the Employer in the event of Employer Delay. Some conditions of contract give no indication as to whether an Employer Delay has to affect the contract completion date or merely the Contractor’s planned completion date before </w:t>
      </w:r>
      <w:r w:rsidR="00D658AD" w:rsidRPr="00812113">
        <w:rPr>
          <w:rFonts w:cstheme="minorHAnsi"/>
        </w:rPr>
        <w:t>an EOT</w:t>
      </w:r>
      <w:r w:rsidR="007B6FB7" w:rsidRPr="00812113">
        <w:rPr>
          <w:rFonts w:cstheme="minorHAnsi"/>
        </w:rPr>
        <w:t xml:space="preserve"> is due. </w:t>
      </w:r>
      <w:r w:rsidR="007B6FB7" w:rsidRPr="00812113">
        <w:rPr>
          <w:rFonts w:cstheme="minorHAnsi"/>
          <w:b/>
          <w:vertAlign w:val="superscript"/>
        </w:rPr>
        <w:t>(SCL)</w:t>
      </w:r>
    </w:p>
    <w:p w:rsidR="00171D19" w:rsidRDefault="00171D19" w:rsidP="007B6FB7">
      <w:pPr>
        <w:autoSpaceDE w:val="0"/>
        <w:autoSpaceDN w:val="0"/>
        <w:adjustRightInd w:val="0"/>
        <w:spacing w:after="0" w:line="240" w:lineRule="auto"/>
        <w:jc w:val="both"/>
        <w:rPr>
          <w:rFonts w:cstheme="minorHAnsi"/>
          <w:b/>
          <w:vertAlign w:val="superscript"/>
        </w:rPr>
      </w:pPr>
    </w:p>
    <w:p w:rsidR="005D370A" w:rsidRPr="00837C99" w:rsidRDefault="001F76DA" w:rsidP="00837C99">
      <w:pPr>
        <w:rPr>
          <w:rFonts w:ascii="Times New Roman" w:hAnsi="Times New Roman" w:cs="Times New Roman"/>
          <w:b/>
        </w:rPr>
      </w:pPr>
      <w:r w:rsidRPr="00837C99">
        <w:rPr>
          <w:rFonts w:ascii="Times New Roman" w:hAnsi="Times New Roman" w:cs="Times New Roman"/>
          <w:b/>
        </w:rPr>
        <w:lastRenderedPageBreak/>
        <w:t xml:space="preserve">5.0 </w:t>
      </w:r>
      <w:r w:rsidR="005D370A" w:rsidRPr="00837C99">
        <w:rPr>
          <w:rFonts w:ascii="Times New Roman" w:hAnsi="Times New Roman" w:cs="Times New Roman"/>
          <w:b/>
        </w:rPr>
        <w:t>Judicial References of current English Courts:</w:t>
      </w:r>
      <w:r w:rsidR="00837C99">
        <w:rPr>
          <w:b/>
        </w:rPr>
        <w:t xml:space="preserve"> </w:t>
      </w:r>
      <w:r w:rsidR="00837C99">
        <w:t xml:space="preserve">(England and Wales High Court - Technology and Construction Court). </w:t>
      </w:r>
      <w:r w:rsidR="00867F6A">
        <w:t>Neutral Citation Number: [2007} EWHC 918 (TCC). Case No. HT-02-72</w:t>
      </w:r>
    </w:p>
    <w:p w:rsidR="005D370A" w:rsidRPr="00837C99" w:rsidRDefault="005D370A" w:rsidP="005D370A">
      <w:pPr>
        <w:pStyle w:val="NormalWeb"/>
        <w:jc w:val="both"/>
        <w:rPr>
          <w:b/>
          <w:bCs/>
          <w:i/>
          <w:iCs/>
          <w:sz w:val="22"/>
          <w:szCs w:val="22"/>
          <w:u w:val="single"/>
        </w:rPr>
      </w:pPr>
      <w:bookmarkStart w:id="2" w:name="para24"/>
      <w:r w:rsidRPr="00837C99">
        <w:rPr>
          <w:sz w:val="22"/>
          <w:szCs w:val="22"/>
        </w:rPr>
        <w:t xml:space="preserve">► </w:t>
      </w:r>
      <w:r w:rsidR="00D32B4B" w:rsidRPr="00837C99">
        <w:rPr>
          <w:sz w:val="22"/>
          <w:szCs w:val="22"/>
        </w:rPr>
        <w:t>The</w:t>
      </w:r>
      <w:r w:rsidRPr="00837C99">
        <w:rPr>
          <w:sz w:val="22"/>
          <w:szCs w:val="22"/>
        </w:rPr>
        <w:t xml:space="preserve"> well-known general principles of the award of damages. The basic principle is that a claimant is entitled to be compensated by being given such sum of money as will put it in the position which it would have been in if it had not sustained the wrong for which it is being compensated – see </w:t>
      </w:r>
      <w:r w:rsidRPr="00837C99">
        <w:rPr>
          <w:b/>
          <w:bCs/>
          <w:i/>
          <w:iCs/>
          <w:sz w:val="22"/>
          <w:szCs w:val="22"/>
          <w:u w:val="single"/>
        </w:rPr>
        <w:t xml:space="preserve">Livingstone v Rawyards Coal </w:t>
      </w:r>
      <w:bookmarkStart w:id="3" w:name="para25"/>
    </w:p>
    <w:p w:rsidR="005D370A" w:rsidRPr="00837C99" w:rsidRDefault="005D370A" w:rsidP="005D370A">
      <w:pPr>
        <w:pStyle w:val="NormalWeb"/>
        <w:jc w:val="both"/>
        <w:rPr>
          <w:sz w:val="22"/>
          <w:szCs w:val="22"/>
        </w:rPr>
      </w:pPr>
      <w:r w:rsidRPr="00837C99">
        <w:rPr>
          <w:sz w:val="22"/>
          <w:szCs w:val="22"/>
        </w:rPr>
        <w:t xml:space="preserve">► This principle was reaffirmed by Lord Haldane in </w:t>
      </w:r>
      <w:r w:rsidRPr="00837C99">
        <w:rPr>
          <w:b/>
          <w:bCs/>
          <w:i/>
          <w:iCs/>
          <w:sz w:val="22"/>
          <w:szCs w:val="22"/>
          <w:u w:val="single"/>
        </w:rPr>
        <w:t>British Westinghouse v The Underground Railway of London</w:t>
      </w:r>
      <w:r w:rsidRPr="00837C99">
        <w:rPr>
          <w:sz w:val="22"/>
          <w:szCs w:val="22"/>
        </w:rPr>
        <w:t xml:space="preserve"> [1912] AC 673 at 689 together with the principle that it is the duty of a claimant to take all reasonable steps to mitigate the loss consequent on the breach. </w:t>
      </w:r>
      <w:bookmarkEnd w:id="3"/>
      <w:r w:rsidRPr="00837C99">
        <w:rPr>
          <w:sz w:val="22"/>
          <w:szCs w:val="22"/>
        </w:rPr>
        <w:t>Co (1880) 5 App. Cas 25 at 39.</w:t>
      </w:r>
      <w:bookmarkEnd w:id="2"/>
    </w:p>
    <w:p w:rsidR="005D370A" w:rsidRPr="00837C99" w:rsidRDefault="005D370A" w:rsidP="005D370A">
      <w:pPr>
        <w:pStyle w:val="NormalWeb"/>
        <w:jc w:val="both"/>
        <w:rPr>
          <w:sz w:val="22"/>
          <w:szCs w:val="22"/>
        </w:rPr>
      </w:pPr>
      <w:r w:rsidRPr="00837C99">
        <w:rPr>
          <w:sz w:val="22"/>
          <w:szCs w:val="22"/>
        </w:rPr>
        <w:t xml:space="preserve">► </w:t>
      </w:r>
      <w:bookmarkStart w:id="4" w:name="para26"/>
      <w:r w:rsidRPr="00837C99">
        <w:rPr>
          <w:sz w:val="22"/>
          <w:szCs w:val="22"/>
        </w:rPr>
        <w:t xml:space="preserve">The damages in respect of which compensation is given must have been caused by the defendant's breach and must be of a type which was foreseen or should reasonably have been foreseen by the claimant (see </w:t>
      </w:r>
      <w:r w:rsidRPr="00837C99">
        <w:rPr>
          <w:b/>
          <w:bCs/>
          <w:i/>
          <w:iCs/>
          <w:sz w:val="22"/>
          <w:szCs w:val="22"/>
          <w:u w:val="single"/>
        </w:rPr>
        <w:t xml:space="preserve">The Wagon Mound </w:t>
      </w:r>
      <w:bookmarkEnd w:id="4"/>
      <w:r w:rsidRPr="00837C99">
        <w:rPr>
          <w:sz w:val="22"/>
          <w:szCs w:val="22"/>
        </w:rPr>
        <w:fldChar w:fldCharType="begin"/>
      </w:r>
      <w:r w:rsidRPr="00837C99">
        <w:rPr>
          <w:sz w:val="22"/>
          <w:szCs w:val="22"/>
        </w:rPr>
        <w:instrText xml:space="preserve"> HYPERLINK "http://www.bailii.org/cgi-bin/redirect.cgi?path=/uk/cases/UKPC/1961/1961_2.html" \o "Link to BAILII version" </w:instrText>
      </w:r>
      <w:r w:rsidRPr="00837C99">
        <w:rPr>
          <w:sz w:val="22"/>
          <w:szCs w:val="22"/>
        </w:rPr>
        <w:fldChar w:fldCharType="separate"/>
      </w:r>
      <w:r w:rsidRPr="00837C99">
        <w:rPr>
          <w:rStyle w:val="Hyperlink"/>
          <w:sz w:val="22"/>
          <w:szCs w:val="22"/>
        </w:rPr>
        <w:t>[1961] AC 388</w:t>
      </w:r>
      <w:r w:rsidRPr="00837C99">
        <w:rPr>
          <w:sz w:val="22"/>
          <w:szCs w:val="22"/>
        </w:rPr>
        <w:fldChar w:fldCharType="end"/>
      </w:r>
      <w:r w:rsidRPr="00837C99">
        <w:rPr>
          <w:sz w:val="22"/>
          <w:szCs w:val="22"/>
        </w:rPr>
        <w:t xml:space="preserve"> and </w:t>
      </w:r>
      <w:r w:rsidRPr="00837C99">
        <w:rPr>
          <w:b/>
          <w:bCs/>
          <w:i/>
          <w:iCs/>
          <w:sz w:val="22"/>
          <w:szCs w:val="22"/>
          <w:u w:val="single"/>
        </w:rPr>
        <w:t xml:space="preserve">The Wagon Mound No. 2 </w:t>
      </w:r>
      <w:hyperlink r:id="rId8" w:tooltip="Link to BAILII version" w:history="1">
        <w:r w:rsidRPr="00837C99">
          <w:rPr>
            <w:rStyle w:val="Hyperlink"/>
            <w:sz w:val="22"/>
            <w:szCs w:val="22"/>
          </w:rPr>
          <w:t>[1967] 1 AC 617</w:t>
        </w:r>
      </w:hyperlink>
      <w:r w:rsidRPr="00837C99">
        <w:rPr>
          <w:sz w:val="22"/>
          <w:szCs w:val="22"/>
        </w:rPr>
        <w:t>).</w:t>
      </w:r>
    </w:p>
    <w:p w:rsidR="005D370A" w:rsidRPr="00837C99" w:rsidRDefault="005D370A" w:rsidP="005D370A">
      <w:pPr>
        <w:pStyle w:val="NormalWeb"/>
        <w:jc w:val="both"/>
        <w:rPr>
          <w:sz w:val="22"/>
          <w:szCs w:val="22"/>
        </w:rPr>
      </w:pPr>
      <w:r w:rsidRPr="00837C99">
        <w:rPr>
          <w:sz w:val="22"/>
          <w:szCs w:val="22"/>
        </w:rPr>
        <w:t xml:space="preserve">► </w:t>
      </w:r>
      <w:bookmarkStart w:id="5" w:name="para27"/>
      <w:r w:rsidRPr="00837C99">
        <w:rPr>
          <w:sz w:val="22"/>
          <w:szCs w:val="22"/>
        </w:rPr>
        <w:t xml:space="preserve">It follows that if the whole or part of the claim does not arise out of a defendant's wrongdoing but from some independent cause the claimant cannot recover damages arising from that cause. The independent cause may be an event which breaks the chain of causation or takes the form of negligent advice on which the claimant has acted. See e.g. </w:t>
      </w:r>
      <w:r w:rsidRPr="00837C99">
        <w:rPr>
          <w:b/>
          <w:bCs/>
          <w:i/>
          <w:iCs/>
          <w:sz w:val="22"/>
          <w:szCs w:val="22"/>
          <w:u w:val="single"/>
        </w:rPr>
        <w:t>The Board of Governors of the Hospital for Sick Children v McLaughlin &amp; Harvey plc</w:t>
      </w:r>
      <w:r w:rsidRPr="00837C99">
        <w:rPr>
          <w:sz w:val="22"/>
          <w:szCs w:val="22"/>
        </w:rPr>
        <w:t xml:space="preserve"> [1987] 19 Con L R 25 at 96.</w:t>
      </w:r>
      <w:bookmarkEnd w:id="5"/>
    </w:p>
    <w:p w:rsidR="005D370A" w:rsidRPr="00837C99" w:rsidRDefault="005D370A" w:rsidP="005D370A">
      <w:pPr>
        <w:pStyle w:val="NormalWeb"/>
        <w:jc w:val="both"/>
        <w:rPr>
          <w:sz w:val="22"/>
          <w:szCs w:val="22"/>
        </w:rPr>
      </w:pPr>
      <w:r w:rsidRPr="00837C99">
        <w:rPr>
          <w:sz w:val="22"/>
          <w:szCs w:val="22"/>
        </w:rPr>
        <w:t xml:space="preserve">► </w:t>
      </w:r>
      <w:bookmarkStart w:id="6" w:name="para28"/>
      <w:r w:rsidRPr="00837C99">
        <w:rPr>
          <w:sz w:val="22"/>
          <w:szCs w:val="22"/>
        </w:rPr>
        <w:t>The courts have made it clear that where a claimant has undertaken work to remedy a wrongful act the court should be very slow to accept an objection by the wrongdoer as to the method used by the claimant to repair the injury</w:t>
      </w:r>
      <w:bookmarkEnd w:id="6"/>
      <w:r w:rsidRPr="00837C99">
        <w:rPr>
          <w:sz w:val="22"/>
          <w:szCs w:val="22"/>
        </w:rPr>
        <w:t>.</w:t>
      </w:r>
    </w:p>
    <w:p w:rsidR="005D370A" w:rsidRPr="00837C99" w:rsidRDefault="005D370A" w:rsidP="005D370A">
      <w:pPr>
        <w:pStyle w:val="NormalWeb"/>
        <w:jc w:val="both"/>
        <w:rPr>
          <w:sz w:val="22"/>
          <w:szCs w:val="22"/>
        </w:rPr>
      </w:pPr>
      <w:r w:rsidRPr="00837C99">
        <w:rPr>
          <w:sz w:val="22"/>
          <w:szCs w:val="22"/>
        </w:rPr>
        <w:t xml:space="preserve">► </w:t>
      </w:r>
      <w:bookmarkStart w:id="7" w:name="para30"/>
      <w:r w:rsidRPr="00837C99">
        <w:rPr>
          <w:sz w:val="22"/>
          <w:szCs w:val="22"/>
        </w:rPr>
        <w:t xml:space="preserve">It is clear that the burden of proving that the claimant has acted unreasonably lies with the defendant – see </w:t>
      </w:r>
      <w:r w:rsidRPr="00837C99">
        <w:rPr>
          <w:b/>
          <w:bCs/>
          <w:i/>
          <w:iCs/>
          <w:sz w:val="22"/>
          <w:szCs w:val="22"/>
          <w:u w:val="single"/>
        </w:rPr>
        <w:t xml:space="preserve">Steele v Robert George &amp; Co </w:t>
      </w:r>
      <w:r w:rsidRPr="00837C99">
        <w:rPr>
          <w:sz w:val="22"/>
          <w:szCs w:val="22"/>
        </w:rPr>
        <w:t>[1942] AC 497 at 502-3.</w:t>
      </w:r>
      <w:bookmarkEnd w:id="7"/>
    </w:p>
    <w:p w:rsidR="005D370A" w:rsidRPr="00837C99" w:rsidRDefault="005D370A" w:rsidP="005D370A">
      <w:pPr>
        <w:pStyle w:val="NormalWeb"/>
        <w:jc w:val="both"/>
        <w:rPr>
          <w:sz w:val="22"/>
          <w:szCs w:val="22"/>
        </w:rPr>
      </w:pPr>
      <w:bookmarkStart w:id="8" w:name="para34"/>
      <w:r w:rsidRPr="00837C99">
        <w:rPr>
          <w:sz w:val="22"/>
          <w:szCs w:val="22"/>
        </w:rPr>
        <w:t xml:space="preserve">► If there are two concurrent causes of delay, one of which was the defendant's responsibility (and the other not the claimant's) the claimant is not required to choose between tortfeasors but can recover the damages against one of the tortfeasors if he can show that the fault of the defendant caused or materially contributed to his injury - see </w:t>
      </w:r>
      <w:r w:rsidRPr="00837C99">
        <w:rPr>
          <w:b/>
          <w:bCs/>
          <w:i/>
          <w:iCs/>
          <w:sz w:val="22"/>
          <w:szCs w:val="22"/>
          <w:u w:val="single"/>
        </w:rPr>
        <w:t xml:space="preserve">IBA v EMI and BICC </w:t>
      </w:r>
      <w:r w:rsidRPr="00837C99">
        <w:rPr>
          <w:sz w:val="22"/>
          <w:szCs w:val="22"/>
        </w:rPr>
        <w:t xml:space="preserve">[1980] 14 BLR l (HL). It is suggested that a claimant should recover in full if the matter for which the defendant is responsible contributed to the loss – see also </w:t>
      </w:r>
      <w:r w:rsidRPr="00837C99">
        <w:rPr>
          <w:b/>
          <w:bCs/>
          <w:i/>
          <w:iCs/>
          <w:sz w:val="22"/>
          <w:szCs w:val="22"/>
          <w:u w:val="single"/>
        </w:rPr>
        <w:t>Heskell v Continental Express</w:t>
      </w:r>
      <w:r w:rsidRPr="00837C99">
        <w:rPr>
          <w:sz w:val="22"/>
          <w:szCs w:val="22"/>
        </w:rPr>
        <w:t xml:space="preserve"> [1950] 1 All E R 1033.</w:t>
      </w:r>
      <w:bookmarkEnd w:id="8"/>
    </w:p>
    <w:p w:rsidR="005D370A" w:rsidRPr="00837C99" w:rsidRDefault="005D370A" w:rsidP="005D370A">
      <w:pPr>
        <w:spacing w:before="100" w:beforeAutospacing="1" w:after="100" w:afterAutospacing="1" w:line="240" w:lineRule="auto"/>
        <w:jc w:val="both"/>
        <w:outlineLvl w:val="0"/>
        <w:rPr>
          <w:rFonts w:ascii="Times New Roman" w:hAnsi="Times New Roman" w:cs="Times New Roman"/>
        </w:rPr>
      </w:pPr>
      <w:r w:rsidRPr="00837C99">
        <w:rPr>
          <w:rFonts w:ascii="Times New Roman" w:hAnsi="Times New Roman" w:cs="Times New Roman"/>
        </w:rPr>
        <w:t>► Lord MacLean noted that "if an item of loss results from concurrent causes and one of those causes can be identified as the proximate or dominant cause of the loss, it will be treated as the operative cause and the person responsible for it will be responsible for the loss."</w:t>
      </w:r>
    </w:p>
    <w:p w:rsidR="005D370A" w:rsidRPr="00837C99" w:rsidRDefault="005D370A" w:rsidP="005D370A">
      <w:pPr>
        <w:spacing w:before="100" w:beforeAutospacing="1" w:after="100" w:afterAutospacing="1" w:line="240" w:lineRule="auto"/>
        <w:jc w:val="both"/>
        <w:outlineLvl w:val="0"/>
        <w:rPr>
          <w:rFonts w:ascii="Times New Roman" w:hAnsi="Times New Roman" w:cs="Times New Roman"/>
        </w:rPr>
      </w:pPr>
      <w:r w:rsidRPr="00837C99">
        <w:rPr>
          <w:rFonts w:ascii="Times New Roman" w:hAnsi="Times New Roman" w:cs="Times New Roman"/>
        </w:rPr>
        <w:t xml:space="preserve">► It is clear that a claimant establishes liability in contract if he shows that the cause which is the responsibility of the defendant is the dominant cause or, in Lord Shaw's words, "the real efficient cause" – see </w:t>
      </w:r>
      <w:r w:rsidRPr="00837C99">
        <w:rPr>
          <w:rFonts w:ascii="Times New Roman" w:hAnsi="Times New Roman" w:cs="Times New Roman"/>
          <w:b/>
          <w:bCs/>
          <w:i/>
          <w:iCs/>
          <w:u w:val="single"/>
        </w:rPr>
        <w:t>Leyland Shipping v Norwich Union</w:t>
      </w:r>
      <w:r w:rsidRPr="00837C99">
        <w:rPr>
          <w:rFonts w:ascii="Times New Roman" w:hAnsi="Times New Roman" w:cs="Times New Roman"/>
        </w:rPr>
        <w:t xml:space="preserve"> [1918] AC 350.</w:t>
      </w:r>
    </w:p>
    <w:p w:rsidR="005D370A" w:rsidRPr="00837C99" w:rsidRDefault="005D370A" w:rsidP="005D370A">
      <w:pPr>
        <w:pStyle w:val="NormalWeb"/>
        <w:jc w:val="both"/>
        <w:rPr>
          <w:sz w:val="22"/>
          <w:szCs w:val="22"/>
        </w:rPr>
      </w:pPr>
      <w:r w:rsidRPr="00837C99">
        <w:rPr>
          <w:sz w:val="22"/>
          <w:szCs w:val="22"/>
        </w:rPr>
        <w:t xml:space="preserve">► </w:t>
      </w:r>
      <w:bookmarkStart w:id="9" w:name="para36"/>
      <w:r w:rsidRPr="00837C99">
        <w:rPr>
          <w:sz w:val="22"/>
          <w:szCs w:val="22"/>
        </w:rPr>
        <w:t xml:space="preserve">What is known as the "but for" test which is conveniently set out by Rix LJ in </w:t>
      </w:r>
      <w:r w:rsidRPr="00837C99">
        <w:rPr>
          <w:b/>
          <w:bCs/>
          <w:i/>
          <w:iCs/>
          <w:sz w:val="22"/>
          <w:szCs w:val="22"/>
          <w:u w:val="single"/>
        </w:rPr>
        <w:t xml:space="preserve">BHP Billiton Petroleum Ltd v </w:t>
      </w:r>
      <w:proofErr w:type="spellStart"/>
      <w:r w:rsidRPr="00837C99">
        <w:rPr>
          <w:b/>
          <w:bCs/>
          <w:i/>
          <w:iCs/>
          <w:sz w:val="22"/>
          <w:szCs w:val="22"/>
          <w:u w:val="single"/>
        </w:rPr>
        <w:t>Dalime</w:t>
      </w:r>
      <w:proofErr w:type="spellEnd"/>
      <w:r w:rsidRPr="00837C99">
        <w:rPr>
          <w:b/>
          <w:bCs/>
          <w:i/>
          <w:iCs/>
          <w:sz w:val="22"/>
          <w:szCs w:val="22"/>
          <w:u w:val="single"/>
        </w:rPr>
        <w:t xml:space="preserve"> </w:t>
      </w:r>
      <w:proofErr w:type="spellStart"/>
      <w:r w:rsidRPr="00837C99">
        <w:rPr>
          <w:b/>
          <w:bCs/>
          <w:i/>
          <w:iCs/>
          <w:sz w:val="22"/>
          <w:szCs w:val="22"/>
          <w:u w:val="single"/>
        </w:rPr>
        <w:t>SpA</w:t>
      </w:r>
      <w:proofErr w:type="spellEnd"/>
      <w:r w:rsidRPr="00837C99">
        <w:rPr>
          <w:sz w:val="22"/>
          <w:szCs w:val="22"/>
        </w:rPr>
        <w:t xml:space="preserve"> </w:t>
      </w:r>
      <w:bookmarkEnd w:id="9"/>
      <w:r w:rsidRPr="00837C99">
        <w:rPr>
          <w:sz w:val="22"/>
          <w:szCs w:val="22"/>
        </w:rPr>
        <w:fldChar w:fldCharType="begin"/>
      </w:r>
      <w:r w:rsidRPr="00837C99">
        <w:rPr>
          <w:sz w:val="22"/>
          <w:szCs w:val="22"/>
        </w:rPr>
        <w:instrText xml:space="preserve"> HYPERLINK "http://www.bailii.org/cgi-bin/redirect.cgi?path=/ew/cases/EWCA/Civ/2003/170.html" \o "Link to BAILII version" </w:instrText>
      </w:r>
      <w:r w:rsidRPr="00837C99">
        <w:rPr>
          <w:sz w:val="22"/>
          <w:szCs w:val="22"/>
        </w:rPr>
        <w:fldChar w:fldCharType="separate"/>
      </w:r>
      <w:r w:rsidRPr="00837C99">
        <w:rPr>
          <w:rStyle w:val="Hyperlink"/>
          <w:sz w:val="22"/>
          <w:szCs w:val="22"/>
        </w:rPr>
        <w:t>[2003] BLR 271</w:t>
      </w:r>
      <w:r w:rsidRPr="00837C99">
        <w:rPr>
          <w:sz w:val="22"/>
          <w:szCs w:val="22"/>
        </w:rPr>
        <w:fldChar w:fldCharType="end"/>
      </w:r>
      <w:r w:rsidRPr="00837C99">
        <w:rPr>
          <w:sz w:val="22"/>
          <w:szCs w:val="22"/>
        </w:rPr>
        <w:t xml:space="preserve"> at 277 (Para 26) citing Clerk &amp; Lindsell on Torts, 17 ed (2000) at para 2-06: "The first step in establishing causation is to eliminate irrelevant causes and this is the purpose of the "but for" test. The Courts are concerned, not to identify all of the possible causes of a particular incident but the effective cause of the resulting damage in order to assign responsibility for that </w:t>
      </w:r>
      <w:r w:rsidRPr="00837C99">
        <w:rPr>
          <w:sz w:val="22"/>
          <w:szCs w:val="22"/>
        </w:rPr>
        <w:lastRenderedPageBreak/>
        <w:t>damage. The "but for" test asks: would the damage of which the claimant complains have occurred "but for" the negligence (or other wrongdoing), or to put it more accurately, can the claimant adduce evidence to show that it is more likely than not, more than 50 per cent probable that but for "the defendant's wrongdoing the relevant damage would not have occurred. In other words, if the damage would have occurred in any event the defendant's conduct is not a "but for" cause."</w:t>
      </w:r>
    </w:p>
    <w:p w:rsidR="005D370A" w:rsidRPr="00837C99" w:rsidRDefault="005D370A" w:rsidP="005D370A">
      <w:pPr>
        <w:pStyle w:val="NormalWeb"/>
        <w:jc w:val="both"/>
        <w:rPr>
          <w:sz w:val="22"/>
          <w:szCs w:val="22"/>
        </w:rPr>
      </w:pPr>
      <w:r w:rsidRPr="00837C99">
        <w:rPr>
          <w:sz w:val="22"/>
          <w:szCs w:val="22"/>
        </w:rPr>
        <w:t xml:space="preserve">► </w:t>
      </w:r>
      <w:bookmarkStart w:id="10" w:name="para41"/>
      <w:r w:rsidRPr="00837C99">
        <w:rPr>
          <w:sz w:val="22"/>
          <w:szCs w:val="22"/>
        </w:rPr>
        <w:t xml:space="preserve">A party may rely on a reasonable settlement as relevant to the measure of loss which it has suffered as a result of a breach of contract or tort by the defendant – see </w:t>
      </w:r>
      <w:r w:rsidRPr="00837C99">
        <w:rPr>
          <w:b/>
          <w:bCs/>
          <w:i/>
          <w:iCs/>
          <w:sz w:val="22"/>
          <w:szCs w:val="22"/>
          <w:u w:val="single"/>
        </w:rPr>
        <w:t>Biggin v Permanite</w:t>
      </w:r>
      <w:r w:rsidRPr="00837C99">
        <w:rPr>
          <w:sz w:val="22"/>
          <w:szCs w:val="22"/>
        </w:rPr>
        <w:t xml:space="preserve"> [1951] 2 KB 814. Not only must it have been reasonable to settle but the amounts must also be reasonable</w:t>
      </w:r>
      <w:bookmarkEnd w:id="10"/>
      <w:r w:rsidRPr="00837C99">
        <w:rPr>
          <w:sz w:val="22"/>
          <w:szCs w:val="22"/>
        </w:rPr>
        <w:t xml:space="preserve">. </w:t>
      </w:r>
      <w:r w:rsidRPr="00837C99">
        <w:rPr>
          <w:b/>
          <w:sz w:val="22"/>
          <w:szCs w:val="22"/>
          <w:vertAlign w:val="superscript"/>
        </w:rPr>
        <w:t>(3)</w:t>
      </w:r>
    </w:p>
    <w:p w:rsidR="005D370A" w:rsidRPr="00837C99" w:rsidRDefault="005D370A" w:rsidP="005D370A">
      <w:pPr>
        <w:pStyle w:val="NormalWeb"/>
        <w:jc w:val="both"/>
        <w:rPr>
          <w:sz w:val="22"/>
          <w:szCs w:val="22"/>
        </w:rPr>
      </w:pPr>
      <w:r w:rsidRPr="00837C99">
        <w:rPr>
          <w:sz w:val="22"/>
          <w:szCs w:val="22"/>
        </w:rPr>
        <w:t>►</w:t>
      </w:r>
      <w:bookmarkStart w:id="11" w:name="para42"/>
      <w:r w:rsidRPr="00837C99">
        <w:rPr>
          <w:sz w:val="22"/>
          <w:szCs w:val="22"/>
        </w:rPr>
        <w:t xml:space="preserve">The claimant must prove that the defendant is liable to the claimant for a loss which can be measured by reference to the settlement. The settlement, or the fact of it, is not sufficient on its own to establish liability on the defendant – see </w:t>
      </w:r>
      <w:r w:rsidRPr="00837C99">
        <w:rPr>
          <w:b/>
          <w:bCs/>
          <w:i/>
          <w:iCs/>
          <w:sz w:val="22"/>
          <w:szCs w:val="22"/>
          <w:u w:val="single"/>
        </w:rPr>
        <w:t>Fletcher v Stewart v Peter Jay and Partners</w:t>
      </w:r>
      <w:r w:rsidRPr="00837C99">
        <w:rPr>
          <w:sz w:val="22"/>
          <w:szCs w:val="22"/>
        </w:rPr>
        <w:t xml:space="preserve"> [1976] 17 BLR 38 and </w:t>
      </w:r>
      <w:r w:rsidRPr="00837C99">
        <w:rPr>
          <w:b/>
          <w:bCs/>
          <w:i/>
          <w:iCs/>
          <w:sz w:val="22"/>
          <w:szCs w:val="22"/>
          <w:u w:val="single"/>
        </w:rPr>
        <w:t>P &amp; O Developments Limited v Guy's and St Thomas's NHS Trust</w:t>
      </w:r>
      <w:r w:rsidRPr="00837C99">
        <w:rPr>
          <w:sz w:val="22"/>
          <w:szCs w:val="22"/>
        </w:rPr>
        <w:t xml:space="preserve"> </w:t>
      </w:r>
      <w:bookmarkEnd w:id="11"/>
      <w:r w:rsidRPr="00837C99">
        <w:rPr>
          <w:sz w:val="22"/>
          <w:szCs w:val="22"/>
        </w:rPr>
        <w:fldChar w:fldCharType="begin"/>
      </w:r>
      <w:r w:rsidRPr="00837C99">
        <w:rPr>
          <w:sz w:val="22"/>
          <w:szCs w:val="22"/>
        </w:rPr>
        <w:instrText xml:space="preserve"> HYPERLINK "http://www.bailii.org/cgi-bin/redirect.cgi?path=/ew/cases/EWHC/TCC/1998/295.html" \o "Link to BAILII version" </w:instrText>
      </w:r>
      <w:r w:rsidRPr="00837C99">
        <w:rPr>
          <w:sz w:val="22"/>
          <w:szCs w:val="22"/>
        </w:rPr>
        <w:fldChar w:fldCharType="separate"/>
      </w:r>
      <w:r w:rsidRPr="00837C99">
        <w:rPr>
          <w:rStyle w:val="Hyperlink"/>
          <w:sz w:val="22"/>
          <w:szCs w:val="22"/>
        </w:rPr>
        <w:t>[1999] BLR 3</w:t>
      </w:r>
      <w:r w:rsidRPr="00837C99">
        <w:rPr>
          <w:sz w:val="22"/>
          <w:szCs w:val="22"/>
        </w:rPr>
        <w:fldChar w:fldCharType="end"/>
      </w:r>
      <w:r w:rsidRPr="00837C99">
        <w:rPr>
          <w:sz w:val="22"/>
          <w:szCs w:val="22"/>
        </w:rPr>
        <w:t xml:space="preserve">. </w:t>
      </w:r>
    </w:p>
    <w:p w:rsidR="005D370A" w:rsidRPr="00837C99" w:rsidRDefault="005D370A" w:rsidP="005D370A">
      <w:pPr>
        <w:jc w:val="both"/>
        <w:rPr>
          <w:rFonts w:ascii="Times New Roman" w:hAnsi="Times New Roman" w:cs="Times New Roman"/>
        </w:rPr>
      </w:pPr>
      <w:r w:rsidRPr="00837C99">
        <w:rPr>
          <w:rFonts w:ascii="Times New Roman" w:hAnsi="Times New Roman" w:cs="Times New Roman"/>
        </w:rPr>
        <w:t xml:space="preserve">► </w:t>
      </w:r>
      <w:bookmarkStart w:id="12" w:name="para45"/>
      <w:r w:rsidRPr="00837C99">
        <w:rPr>
          <w:rFonts w:ascii="Times New Roman" w:hAnsi="Times New Roman" w:cs="Times New Roman"/>
        </w:rPr>
        <w:t xml:space="preserve">The court will be astute to ensure that the defendant is not made liable to pay damages in respect of a liability for which it is not properly responsible. In </w:t>
      </w:r>
      <w:r w:rsidRPr="00837C99">
        <w:rPr>
          <w:rFonts w:ascii="Times New Roman" w:hAnsi="Times New Roman" w:cs="Times New Roman"/>
          <w:b/>
          <w:bCs/>
          <w:i/>
          <w:iCs/>
          <w:u w:val="single"/>
        </w:rPr>
        <w:t>John Doyle Construction Limited v Laing Management Scotland Limited</w:t>
      </w:r>
      <w:r w:rsidRPr="00837C99">
        <w:rPr>
          <w:rFonts w:ascii="Times New Roman" w:hAnsi="Times New Roman" w:cs="Times New Roman"/>
        </w:rPr>
        <w:t xml:space="preserve"> </w:t>
      </w:r>
      <w:bookmarkEnd w:id="12"/>
      <w:r w:rsidRPr="00837C99">
        <w:rPr>
          <w:rFonts w:ascii="Times New Roman" w:hAnsi="Times New Roman" w:cs="Times New Roman"/>
        </w:rPr>
        <w:fldChar w:fldCharType="begin"/>
      </w:r>
      <w:r w:rsidRPr="00837C99">
        <w:rPr>
          <w:rFonts w:ascii="Times New Roman" w:hAnsi="Times New Roman" w:cs="Times New Roman"/>
        </w:rPr>
        <w:instrText xml:space="preserve"> HYPERLINK "http://www.bailii.org/scot/cases/ScotCS/2002/11.html" \o "Link to BAILII version" </w:instrText>
      </w:r>
      <w:r w:rsidRPr="00837C99">
        <w:rPr>
          <w:rFonts w:ascii="Times New Roman" w:hAnsi="Times New Roman" w:cs="Times New Roman"/>
        </w:rPr>
        <w:fldChar w:fldCharType="separate"/>
      </w:r>
      <w:r w:rsidRPr="00837C99">
        <w:rPr>
          <w:rStyle w:val="Hyperlink"/>
          <w:rFonts w:ascii="Times New Roman" w:hAnsi="Times New Roman" w:cs="Times New Roman"/>
        </w:rPr>
        <w:t>[2002] Scot CS 11</w:t>
      </w:r>
      <w:r w:rsidRPr="00837C99">
        <w:rPr>
          <w:rFonts w:ascii="Times New Roman" w:hAnsi="Times New Roman" w:cs="Times New Roman"/>
        </w:rPr>
        <w:fldChar w:fldCharType="end"/>
      </w:r>
      <w:r w:rsidRPr="00837C99">
        <w:rPr>
          <w:rFonts w:ascii="Times New Roman" w:hAnsi="Times New Roman" w:cs="Times New Roman"/>
        </w:rPr>
        <w:t xml:space="preserve">, Lord </w:t>
      </w:r>
      <w:proofErr w:type="spellStart"/>
      <w:r w:rsidRPr="00837C99">
        <w:rPr>
          <w:rFonts w:ascii="Times New Roman" w:hAnsi="Times New Roman" w:cs="Times New Roman"/>
        </w:rPr>
        <w:t>MacFadyan</w:t>
      </w:r>
      <w:proofErr w:type="spellEnd"/>
      <w:r w:rsidRPr="00837C99">
        <w:rPr>
          <w:rFonts w:ascii="Times New Roman" w:hAnsi="Times New Roman" w:cs="Times New Roman"/>
        </w:rPr>
        <w:t xml:space="preserve"> said: "The logic of a global claim demands, however, that all the events which contribute to causing the global loss be events for which the Defender is liable. If the causal events include events for which the Defender bears no liability, the effect of upholding the global claim is to impose on the Defender a liability which in part is not legally his. That is unjustified. A global claim, as such, must therefore fail if any material contribution to the causation of the global loss is made by a factor for which the Defender bears no legal liability."</w:t>
      </w:r>
    </w:p>
    <w:p w:rsidR="00754F63" w:rsidRPr="00171D19" w:rsidRDefault="00754F63" w:rsidP="00754F63">
      <w:pPr>
        <w:jc w:val="both"/>
        <w:rPr>
          <w:rFonts w:cstheme="minorHAnsi"/>
        </w:rPr>
      </w:pPr>
      <w:r w:rsidRPr="00171D19">
        <w:rPr>
          <w:rFonts w:cstheme="minorHAnsi"/>
          <w:b/>
        </w:rPr>
        <w:t>6.0</w:t>
      </w:r>
      <w:r w:rsidRPr="00171D19">
        <w:rPr>
          <w:rFonts w:cstheme="minorHAnsi"/>
        </w:rPr>
        <w:t xml:space="preserve"> When disputes erupt, delay claims may be filed, unless compromises are reached. To recover the damage caused by delays, both the delays and the parties responsible for them should be identified. However, delay situations are complex in nature because multiple delays can occur concurrently and can be caused by more than one party, or by none of the principal parties (force majeure, etc.). As a result contract schedule and payment dispute are becoming two most common items of dispute during the construction phase.</w:t>
      </w:r>
    </w:p>
    <w:p w:rsidR="004773C7" w:rsidRDefault="001F76DA" w:rsidP="004773C7">
      <w:pPr>
        <w:pStyle w:val="Default"/>
        <w:jc w:val="both"/>
        <w:rPr>
          <w:rFonts w:asciiTheme="minorHAnsi" w:hAnsiTheme="minorHAnsi" w:cstheme="minorHAnsi"/>
          <w:b/>
          <w:sz w:val="22"/>
          <w:szCs w:val="22"/>
          <w:u w:val="single"/>
        </w:rPr>
      </w:pPr>
      <w:r>
        <w:rPr>
          <w:rFonts w:asciiTheme="minorHAnsi" w:hAnsiTheme="minorHAnsi" w:cstheme="minorHAnsi"/>
          <w:b/>
          <w:sz w:val="22"/>
          <w:szCs w:val="22"/>
          <w:u w:val="single"/>
        </w:rPr>
        <w:t>6</w:t>
      </w:r>
      <w:r w:rsidR="00754F63">
        <w:rPr>
          <w:rFonts w:asciiTheme="minorHAnsi" w:hAnsiTheme="minorHAnsi" w:cstheme="minorHAnsi"/>
          <w:b/>
          <w:sz w:val="22"/>
          <w:szCs w:val="22"/>
          <w:u w:val="single"/>
        </w:rPr>
        <w:t>.1</w:t>
      </w:r>
      <w:r w:rsidR="004773C7">
        <w:rPr>
          <w:rFonts w:asciiTheme="minorHAnsi" w:hAnsiTheme="minorHAnsi" w:cstheme="minorHAnsi"/>
          <w:b/>
          <w:sz w:val="22"/>
          <w:szCs w:val="22"/>
          <w:u w:val="single"/>
        </w:rPr>
        <w:t xml:space="preserve"> </w:t>
      </w:r>
      <w:r w:rsidR="004773C7" w:rsidRPr="00812113">
        <w:rPr>
          <w:rFonts w:asciiTheme="minorHAnsi" w:hAnsiTheme="minorHAnsi" w:cstheme="minorHAnsi"/>
          <w:b/>
          <w:sz w:val="22"/>
          <w:szCs w:val="22"/>
          <w:u w:val="single"/>
        </w:rPr>
        <w:t>Delay Analysis type:</w:t>
      </w:r>
    </w:p>
    <w:p w:rsidR="004773C7" w:rsidRPr="00DA7C67" w:rsidRDefault="004773C7" w:rsidP="004773C7">
      <w:pPr>
        <w:autoSpaceDE w:val="0"/>
        <w:autoSpaceDN w:val="0"/>
        <w:adjustRightInd w:val="0"/>
        <w:spacing w:after="0" w:line="240" w:lineRule="auto"/>
        <w:jc w:val="both"/>
        <w:rPr>
          <w:rFonts w:asciiTheme="majorBidi" w:hAnsiTheme="majorBidi" w:cstheme="majorBidi"/>
          <w:sz w:val="18"/>
          <w:szCs w:val="18"/>
        </w:rPr>
      </w:pPr>
      <w:r w:rsidRPr="00305483">
        <w:rPr>
          <w:rFonts w:cstheme="minorHAnsi"/>
        </w:rPr>
        <w:t>(A cause) and thereafter seek to establish its impact (the effect) – these are cause and effect type analyses. Other methods start with identifying critical delay (an effect) and thereafter seek to establish what might have caused that delay – these are effect and cause type analyses</w:t>
      </w:r>
      <w:r w:rsidRPr="00DA7C67">
        <w:rPr>
          <w:rFonts w:asciiTheme="majorBidi" w:hAnsiTheme="majorBidi" w:cstheme="majorBidi"/>
          <w:sz w:val="18"/>
          <w:szCs w:val="18"/>
        </w:rPr>
        <w:t>.</w:t>
      </w:r>
      <w:r>
        <w:rPr>
          <w:rFonts w:asciiTheme="majorBidi" w:hAnsiTheme="majorBidi" w:cstheme="majorBidi"/>
          <w:sz w:val="18"/>
          <w:szCs w:val="18"/>
        </w:rPr>
        <w:t xml:space="preserve">     </w:t>
      </w:r>
    </w:p>
    <w:p w:rsidR="004773C7" w:rsidRPr="00DA7C67" w:rsidRDefault="004773C7" w:rsidP="004773C7">
      <w:pPr>
        <w:autoSpaceDE w:val="0"/>
        <w:autoSpaceDN w:val="0"/>
        <w:adjustRightInd w:val="0"/>
        <w:spacing w:after="0" w:line="240" w:lineRule="auto"/>
        <w:jc w:val="both"/>
        <w:rPr>
          <w:rFonts w:asciiTheme="majorBidi" w:hAnsiTheme="majorBidi" w:cstheme="majorBidi"/>
          <w:sz w:val="18"/>
          <w:szCs w:val="18"/>
        </w:rPr>
      </w:pPr>
    </w:p>
    <w:tbl>
      <w:tblPr>
        <w:tblStyle w:val="TableGrid"/>
        <w:tblW w:w="0" w:type="auto"/>
        <w:tblLook w:val="04A0" w:firstRow="1" w:lastRow="0" w:firstColumn="1" w:lastColumn="0" w:noHBand="0" w:noVBand="1"/>
      </w:tblPr>
      <w:tblGrid>
        <w:gridCol w:w="4711"/>
        <w:gridCol w:w="4865"/>
      </w:tblGrid>
      <w:tr w:rsidR="004773C7" w:rsidRPr="00D32648" w:rsidTr="00CF38B4">
        <w:tc>
          <w:tcPr>
            <w:tcW w:w="647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4773C7" w:rsidRPr="00D32648" w:rsidRDefault="004773C7" w:rsidP="004E4A70">
            <w:pPr>
              <w:autoSpaceDE w:val="0"/>
              <w:autoSpaceDN w:val="0"/>
              <w:adjustRightInd w:val="0"/>
              <w:jc w:val="center"/>
              <w:rPr>
                <w:rFonts w:cstheme="minorHAnsi"/>
                <w:sz w:val="20"/>
                <w:szCs w:val="20"/>
              </w:rPr>
            </w:pPr>
            <w:r w:rsidRPr="00D32648">
              <w:rPr>
                <w:rFonts w:ascii="Arial" w:hAnsi="Arial" w:cs="Arial"/>
                <w:sz w:val="20"/>
                <w:szCs w:val="20"/>
              </w:rPr>
              <w:t>▼</w:t>
            </w:r>
            <w:r w:rsidRPr="00D32648">
              <w:rPr>
                <w:rFonts w:cstheme="minorHAnsi"/>
                <w:b/>
                <w:sz w:val="20"/>
                <w:szCs w:val="20"/>
              </w:rPr>
              <w:t xml:space="preserve"> Effect and cause type analysis</w:t>
            </w:r>
          </w:p>
        </w:tc>
        <w:tc>
          <w:tcPr>
            <w:tcW w:w="647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4773C7" w:rsidRPr="00D32648" w:rsidRDefault="004773C7" w:rsidP="004E4A70">
            <w:pPr>
              <w:autoSpaceDE w:val="0"/>
              <w:autoSpaceDN w:val="0"/>
              <w:adjustRightInd w:val="0"/>
              <w:jc w:val="center"/>
              <w:rPr>
                <w:rFonts w:cstheme="minorHAnsi"/>
                <w:b/>
                <w:sz w:val="20"/>
                <w:szCs w:val="20"/>
              </w:rPr>
            </w:pPr>
            <w:r w:rsidRPr="00D32648">
              <w:rPr>
                <w:rFonts w:ascii="Arial" w:hAnsi="Arial" w:cs="Arial"/>
                <w:b/>
                <w:sz w:val="20"/>
                <w:szCs w:val="20"/>
              </w:rPr>
              <w:t>▼</w:t>
            </w:r>
            <w:r w:rsidRPr="00D32648">
              <w:rPr>
                <w:rFonts w:cstheme="minorHAnsi"/>
                <w:b/>
                <w:sz w:val="20"/>
                <w:szCs w:val="20"/>
              </w:rPr>
              <w:t xml:space="preserve"> Cause and effect type analysis</w:t>
            </w:r>
          </w:p>
        </w:tc>
      </w:tr>
      <w:tr w:rsidR="004773C7" w:rsidRPr="00D32648" w:rsidTr="004E4A70">
        <w:tc>
          <w:tcPr>
            <w:tcW w:w="6475" w:type="dxa"/>
            <w:tcBorders>
              <w:top w:val="single" w:sz="12" w:space="0" w:color="auto"/>
              <w:left w:val="single" w:sz="12" w:space="0" w:color="auto"/>
              <w:bottom w:val="single" w:sz="12" w:space="0" w:color="auto"/>
              <w:right w:val="single" w:sz="12" w:space="0" w:color="auto"/>
            </w:tcBorders>
          </w:tcPr>
          <w:p w:rsidR="004773C7" w:rsidRPr="00D32648" w:rsidRDefault="004773C7" w:rsidP="004E4A70">
            <w:pPr>
              <w:autoSpaceDE w:val="0"/>
              <w:autoSpaceDN w:val="0"/>
              <w:adjustRightInd w:val="0"/>
              <w:jc w:val="both"/>
              <w:rPr>
                <w:rFonts w:cstheme="minorHAnsi"/>
                <w:sz w:val="20"/>
                <w:szCs w:val="20"/>
              </w:rPr>
            </w:pPr>
            <w:r w:rsidRPr="00D32648">
              <w:rPr>
                <w:rFonts w:cstheme="minorHAnsi"/>
                <w:sz w:val="20"/>
                <w:szCs w:val="20"/>
              </w:rPr>
              <w:t xml:space="preserve">Where the EOT application is assessed after completion of the works, or significantly after the effect of an Employer Risk Event, then the effect and cause methods are generally considered to be more forensically reliable because they consider any and all potential causes of the delay incurred. The effect-based approach investigates the as-built programme to identify the deviations from the as-planned programme which are the effects of delay events.   </w:t>
            </w:r>
            <w:r w:rsidRPr="00D32648">
              <w:rPr>
                <w:rFonts w:ascii="Arial" w:hAnsi="Arial" w:cs="Arial"/>
                <w:sz w:val="20"/>
                <w:szCs w:val="20"/>
              </w:rPr>
              <w:t>◄</w:t>
            </w:r>
          </w:p>
        </w:tc>
        <w:tc>
          <w:tcPr>
            <w:tcW w:w="6475" w:type="dxa"/>
            <w:tcBorders>
              <w:top w:val="single" w:sz="12" w:space="0" w:color="auto"/>
              <w:left w:val="single" w:sz="12" w:space="0" w:color="auto"/>
              <w:bottom w:val="single" w:sz="12" w:space="0" w:color="auto"/>
              <w:right w:val="single" w:sz="12" w:space="0" w:color="auto"/>
            </w:tcBorders>
          </w:tcPr>
          <w:p w:rsidR="004773C7" w:rsidRPr="00D32648" w:rsidRDefault="004773C7" w:rsidP="004E4A70">
            <w:pPr>
              <w:autoSpaceDE w:val="0"/>
              <w:autoSpaceDN w:val="0"/>
              <w:adjustRightInd w:val="0"/>
              <w:jc w:val="both"/>
              <w:rPr>
                <w:rFonts w:cstheme="minorHAnsi"/>
                <w:sz w:val="20"/>
                <w:szCs w:val="20"/>
              </w:rPr>
            </w:pPr>
            <w:r w:rsidRPr="00D32648">
              <w:rPr>
                <w:rFonts w:cstheme="minorHAnsi"/>
                <w:sz w:val="20"/>
                <w:szCs w:val="20"/>
              </w:rPr>
              <w:t>when there is a discrete Employer Risk Event and the EOT application is being made contemporaneously, then the cause and effect methods are generally employed, The cause-based approach sets a set of issues, events and potential delay events first. And then it attempts to measure the effects of those causes based on a baseline programme. The cause-based approach must be clear cut events. The cause-based approach requires a reliable as-planned programme as it must verify that identified events were not counted at the as-planned status.</w:t>
            </w:r>
            <w:r w:rsidRPr="00D32648">
              <w:rPr>
                <w:rFonts w:ascii="Arial" w:hAnsi="Arial" w:cs="Arial"/>
                <w:sz w:val="20"/>
                <w:szCs w:val="20"/>
              </w:rPr>
              <w:t>◄</w:t>
            </w:r>
          </w:p>
        </w:tc>
      </w:tr>
      <w:tr w:rsidR="004773C7" w:rsidRPr="00D32648" w:rsidTr="004E4A70">
        <w:tc>
          <w:tcPr>
            <w:tcW w:w="6475" w:type="dxa"/>
            <w:tcBorders>
              <w:top w:val="single" w:sz="12" w:space="0" w:color="auto"/>
              <w:left w:val="single" w:sz="12" w:space="0" w:color="auto"/>
              <w:bottom w:val="single" w:sz="12" w:space="0" w:color="auto"/>
              <w:right w:val="single" w:sz="12" w:space="0" w:color="auto"/>
            </w:tcBorders>
          </w:tcPr>
          <w:p w:rsidR="004773C7" w:rsidRPr="00D32648" w:rsidRDefault="004773C7" w:rsidP="004E4A70">
            <w:pPr>
              <w:autoSpaceDE w:val="0"/>
              <w:autoSpaceDN w:val="0"/>
              <w:adjustRightInd w:val="0"/>
              <w:jc w:val="both"/>
              <w:rPr>
                <w:rFonts w:cstheme="minorHAnsi"/>
                <w:sz w:val="20"/>
                <w:szCs w:val="20"/>
              </w:rPr>
            </w:pPr>
            <w:r w:rsidRPr="00D32648">
              <w:rPr>
                <w:rFonts w:cstheme="minorHAnsi"/>
                <w:sz w:val="20"/>
                <w:szCs w:val="20"/>
              </w:rPr>
              <w:t>●Time slice windows analysis</w:t>
            </w:r>
          </w:p>
          <w:p w:rsidR="004773C7" w:rsidRPr="00D32648" w:rsidRDefault="004773C7" w:rsidP="004E4A70">
            <w:pPr>
              <w:autoSpaceDE w:val="0"/>
              <w:autoSpaceDN w:val="0"/>
              <w:adjustRightInd w:val="0"/>
              <w:jc w:val="both"/>
              <w:rPr>
                <w:rFonts w:cstheme="minorHAnsi"/>
                <w:sz w:val="20"/>
                <w:szCs w:val="20"/>
              </w:rPr>
            </w:pPr>
            <w:r w:rsidRPr="00D32648">
              <w:rPr>
                <w:rFonts w:cstheme="minorHAnsi"/>
                <w:sz w:val="20"/>
                <w:szCs w:val="20"/>
              </w:rPr>
              <w:lastRenderedPageBreak/>
              <w:t>● As-planned vs. as-built window analysis</w:t>
            </w:r>
          </w:p>
          <w:p w:rsidR="004773C7" w:rsidRPr="00D32648" w:rsidRDefault="004773C7" w:rsidP="004E4A70">
            <w:pPr>
              <w:autoSpaceDE w:val="0"/>
              <w:autoSpaceDN w:val="0"/>
              <w:adjustRightInd w:val="0"/>
              <w:jc w:val="both"/>
              <w:rPr>
                <w:rFonts w:cstheme="minorHAnsi"/>
                <w:sz w:val="20"/>
                <w:szCs w:val="20"/>
              </w:rPr>
            </w:pPr>
            <w:r w:rsidRPr="00D32648">
              <w:rPr>
                <w:rFonts w:cstheme="minorHAnsi"/>
                <w:sz w:val="20"/>
                <w:szCs w:val="20"/>
              </w:rPr>
              <w:t>●Retrospective longest path analysis</w:t>
            </w:r>
          </w:p>
        </w:tc>
        <w:tc>
          <w:tcPr>
            <w:tcW w:w="6475" w:type="dxa"/>
            <w:tcBorders>
              <w:top w:val="single" w:sz="12" w:space="0" w:color="auto"/>
              <w:left w:val="single" w:sz="12" w:space="0" w:color="auto"/>
              <w:bottom w:val="single" w:sz="12" w:space="0" w:color="auto"/>
              <w:right w:val="single" w:sz="12" w:space="0" w:color="auto"/>
            </w:tcBorders>
          </w:tcPr>
          <w:p w:rsidR="004773C7" w:rsidRPr="00D32648" w:rsidRDefault="004773C7" w:rsidP="004E4A70">
            <w:pPr>
              <w:autoSpaceDE w:val="0"/>
              <w:autoSpaceDN w:val="0"/>
              <w:adjustRightInd w:val="0"/>
              <w:jc w:val="both"/>
              <w:rPr>
                <w:rFonts w:cstheme="minorHAnsi"/>
                <w:sz w:val="20"/>
                <w:szCs w:val="20"/>
              </w:rPr>
            </w:pPr>
            <w:r w:rsidRPr="00D32648">
              <w:rPr>
                <w:rFonts w:cstheme="minorHAnsi"/>
                <w:sz w:val="20"/>
                <w:szCs w:val="20"/>
              </w:rPr>
              <w:lastRenderedPageBreak/>
              <w:t>● Impacted as-planned analysis</w:t>
            </w:r>
          </w:p>
          <w:p w:rsidR="004773C7" w:rsidRPr="00D32648" w:rsidRDefault="004773C7" w:rsidP="004E4A70">
            <w:pPr>
              <w:autoSpaceDE w:val="0"/>
              <w:autoSpaceDN w:val="0"/>
              <w:adjustRightInd w:val="0"/>
              <w:jc w:val="both"/>
              <w:rPr>
                <w:rFonts w:cstheme="minorHAnsi"/>
                <w:sz w:val="20"/>
                <w:szCs w:val="20"/>
              </w:rPr>
            </w:pPr>
            <w:r w:rsidRPr="00D32648">
              <w:rPr>
                <w:rFonts w:cstheme="minorHAnsi"/>
                <w:sz w:val="20"/>
                <w:szCs w:val="20"/>
              </w:rPr>
              <w:lastRenderedPageBreak/>
              <w:t>● Time Impact Analysis</w:t>
            </w:r>
          </w:p>
          <w:p w:rsidR="004773C7" w:rsidRPr="00D32648" w:rsidRDefault="004773C7" w:rsidP="004E4A70">
            <w:pPr>
              <w:autoSpaceDE w:val="0"/>
              <w:autoSpaceDN w:val="0"/>
              <w:adjustRightInd w:val="0"/>
              <w:jc w:val="both"/>
              <w:rPr>
                <w:rFonts w:cstheme="minorHAnsi"/>
                <w:sz w:val="20"/>
                <w:szCs w:val="20"/>
              </w:rPr>
            </w:pPr>
            <w:r w:rsidRPr="00D32648">
              <w:rPr>
                <w:rFonts w:cstheme="minorHAnsi"/>
                <w:sz w:val="20"/>
                <w:szCs w:val="20"/>
              </w:rPr>
              <w:t>● collapsed as-built analysis</w:t>
            </w:r>
          </w:p>
        </w:tc>
      </w:tr>
    </w:tbl>
    <w:p w:rsidR="004773C7" w:rsidRPr="00D32648" w:rsidRDefault="004773C7" w:rsidP="004773C7">
      <w:pPr>
        <w:pStyle w:val="Default"/>
        <w:jc w:val="both"/>
        <w:rPr>
          <w:rFonts w:asciiTheme="minorHAnsi" w:hAnsiTheme="minorHAnsi" w:cstheme="minorHAnsi"/>
          <w:sz w:val="20"/>
          <w:szCs w:val="20"/>
        </w:rPr>
      </w:pPr>
    </w:p>
    <w:p w:rsidR="004773C7" w:rsidRPr="00812113" w:rsidRDefault="00305483" w:rsidP="004773C7">
      <w:pPr>
        <w:pStyle w:val="Default"/>
        <w:jc w:val="both"/>
        <w:rPr>
          <w:rFonts w:asciiTheme="minorHAnsi" w:hAnsiTheme="minorHAnsi" w:cstheme="minorHAnsi"/>
          <w:sz w:val="22"/>
          <w:szCs w:val="22"/>
        </w:rPr>
      </w:pPr>
      <w:r>
        <w:rPr>
          <w:rFonts w:asciiTheme="minorHAnsi" w:hAnsiTheme="minorHAnsi" w:cstheme="minorHAnsi"/>
          <w:b/>
          <w:sz w:val="22"/>
          <w:szCs w:val="22"/>
        </w:rPr>
        <w:t>7.0</w:t>
      </w:r>
      <w:r w:rsidR="00A56D11">
        <w:rPr>
          <w:rFonts w:asciiTheme="minorHAnsi" w:hAnsiTheme="minorHAnsi" w:cstheme="minorHAnsi"/>
          <w:sz w:val="22"/>
          <w:szCs w:val="22"/>
        </w:rPr>
        <w:t xml:space="preserve"> </w:t>
      </w:r>
      <w:r w:rsidR="004773C7" w:rsidRPr="00812113">
        <w:rPr>
          <w:rFonts w:asciiTheme="minorHAnsi" w:hAnsiTheme="minorHAnsi" w:cstheme="minorHAnsi"/>
          <w:sz w:val="22"/>
          <w:szCs w:val="22"/>
        </w:rPr>
        <w:t>Once the list of delay events is identified, the liable party for each delay event is identified. A contract document shall clearly stipulate the liable party for risk events. If delay is caused by a delay event that the Employer is liable for, the Contractor has the entitlement for extension of time. On the contrary, delay is caused by a delay event that the Contractor is liable for, the Contractor shall pay ‘liquidated damage’.</w:t>
      </w:r>
    </w:p>
    <w:p w:rsidR="00B95486" w:rsidRDefault="00B95486" w:rsidP="00295A13">
      <w:pPr>
        <w:pStyle w:val="Default"/>
        <w:jc w:val="both"/>
        <w:rPr>
          <w:rFonts w:asciiTheme="minorHAnsi" w:hAnsiTheme="minorHAnsi" w:cstheme="minorHAnsi"/>
          <w:sz w:val="22"/>
          <w:szCs w:val="22"/>
        </w:rPr>
      </w:pPr>
    </w:p>
    <w:p w:rsidR="00171D19" w:rsidRDefault="00305483" w:rsidP="00305483">
      <w:pPr>
        <w:pStyle w:val="Default"/>
        <w:jc w:val="both"/>
        <w:rPr>
          <w:rFonts w:cstheme="minorHAnsi"/>
          <w:b/>
          <w:bCs/>
        </w:rPr>
      </w:pPr>
      <w:r>
        <w:rPr>
          <w:rFonts w:asciiTheme="minorHAnsi" w:hAnsiTheme="minorHAnsi" w:cstheme="minorHAnsi"/>
          <w:b/>
          <w:sz w:val="22"/>
          <w:szCs w:val="22"/>
        </w:rPr>
        <w:t>7.1</w:t>
      </w:r>
      <w:r w:rsidR="00A56D11">
        <w:rPr>
          <w:rFonts w:asciiTheme="minorHAnsi" w:hAnsiTheme="minorHAnsi" w:cstheme="minorHAnsi"/>
          <w:sz w:val="22"/>
          <w:szCs w:val="22"/>
        </w:rPr>
        <w:t xml:space="preserve"> </w:t>
      </w:r>
      <w:r w:rsidR="007B6FB7" w:rsidRPr="00812113">
        <w:rPr>
          <w:rFonts w:asciiTheme="minorHAnsi" w:hAnsiTheme="minorHAnsi" w:cstheme="minorHAnsi"/>
          <w:sz w:val="22"/>
          <w:szCs w:val="22"/>
        </w:rPr>
        <w:t xml:space="preserve">Delay Analysis is an investigation (usually forensic) into what has caused the project to run late and who is responsible for the delay events. </w:t>
      </w:r>
    </w:p>
    <w:p w:rsidR="00171D19" w:rsidRDefault="00171D19" w:rsidP="00812113">
      <w:pPr>
        <w:autoSpaceDE w:val="0"/>
        <w:autoSpaceDN w:val="0"/>
        <w:adjustRightInd w:val="0"/>
        <w:spacing w:after="0" w:line="240" w:lineRule="auto"/>
        <w:jc w:val="both"/>
        <w:rPr>
          <w:rFonts w:cstheme="minorHAnsi"/>
          <w:b/>
          <w:bCs/>
        </w:rPr>
      </w:pPr>
    </w:p>
    <w:p w:rsidR="00812113" w:rsidRPr="003F069C" w:rsidRDefault="008326FC" w:rsidP="00812113">
      <w:pPr>
        <w:autoSpaceDE w:val="0"/>
        <w:autoSpaceDN w:val="0"/>
        <w:adjustRightInd w:val="0"/>
        <w:spacing w:after="0" w:line="240" w:lineRule="auto"/>
        <w:jc w:val="both"/>
        <w:rPr>
          <w:rFonts w:cstheme="minorHAnsi"/>
        </w:rPr>
      </w:pPr>
      <w:r w:rsidRPr="003F069C">
        <w:rPr>
          <w:rFonts w:cstheme="minorHAnsi"/>
          <w:b/>
          <w:bCs/>
        </w:rPr>
        <w:t>7.</w:t>
      </w:r>
      <w:r>
        <w:rPr>
          <w:rFonts w:cstheme="minorHAnsi"/>
          <w:b/>
          <w:bCs/>
        </w:rPr>
        <w:t>2</w:t>
      </w:r>
      <w:r w:rsidRPr="003F069C">
        <w:rPr>
          <w:rFonts w:cstheme="minorHAnsi"/>
          <w:b/>
          <w:bCs/>
          <w:vertAlign w:val="superscript"/>
        </w:rPr>
        <w:t xml:space="preserve"> </w:t>
      </w:r>
      <w:r w:rsidRPr="003F069C">
        <w:rPr>
          <w:rFonts w:cstheme="minorHAnsi"/>
        </w:rPr>
        <w:t>Many</w:t>
      </w:r>
      <w:r w:rsidR="00812113" w:rsidRPr="003F069C">
        <w:rPr>
          <w:rFonts w:cstheme="minorHAnsi"/>
        </w:rPr>
        <w:t xml:space="preserve"> delay analysis methods have been present in the literature .They can be categorized as process based, mathematical and computer-based models. The famous process-based methods include the global impact, net impact, adjusted as-built CPM, as-planned expanded, but-for, snapshot, time impact, windows and isolated delay type techniques. Mathematical models are developed to help delay analysts to calculate accurately the delay impact of a single activity on a project. Computer based model are designed to help delay analyst to collect and record required data (or information) and running definite delay analyses.</w:t>
      </w:r>
    </w:p>
    <w:p w:rsidR="00812113" w:rsidRPr="003F069C" w:rsidRDefault="00812113" w:rsidP="00812113">
      <w:pPr>
        <w:autoSpaceDE w:val="0"/>
        <w:autoSpaceDN w:val="0"/>
        <w:adjustRightInd w:val="0"/>
        <w:spacing w:after="0" w:line="240" w:lineRule="auto"/>
        <w:jc w:val="both"/>
        <w:rPr>
          <w:rFonts w:cstheme="minorHAnsi"/>
        </w:rPr>
      </w:pPr>
    </w:p>
    <w:p w:rsidR="00812113" w:rsidRPr="003F069C" w:rsidRDefault="00812113" w:rsidP="00812113">
      <w:pPr>
        <w:autoSpaceDE w:val="0"/>
        <w:autoSpaceDN w:val="0"/>
        <w:adjustRightInd w:val="0"/>
        <w:spacing w:after="0" w:line="240" w:lineRule="auto"/>
        <w:jc w:val="both"/>
        <w:rPr>
          <w:rFonts w:cstheme="minorHAnsi"/>
        </w:rPr>
      </w:pPr>
      <w:r w:rsidRPr="003F069C">
        <w:rPr>
          <w:rFonts w:cstheme="minorHAnsi"/>
        </w:rPr>
        <w:t xml:space="preserve">Process-based methods can be further categorized as (1) concept method, (2) </w:t>
      </w:r>
      <w:r w:rsidR="00754F63" w:rsidRPr="003F069C">
        <w:rPr>
          <w:rFonts w:cstheme="minorHAnsi"/>
        </w:rPr>
        <w:t xml:space="preserve">(Prospective) </w:t>
      </w:r>
      <w:r w:rsidRPr="003F069C">
        <w:rPr>
          <w:rFonts w:cstheme="minorHAnsi"/>
        </w:rPr>
        <w:t xml:space="preserve">forward path method, (3) </w:t>
      </w:r>
      <w:r w:rsidR="00005071" w:rsidRPr="003F069C">
        <w:rPr>
          <w:rFonts w:cstheme="minorHAnsi"/>
        </w:rPr>
        <w:t xml:space="preserve">(Retrospective) </w:t>
      </w:r>
      <w:r w:rsidRPr="003F069C">
        <w:rPr>
          <w:rFonts w:cstheme="minorHAnsi"/>
        </w:rPr>
        <w:t>backward path</w:t>
      </w:r>
      <w:r w:rsidR="002529B2" w:rsidRPr="003F069C">
        <w:rPr>
          <w:rFonts w:cstheme="minorHAnsi"/>
        </w:rPr>
        <w:t xml:space="preserve"> </w:t>
      </w:r>
      <w:r w:rsidRPr="003F069C">
        <w:rPr>
          <w:rFonts w:cstheme="minorHAnsi"/>
        </w:rPr>
        <w:t>method and (4) dynamic method.</w:t>
      </w:r>
    </w:p>
    <w:p w:rsidR="00812113" w:rsidRPr="003F069C" w:rsidRDefault="00812113" w:rsidP="00812113">
      <w:pPr>
        <w:autoSpaceDE w:val="0"/>
        <w:autoSpaceDN w:val="0"/>
        <w:adjustRightInd w:val="0"/>
        <w:spacing w:after="0" w:line="240" w:lineRule="auto"/>
        <w:jc w:val="both"/>
        <w:rPr>
          <w:rFonts w:cstheme="minorHAnsi"/>
        </w:rPr>
      </w:pPr>
    </w:p>
    <w:p w:rsidR="00812113" w:rsidRPr="003F069C" w:rsidRDefault="00812113" w:rsidP="00812113">
      <w:pPr>
        <w:autoSpaceDE w:val="0"/>
        <w:autoSpaceDN w:val="0"/>
        <w:adjustRightInd w:val="0"/>
        <w:spacing w:after="0" w:line="240" w:lineRule="auto"/>
        <w:jc w:val="both"/>
        <w:rPr>
          <w:rFonts w:cstheme="minorHAnsi"/>
        </w:rPr>
      </w:pPr>
      <w:r w:rsidRPr="003F069C">
        <w:rPr>
          <w:rFonts w:cstheme="minorHAnsi"/>
        </w:rPr>
        <w:t>The concept method simply calculates delay value by examining final schedule evidence; the forward path method systematically calculates the delay value from an as-planned schedule to an as-built schedule; the backward path method systematically calculates the delay value from an as-built schedule to an as planned schedule; and the dynamic method systematically calculates the delay value in specific time frames forward or backward from as-planned and as-built schedules.</w:t>
      </w:r>
      <w:r w:rsidR="00FA452D" w:rsidRPr="003F069C">
        <w:rPr>
          <w:rFonts w:cstheme="minorHAnsi"/>
        </w:rPr>
        <w:t xml:space="preserve"> The suitability of a delay analysis technique dependent on the availability and accuracy of project records.</w:t>
      </w:r>
    </w:p>
    <w:p w:rsidR="000574B8" w:rsidRPr="003F069C" w:rsidRDefault="000574B8" w:rsidP="00812113">
      <w:pPr>
        <w:autoSpaceDE w:val="0"/>
        <w:autoSpaceDN w:val="0"/>
        <w:adjustRightInd w:val="0"/>
        <w:spacing w:after="0" w:line="240" w:lineRule="auto"/>
        <w:jc w:val="both"/>
        <w:rPr>
          <w:rFonts w:cstheme="minorHAnsi"/>
        </w:rPr>
      </w:pPr>
    </w:p>
    <w:p w:rsidR="000574B8" w:rsidRPr="003F069C" w:rsidRDefault="001F76DA" w:rsidP="000574B8">
      <w:pPr>
        <w:autoSpaceDE w:val="0"/>
        <w:autoSpaceDN w:val="0"/>
        <w:adjustRightInd w:val="0"/>
        <w:spacing w:after="0" w:line="240" w:lineRule="auto"/>
        <w:jc w:val="both"/>
        <w:rPr>
          <w:rFonts w:cstheme="minorHAnsi"/>
          <w:color w:val="000000"/>
        </w:rPr>
      </w:pPr>
      <w:r w:rsidRPr="003F069C">
        <w:rPr>
          <w:rFonts w:cstheme="minorHAnsi"/>
          <w:b/>
        </w:rPr>
        <w:t>7.</w:t>
      </w:r>
      <w:r w:rsidR="008326FC">
        <w:rPr>
          <w:rFonts w:cstheme="minorHAnsi"/>
          <w:b/>
        </w:rPr>
        <w:t>3</w:t>
      </w:r>
      <w:r w:rsidRPr="003F069C">
        <w:rPr>
          <w:rFonts w:cstheme="minorHAnsi"/>
          <w:b/>
        </w:rPr>
        <w:t xml:space="preserve"> </w:t>
      </w:r>
      <w:r w:rsidR="000574B8" w:rsidRPr="003F069C">
        <w:rPr>
          <w:rFonts w:cstheme="minorHAnsi"/>
          <w:b/>
        </w:rPr>
        <w:t xml:space="preserve">Global Impact technique: </w:t>
      </w:r>
      <w:r w:rsidR="000574B8" w:rsidRPr="003F069C">
        <w:rPr>
          <w:rFonts w:cstheme="minorHAnsi"/>
          <w:color w:val="000000"/>
        </w:rPr>
        <w:t xml:space="preserve">This method requires planned schedule (not necessary based on Critical Path Method), list of delay events caused by one party (owner, for example) with known durations. It is a retrospective schedule impact analysis technique that plots all delays on an as-built bar chart, equating the total delay to be the sum total of the durations of all delaying events. The application procedure is as follows: the owner-caused delay periods are simply added to the end of the planned completion date, and then the actual completion date is compared with a calculated date. If the latter is equal or later than actual completion date, the contractor is entitled to full extension of time. </w:t>
      </w:r>
    </w:p>
    <w:p w:rsidR="000574B8" w:rsidRPr="003F069C" w:rsidRDefault="000574B8" w:rsidP="000574B8">
      <w:pPr>
        <w:autoSpaceDE w:val="0"/>
        <w:autoSpaceDN w:val="0"/>
        <w:adjustRightInd w:val="0"/>
        <w:spacing w:after="0" w:line="240" w:lineRule="auto"/>
        <w:jc w:val="both"/>
        <w:rPr>
          <w:rFonts w:cstheme="minorHAnsi"/>
          <w:color w:val="000000"/>
        </w:rPr>
      </w:pPr>
    </w:p>
    <w:p w:rsidR="000574B8" w:rsidRPr="003F069C" w:rsidRDefault="000574B8" w:rsidP="000574B8">
      <w:pPr>
        <w:autoSpaceDE w:val="0"/>
        <w:autoSpaceDN w:val="0"/>
        <w:adjustRightInd w:val="0"/>
        <w:spacing w:after="0" w:line="240" w:lineRule="auto"/>
        <w:jc w:val="both"/>
        <w:rPr>
          <w:rFonts w:cstheme="minorHAnsi"/>
          <w:color w:val="000000"/>
        </w:rPr>
      </w:pPr>
      <w:r w:rsidRPr="003F069C">
        <w:rPr>
          <w:rFonts w:cstheme="minorHAnsi"/>
          <w:color w:val="000000"/>
        </w:rPr>
        <w:t xml:space="preserve">The advantages of this method are that it is simple to use and no CPM is required. The disadvantages are that concurrent delays are ignored in this method; the types of delays are also ignored; and it assumes that all delays affect project completion. </w:t>
      </w:r>
    </w:p>
    <w:p w:rsidR="000574B8" w:rsidRPr="003F069C" w:rsidRDefault="000574B8" w:rsidP="000574B8">
      <w:pPr>
        <w:autoSpaceDE w:val="0"/>
        <w:autoSpaceDN w:val="0"/>
        <w:adjustRightInd w:val="0"/>
        <w:spacing w:after="0" w:line="240" w:lineRule="auto"/>
        <w:jc w:val="both"/>
        <w:rPr>
          <w:rFonts w:cstheme="minorHAnsi"/>
          <w:color w:val="000000"/>
        </w:rPr>
      </w:pPr>
    </w:p>
    <w:p w:rsidR="00800968" w:rsidRPr="003F069C" w:rsidRDefault="008326FC" w:rsidP="00800968">
      <w:pPr>
        <w:autoSpaceDE w:val="0"/>
        <w:autoSpaceDN w:val="0"/>
        <w:adjustRightInd w:val="0"/>
        <w:spacing w:after="0" w:line="240" w:lineRule="auto"/>
        <w:jc w:val="both"/>
        <w:rPr>
          <w:rFonts w:cstheme="minorHAnsi"/>
        </w:rPr>
      </w:pPr>
      <w:r>
        <w:rPr>
          <w:rFonts w:cstheme="minorHAnsi"/>
          <w:b/>
          <w:bCs/>
          <w:color w:val="000000"/>
        </w:rPr>
        <w:t>7.4</w:t>
      </w:r>
      <w:r w:rsidR="001F76DA" w:rsidRPr="003F069C">
        <w:rPr>
          <w:rFonts w:cstheme="minorHAnsi"/>
          <w:b/>
          <w:bCs/>
          <w:color w:val="000000"/>
        </w:rPr>
        <w:t xml:space="preserve"> </w:t>
      </w:r>
      <w:r w:rsidR="00800968" w:rsidRPr="003F069C">
        <w:rPr>
          <w:rFonts w:cstheme="minorHAnsi"/>
          <w:b/>
          <w:bCs/>
          <w:color w:val="000000"/>
        </w:rPr>
        <w:t xml:space="preserve">Net Impact Method: </w:t>
      </w:r>
      <w:r w:rsidR="00800968" w:rsidRPr="003F069C">
        <w:rPr>
          <w:rFonts w:cstheme="minorHAnsi"/>
        </w:rPr>
        <w:t>This method is the same as Global Impact Method except here we are also considering the issue of concurrency of delays. It is a retrospective schedule impact analysis technique that attempts to justify time extension by showing all delaying events on an as-built bar chart, claiming total project delay is the claim for time extension. The method requires planned schedule and a list of delay events caused by one party. If two or more listed events happened at the same time, only the longest one is considered. Calculations procedure is the same as for Global Impact Method.</w:t>
      </w:r>
    </w:p>
    <w:p w:rsidR="0013623C" w:rsidRPr="003F069C" w:rsidRDefault="0013623C" w:rsidP="00800968">
      <w:pPr>
        <w:autoSpaceDE w:val="0"/>
        <w:autoSpaceDN w:val="0"/>
        <w:adjustRightInd w:val="0"/>
        <w:spacing w:after="0" w:line="240" w:lineRule="auto"/>
        <w:jc w:val="both"/>
        <w:rPr>
          <w:rFonts w:cstheme="minorHAnsi"/>
          <w:b/>
        </w:rPr>
      </w:pPr>
    </w:p>
    <w:p w:rsidR="00CF38B4" w:rsidRDefault="008326FC" w:rsidP="00D32648">
      <w:pPr>
        <w:autoSpaceDE w:val="0"/>
        <w:autoSpaceDN w:val="0"/>
        <w:adjustRightInd w:val="0"/>
        <w:spacing w:after="0" w:line="240" w:lineRule="auto"/>
        <w:jc w:val="both"/>
        <w:rPr>
          <w:rFonts w:cstheme="minorHAnsi"/>
        </w:rPr>
      </w:pPr>
      <w:r>
        <w:rPr>
          <w:rFonts w:cstheme="minorHAnsi"/>
          <w:b/>
        </w:rPr>
        <w:t>7.5</w:t>
      </w:r>
      <w:r w:rsidR="0013623C" w:rsidRPr="003F069C">
        <w:rPr>
          <w:rFonts w:cstheme="minorHAnsi"/>
          <w:b/>
        </w:rPr>
        <w:t xml:space="preserve"> As Planned Vs As Built: </w:t>
      </w:r>
      <w:r w:rsidR="002D3714" w:rsidRPr="003F069C">
        <w:rPr>
          <w:rFonts w:cstheme="minorHAnsi"/>
        </w:rPr>
        <w:t xml:space="preserve">It is involved by </w:t>
      </w:r>
      <w:r w:rsidR="00005071" w:rsidRPr="003F069C">
        <w:rPr>
          <w:rFonts w:cstheme="minorHAnsi"/>
        </w:rPr>
        <w:t>comparing the</w:t>
      </w:r>
      <w:r w:rsidR="002D3714" w:rsidRPr="003F069C">
        <w:rPr>
          <w:rFonts w:cstheme="minorHAnsi"/>
        </w:rPr>
        <w:t xml:space="preserve"> as-built programme with as-p</w:t>
      </w:r>
      <w:r w:rsidR="00005071" w:rsidRPr="003F069C">
        <w:rPr>
          <w:rFonts w:cstheme="minorHAnsi"/>
        </w:rPr>
        <w:t>la</w:t>
      </w:r>
      <w:r w:rsidR="002D3714" w:rsidRPr="003F069C">
        <w:rPr>
          <w:rFonts w:cstheme="minorHAnsi"/>
        </w:rPr>
        <w:t xml:space="preserve">nned </w:t>
      </w:r>
      <w:r w:rsidR="00005071" w:rsidRPr="003F069C">
        <w:rPr>
          <w:rFonts w:cstheme="minorHAnsi"/>
        </w:rPr>
        <w:t>one in</w:t>
      </w:r>
      <w:r w:rsidR="002D3714" w:rsidRPr="003F069C">
        <w:rPr>
          <w:rFonts w:cstheme="minorHAnsi"/>
        </w:rPr>
        <w:t xml:space="preserve"> order to assess the delay and in which period in the project time. This method is more useful on small projects; after comparing the delays, we need to </w:t>
      </w:r>
      <w:r w:rsidR="00005071" w:rsidRPr="003F069C">
        <w:rPr>
          <w:rFonts w:cstheme="minorHAnsi"/>
        </w:rPr>
        <w:t>identify which</w:t>
      </w:r>
      <w:r w:rsidR="002D3714" w:rsidRPr="003F069C">
        <w:rPr>
          <w:rFonts w:cstheme="minorHAnsi"/>
        </w:rPr>
        <w:t xml:space="preserve"> event caused the </w:t>
      </w:r>
      <w:r w:rsidR="00005071" w:rsidRPr="003F069C">
        <w:rPr>
          <w:rFonts w:cstheme="minorHAnsi"/>
        </w:rPr>
        <w:t>delay</w:t>
      </w:r>
      <w:r w:rsidR="002D3714" w:rsidRPr="003F069C">
        <w:rPr>
          <w:rFonts w:cstheme="minorHAnsi"/>
        </w:rPr>
        <w:t xml:space="preserve"> and was it on critical path or not. The final difference is the entitlement</w:t>
      </w:r>
      <w:r w:rsidR="00664549" w:rsidRPr="003F069C">
        <w:rPr>
          <w:rFonts w:cstheme="minorHAnsi"/>
        </w:rPr>
        <w:t xml:space="preserve"> for the contractor for </w:t>
      </w:r>
      <w:r w:rsidR="00005071" w:rsidRPr="003F069C">
        <w:rPr>
          <w:rFonts w:cstheme="minorHAnsi"/>
        </w:rPr>
        <w:t>extension</w:t>
      </w:r>
      <w:r w:rsidR="00664549" w:rsidRPr="003F069C">
        <w:rPr>
          <w:rFonts w:cstheme="minorHAnsi"/>
        </w:rPr>
        <w:t xml:space="preserve"> of time.</w:t>
      </w:r>
    </w:p>
    <w:p w:rsidR="00D32648" w:rsidRDefault="00D32648" w:rsidP="00D32648">
      <w:pPr>
        <w:autoSpaceDE w:val="0"/>
        <w:autoSpaceDN w:val="0"/>
        <w:adjustRightInd w:val="0"/>
        <w:spacing w:after="0" w:line="240" w:lineRule="auto"/>
        <w:jc w:val="both"/>
        <w:rPr>
          <w:rFonts w:cstheme="minorHAnsi"/>
          <w:b/>
          <w:vertAlign w:val="superscript"/>
        </w:rPr>
      </w:pPr>
    </w:p>
    <w:p w:rsidR="00836A79" w:rsidRPr="003F069C" w:rsidRDefault="00005071" w:rsidP="0009457F">
      <w:pPr>
        <w:jc w:val="both"/>
        <w:rPr>
          <w:rFonts w:cstheme="minorHAnsi"/>
        </w:rPr>
      </w:pPr>
      <w:r w:rsidRPr="00305483">
        <w:rPr>
          <w:rFonts w:cstheme="minorHAnsi"/>
          <w:b/>
          <w:vertAlign w:val="superscript"/>
        </w:rPr>
        <w:t>(SCL)</w:t>
      </w:r>
      <w:r w:rsidRPr="003F069C">
        <w:rPr>
          <w:rFonts w:cstheme="minorHAnsi"/>
        </w:rPr>
        <w:t xml:space="preserve"> </w:t>
      </w:r>
      <w:r w:rsidR="008326FC" w:rsidRPr="008326FC">
        <w:rPr>
          <w:rFonts w:cstheme="minorHAnsi"/>
          <w:b/>
        </w:rPr>
        <w:t>8.0</w:t>
      </w:r>
      <w:r w:rsidR="008326FC">
        <w:rPr>
          <w:rFonts w:cstheme="minorHAnsi"/>
        </w:rPr>
        <w:t xml:space="preserve"> </w:t>
      </w:r>
      <w:r w:rsidR="0009457F" w:rsidRPr="003F069C">
        <w:rPr>
          <w:rFonts w:cstheme="minorHAnsi"/>
        </w:rPr>
        <w:t xml:space="preserve">The use of a particular method is determined by the information available, with least information allowing the least preferred method and giving rise to the least accurate answer. That does not mean that if all information is available, the answer determined by a less accurate method is not valid or that, if little information is available, an assessment is not valid. Rather the answer is less likely to be accurate. </w:t>
      </w:r>
    </w:p>
    <w:p w:rsidR="00836A79" w:rsidRPr="003F069C" w:rsidRDefault="00811542" w:rsidP="00811542">
      <w:pPr>
        <w:jc w:val="both"/>
        <w:rPr>
          <w:rFonts w:cstheme="minorHAnsi"/>
          <w:b/>
          <w:bCs/>
          <w:vertAlign w:val="superscript"/>
        </w:rPr>
      </w:pPr>
      <w:r>
        <w:rPr>
          <w:color w:val="000000"/>
        </w:rPr>
        <w:t>England’s</w:t>
      </w:r>
      <w:r w:rsidR="00836A79" w:rsidRPr="003F069C">
        <w:rPr>
          <w:color w:val="000000"/>
        </w:rPr>
        <w:t xml:space="preserve"> Society of Construction Law </w:t>
      </w:r>
      <w:r>
        <w:rPr>
          <w:color w:val="000000"/>
        </w:rPr>
        <w:t xml:space="preserve">(SCL) </w:t>
      </w:r>
      <w:r w:rsidR="00836A79" w:rsidRPr="003F069C">
        <w:rPr>
          <w:color w:val="000000"/>
        </w:rPr>
        <w:t>Protocol, 2</w:t>
      </w:r>
      <w:r w:rsidR="00836A79" w:rsidRPr="003F069C">
        <w:rPr>
          <w:color w:val="000000"/>
          <w:vertAlign w:val="superscript"/>
        </w:rPr>
        <w:t>nd</w:t>
      </w:r>
      <w:r w:rsidR="00836A79" w:rsidRPr="003F069C">
        <w:rPr>
          <w:color w:val="000000"/>
        </w:rPr>
        <w:t xml:space="preserve"> Edition, 2017 - sets out a reasonable hierarchy for the methodologies available for the delay analysis. In order of preference, these are:</w:t>
      </w:r>
    </w:p>
    <w:p w:rsidR="00664549" w:rsidRPr="00812113" w:rsidRDefault="00664549" w:rsidP="00664549">
      <w:pPr>
        <w:jc w:val="both"/>
        <w:rPr>
          <w:rFonts w:cstheme="minorHAnsi"/>
        </w:rPr>
      </w:pPr>
      <w:r>
        <w:rPr>
          <w:rFonts w:asciiTheme="majorBidi" w:hAnsiTheme="majorBidi" w:cstheme="majorBidi"/>
          <w:noProof/>
          <w:sz w:val="18"/>
          <w:szCs w:val="18"/>
        </w:rPr>
        <w:drawing>
          <wp:inline distT="0" distB="0" distL="0" distR="0" wp14:anchorId="79D85FC4" wp14:editId="7CDEDB95">
            <wp:extent cx="5941060" cy="460184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1060" cy="4601845"/>
                    </a:xfrm>
                    <a:prstGeom prst="rect">
                      <a:avLst/>
                    </a:prstGeom>
                    <a:noFill/>
                    <a:ln>
                      <a:noFill/>
                    </a:ln>
                  </pic:spPr>
                </pic:pic>
              </a:graphicData>
            </a:graphic>
          </wp:inline>
        </w:drawing>
      </w:r>
    </w:p>
    <w:p w:rsidR="00664549" w:rsidRPr="008326FC" w:rsidRDefault="00664549" w:rsidP="00664549">
      <w:pPr>
        <w:pStyle w:val="Default"/>
        <w:jc w:val="both"/>
        <w:rPr>
          <w:rFonts w:ascii="Times New Roman" w:hAnsi="Times New Roman" w:cs="Times New Roman"/>
          <w:sz w:val="20"/>
          <w:szCs w:val="20"/>
        </w:rPr>
      </w:pPr>
      <w:r w:rsidRPr="008326FC">
        <w:rPr>
          <w:rFonts w:ascii="Times New Roman" w:hAnsi="Times New Roman" w:cs="Times New Roman"/>
          <w:b/>
          <w:bCs/>
          <w:i/>
          <w:iCs/>
          <w:sz w:val="20"/>
          <w:szCs w:val="20"/>
        </w:rPr>
        <w:t xml:space="preserve">● Prospective v retrospective : </w:t>
      </w:r>
      <w:r w:rsidRPr="008326FC">
        <w:rPr>
          <w:rFonts w:ascii="Times New Roman" w:hAnsi="Times New Roman" w:cs="Times New Roman"/>
          <w:sz w:val="20"/>
          <w:szCs w:val="20"/>
        </w:rPr>
        <w:t>Delay analysis techniques are either ‘prospective’ or ‘retrospective’.  Prospective analyses refer to the future, and seek to determine the likely impact of actual progress or a particular event(s) on project completion. Retrospective analyses refer to the historic, and usually seek to determine the actual impact of events upon progress and completion.</w:t>
      </w:r>
    </w:p>
    <w:p w:rsidR="00664549" w:rsidRPr="008326FC" w:rsidRDefault="00664549" w:rsidP="00664549">
      <w:pPr>
        <w:pStyle w:val="Default"/>
        <w:jc w:val="both"/>
        <w:rPr>
          <w:rFonts w:ascii="Times New Roman" w:hAnsi="Times New Roman" w:cs="Times New Roman"/>
          <w:sz w:val="20"/>
          <w:szCs w:val="20"/>
        </w:rPr>
      </w:pPr>
    </w:p>
    <w:p w:rsidR="00664549" w:rsidRPr="008326FC" w:rsidRDefault="00664549" w:rsidP="00664549">
      <w:pPr>
        <w:pStyle w:val="Default"/>
        <w:jc w:val="both"/>
        <w:rPr>
          <w:rFonts w:ascii="Times New Roman" w:hAnsi="Times New Roman" w:cs="Times New Roman"/>
          <w:color w:val="auto"/>
          <w:sz w:val="20"/>
          <w:szCs w:val="20"/>
        </w:rPr>
      </w:pPr>
      <w:r w:rsidRPr="008326FC">
        <w:rPr>
          <w:rFonts w:ascii="Times New Roman" w:hAnsi="Times New Roman" w:cs="Times New Roman"/>
          <w:b/>
          <w:bCs/>
          <w:i/>
          <w:iCs/>
          <w:color w:val="auto"/>
          <w:sz w:val="20"/>
          <w:szCs w:val="20"/>
        </w:rPr>
        <w:lastRenderedPageBreak/>
        <w:t xml:space="preserve">● Dynamic v </w:t>
      </w:r>
      <w:r w:rsidR="00F93A35" w:rsidRPr="008326FC">
        <w:rPr>
          <w:rFonts w:ascii="Times New Roman" w:hAnsi="Times New Roman" w:cs="Times New Roman"/>
          <w:b/>
          <w:bCs/>
          <w:i/>
          <w:iCs/>
          <w:color w:val="auto"/>
          <w:sz w:val="20"/>
          <w:szCs w:val="20"/>
        </w:rPr>
        <w:t>static:</w:t>
      </w:r>
      <w:r w:rsidRPr="008326FC">
        <w:rPr>
          <w:rFonts w:ascii="Times New Roman" w:hAnsi="Times New Roman" w:cs="Times New Roman"/>
          <w:b/>
          <w:bCs/>
          <w:i/>
          <w:iCs/>
          <w:color w:val="auto"/>
          <w:sz w:val="20"/>
          <w:szCs w:val="20"/>
        </w:rPr>
        <w:t xml:space="preserve"> </w:t>
      </w:r>
      <w:r w:rsidRPr="008326FC">
        <w:rPr>
          <w:rFonts w:ascii="Times New Roman" w:hAnsi="Times New Roman" w:cs="Times New Roman"/>
          <w:color w:val="auto"/>
          <w:sz w:val="20"/>
          <w:szCs w:val="20"/>
        </w:rPr>
        <w:t>Dynamic analyses involve schedule calculations, through simulation using computers and scheduling software. Static analyses rely on the components and common sense of the schedule while avoiding significant computer calculations.</w:t>
      </w:r>
    </w:p>
    <w:p w:rsidR="00664549" w:rsidRPr="008326FC" w:rsidRDefault="00664549" w:rsidP="00664549">
      <w:pPr>
        <w:pStyle w:val="Default"/>
        <w:jc w:val="both"/>
        <w:rPr>
          <w:rFonts w:ascii="Times New Roman" w:hAnsi="Times New Roman" w:cs="Times New Roman"/>
          <w:b/>
          <w:bCs/>
          <w:i/>
          <w:iCs/>
          <w:color w:val="auto"/>
          <w:sz w:val="20"/>
          <w:szCs w:val="20"/>
        </w:rPr>
      </w:pPr>
    </w:p>
    <w:p w:rsidR="00664549" w:rsidRPr="008326FC" w:rsidRDefault="00664549" w:rsidP="00664549">
      <w:pPr>
        <w:pStyle w:val="Default"/>
        <w:jc w:val="both"/>
        <w:rPr>
          <w:rFonts w:ascii="Times New Roman" w:hAnsi="Times New Roman" w:cs="Times New Roman"/>
          <w:color w:val="auto"/>
          <w:sz w:val="20"/>
          <w:szCs w:val="20"/>
        </w:rPr>
      </w:pPr>
      <w:r w:rsidRPr="008326FC">
        <w:rPr>
          <w:rFonts w:ascii="Times New Roman" w:hAnsi="Times New Roman" w:cs="Times New Roman"/>
          <w:b/>
          <w:bCs/>
          <w:i/>
          <w:iCs/>
          <w:color w:val="auto"/>
          <w:sz w:val="20"/>
          <w:szCs w:val="20"/>
        </w:rPr>
        <w:t xml:space="preserve">● Networked </w:t>
      </w:r>
      <w:r w:rsidR="00F93A35" w:rsidRPr="008326FC">
        <w:rPr>
          <w:rFonts w:ascii="Times New Roman" w:hAnsi="Times New Roman" w:cs="Times New Roman"/>
          <w:b/>
          <w:bCs/>
          <w:i/>
          <w:iCs/>
          <w:color w:val="auto"/>
          <w:sz w:val="20"/>
          <w:szCs w:val="20"/>
        </w:rPr>
        <w:t>schedule:</w:t>
      </w:r>
      <w:r w:rsidRPr="008326FC">
        <w:rPr>
          <w:rFonts w:ascii="Times New Roman" w:hAnsi="Times New Roman" w:cs="Times New Roman"/>
          <w:b/>
          <w:bCs/>
          <w:i/>
          <w:iCs/>
          <w:color w:val="auto"/>
          <w:sz w:val="20"/>
          <w:szCs w:val="20"/>
        </w:rPr>
        <w:t xml:space="preserve"> </w:t>
      </w:r>
      <w:r w:rsidRPr="008326FC">
        <w:rPr>
          <w:rFonts w:ascii="Times New Roman" w:hAnsi="Times New Roman" w:cs="Times New Roman"/>
          <w:color w:val="auto"/>
          <w:sz w:val="20"/>
          <w:szCs w:val="20"/>
        </w:rPr>
        <w:t xml:space="preserve">A networked schedule is one that has been produced in scheduling software, such as Primavera or Microsoft Project. It will contain activities (representing the work content) and logic links (representing the relationships between activities). The combination of software, activities and logic links will allow the schedule to be updated with progress data, and will enable the effects of change to be simulated. </w:t>
      </w:r>
    </w:p>
    <w:p w:rsidR="00664549" w:rsidRPr="008326FC" w:rsidRDefault="00664549" w:rsidP="00664549">
      <w:pPr>
        <w:pStyle w:val="Default"/>
        <w:jc w:val="both"/>
        <w:rPr>
          <w:rFonts w:ascii="Times New Roman" w:hAnsi="Times New Roman" w:cs="Times New Roman"/>
          <w:color w:val="auto"/>
          <w:sz w:val="20"/>
          <w:szCs w:val="20"/>
        </w:rPr>
      </w:pPr>
    </w:p>
    <w:p w:rsidR="00171D19" w:rsidRDefault="00664549" w:rsidP="00067BE2">
      <w:pPr>
        <w:pStyle w:val="Default"/>
        <w:jc w:val="both"/>
        <w:rPr>
          <w:rFonts w:ascii="Times New Roman" w:hAnsi="Times New Roman" w:cs="Times New Roman"/>
          <w:color w:val="auto"/>
          <w:sz w:val="20"/>
          <w:szCs w:val="20"/>
        </w:rPr>
      </w:pPr>
      <w:r w:rsidRPr="008326FC">
        <w:rPr>
          <w:rFonts w:ascii="Times New Roman" w:hAnsi="Times New Roman" w:cs="Times New Roman"/>
          <w:b/>
          <w:bCs/>
          <w:i/>
          <w:iCs/>
          <w:color w:val="auto"/>
          <w:sz w:val="20"/>
          <w:szCs w:val="20"/>
        </w:rPr>
        <w:t xml:space="preserve">● Baseline schedule: </w:t>
      </w:r>
      <w:r w:rsidRPr="008326FC">
        <w:rPr>
          <w:rFonts w:ascii="Times New Roman" w:hAnsi="Times New Roman" w:cs="Times New Roman"/>
          <w:bCs/>
          <w:iCs/>
          <w:color w:val="auto"/>
          <w:sz w:val="20"/>
          <w:szCs w:val="20"/>
        </w:rPr>
        <w:t>This</w:t>
      </w:r>
      <w:r w:rsidRPr="008326FC">
        <w:rPr>
          <w:rFonts w:ascii="Times New Roman" w:hAnsi="Times New Roman" w:cs="Times New Roman"/>
          <w:color w:val="auto"/>
          <w:sz w:val="20"/>
          <w:szCs w:val="20"/>
        </w:rPr>
        <w:t xml:space="preserve"> is the schedule which best represents how the contractor intends to satisfy its responsibility to complete the works within the contract period. This schedule can sometimes be engrossed into the contract; more often, it is required to be produced and agreed shortly after the contract is awarded. In the absence of a clear contractual baseline schedule, it tends to be the schedule prevailing at the time the contract is awarded or work commences on site. Determining the baseline schedule is a matter of reasonable and objective analysis, with the contract documents being the first point of call.</w:t>
      </w:r>
    </w:p>
    <w:p w:rsidR="00262AFA" w:rsidRDefault="00262AFA" w:rsidP="00067BE2">
      <w:pPr>
        <w:pStyle w:val="Default"/>
        <w:jc w:val="both"/>
        <w:rPr>
          <w:rFonts w:ascii="Times New Roman" w:hAnsi="Times New Roman" w:cs="Times New Roman"/>
          <w:color w:val="auto"/>
          <w:sz w:val="20"/>
          <w:szCs w:val="20"/>
        </w:rPr>
      </w:pPr>
    </w:p>
    <w:p w:rsidR="00262AFA" w:rsidRPr="00925378" w:rsidRDefault="00925378" w:rsidP="00925378">
      <w:pPr>
        <w:pStyle w:val="Default"/>
        <w:jc w:val="both"/>
        <w:rPr>
          <w:rFonts w:asciiTheme="minorHAnsi" w:hAnsiTheme="minorHAnsi" w:cstheme="minorHAnsi"/>
          <w:b/>
          <w:bCs/>
          <w:color w:val="auto"/>
          <w:sz w:val="22"/>
          <w:szCs w:val="22"/>
          <w:u w:val="single"/>
        </w:rPr>
      </w:pPr>
      <w:r w:rsidRPr="00925378">
        <w:rPr>
          <w:rFonts w:asciiTheme="minorHAnsi" w:hAnsiTheme="minorHAnsi" w:cstheme="minorHAnsi"/>
          <w:b/>
          <w:bCs/>
          <w:color w:val="auto"/>
          <w:sz w:val="22"/>
          <w:szCs w:val="22"/>
          <w:u w:val="single"/>
        </w:rPr>
        <w:t xml:space="preserve">(SCL) </w:t>
      </w:r>
      <w:r w:rsidR="00262AFA" w:rsidRPr="00925378">
        <w:rPr>
          <w:rFonts w:asciiTheme="minorHAnsi" w:hAnsiTheme="minorHAnsi" w:cstheme="minorHAnsi"/>
          <w:b/>
          <w:bCs/>
          <w:color w:val="auto"/>
          <w:sz w:val="22"/>
          <w:szCs w:val="22"/>
          <w:u w:val="single"/>
        </w:rPr>
        <w:t xml:space="preserve">Society of Construction Law, </w:t>
      </w:r>
      <w:r w:rsidR="001C259A" w:rsidRPr="00925378">
        <w:rPr>
          <w:rFonts w:asciiTheme="minorHAnsi" w:hAnsiTheme="minorHAnsi" w:cstheme="minorHAnsi"/>
          <w:b/>
          <w:bCs/>
          <w:color w:val="auto"/>
          <w:sz w:val="22"/>
          <w:szCs w:val="22"/>
          <w:u w:val="single"/>
        </w:rPr>
        <w:t>2</w:t>
      </w:r>
      <w:r w:rsidR="001C259A" w:rsidRPr="00925378">
        <w:rPr>
          <w:rFonts w:asciiTheme="minorHAnsi" w:hAnsiTheme="minorHAnsi" w:cstheme="minorHAnsi"/>
          <w:b/>
          <w:bCs/>
          <w:color w:val="auto"/>
          <w:sz w:val="22"/>
          <w:szCs w:val="22"/>
          <w:u w:val="single"/>
          <w:vertAlign w:val="superscript"/>
        </w:rPr>
        <w:t>nd</w:t>
      </w:r>
      <w:r w:rsidR="001C259A" w:rsidRPr="00925378">
        <w:rPr>
          <w:rFonts w:asciiTheme="minorHAnsi" w:hAnsiTheme="minorHAnsi" w:cstheme="minorHAnsi"/>
          <w:b/>
          <w:bCs/>
          <w:color w:val="auto"/>
          <w:sz w:val="22"/>
          <w:szCs w:val="22"/>
          <w:u w:val="single"/>
        </w:rPr>
        <w:t xml:space="preserve"> Edition, 2017 </w:t>
      </w:r>
      <w:r w:rsidRPr="00925378">
        <w:rPr>
          <w:rFonts w:asciiTheme="minorHAnsi" w:hAnsiTheme="minorHAnsi" w:cstheme="minorHAnsi"/>
          <w:b/>
          <w:bCs/>
          <w:color w:val="auto"/>
          <w:sz w:val="22"/>
          <w:szCs w:val="22"/>
          <w:u w:val="single"/>
        </w:rPr>
        <w:t>–</w:t>
      </w:r>
      <w:r w:rsidR="001C259A" w:rsidRPr="00925378">
        <w:rPr>
          <w:rFonts w:asciiTheme="minorHAnsi" w:hAnsiTheme="minorHAnsi" w:cstheme="minorHAnsi"/>
          <w:b/>
          <w:bCs/>
          <w:color w:val="auto"/>
          <w:sz w:val="22"/>
          <w:szCs w:val="22"/>
          <w:u w:val="single"/>
        </w:rPr>
        <w:t xml:space="preserve"> </w:t>
      </w:r>
      <w:r w:rsidRPr="00925378">
        <w:rPr>
          <w:rFonts w:asciiTheme="minorHAnsi" w:hAnsiTheme="minorHAnsi" w:cstheme="minorHAnsi"/>
          <w:b/>
          <w:bCs/>
          <w:color w:val="auto"/>
          <w:sz w:val="22"/>
          <w:szCs w:val="22"/>
          <w:u w:val="single"/>
        </w:rPr>
        <w:t>[</w:t>
      </w:r>
      <w:r w:rsidR="001C259A" w:rsidRPr="00925378">
        <w:rPr>
          <w:rFonts w:asciiTheme="minorHAnsi" w:hAnsiTheme="minorHAnsi" w:cstheme="minorHAnsi"/>
          <w:b/>
          <w:bCs/>
          <w:color w:val="0070C0"/>
          <w:sz w:val="22"/>
          <w:szCs w:val="22"/>
          <w:u w:val="single"/>
        </w:rPr>
        <w:t>Delay &amp; Disruption Protocol</w:t>
      </w:r>
      <w:r w:rsidRPr="00925378">
        <w:rPr>
          <w:rFonts w:asciiTheme="minorHAnsi" w:hAnsiTheme="minorHAnsi" w:cstheme="minorHAnsi"/>
          <w:b/>
          <w:bCs/>
          <w:color w:val="auto"/>
          <w:sz w:val="22"/>
          <w:szCs w:val="22"/>
          <w:u w:val="single"/>
        </w:rPr>
        <w:t>]</w:t>
      </w:r>
      <w:r w:rsidR="001C259A" w:rsidRPr="00925378">
        <w:rPr>
          <w:rFonts w:asciiTheme="minorHAnsi" w:hAnsiTheme="minorHAnsi" w:cstheme="minorHAnsi"/>
          <w:b/>
          <w:bCs/>
          <w:color w:val="auto"/>
          <w:sz w:val="22"/>
          <w:szCs w:val="22"/>
          <w:u w:val="single"/>
        </w:rPr>
        <w:t xml:space="preserve">, </w:t>
      </w:r>
      <w:r w:rsidR="00262AFA" w:rsidRPr="00925378">
        <w:rPr>
          <w:rFonts w:asciiTheme="minorHAnsi" w:hAnsiTheme="minorHAnsi" w:cstheme="minorHAnsi"/>
          <w:b/>
          <w:bCs/>
          <w:color w:val="auto"/>
          <w:sz w:val="22"/>
          <w:szCs w:val="22"/>
          <w:u w:val="single"/>
        </w:rPr>
        <w:t>England listed construction Delay Analysis Methods:</w:t>
      </w:r>
    </w:p>
    <w:p w:rsidR="00067BE2" w:rsidRPr="00925378" w:rsidRDefault="00067BE2" w:rsidP="00067BE2">
      <w:pPr>
        <w:pStyle w:val="Default"/>
        <w:jc w:val="both"/>
        <w:rPr>
          <w:rFonts w:ascii="Times New Roman" w:hAnsi="Times New Roman" w:cs="Times New Roman"/>
          <w:color w:val="auto"/>
          <w:sz w:val="20"/>
          <w:szCs w:val="20"/>
        </w:rPr>
      </w:pPr>
    </w:p>
    <w:p w:rsidR="00664549" w:rsidRPr="00812113" w:rsidRDefault="009A39AD" w:rsidP="00664549">
      <w:pPr>
        <w:jc w:val="both"/>
        <w:rPr>
          <w:rFonts w:cstheme="minorHAnsi"/>
        </w:rPr>
      </w:pPr>
      <w:r w:rsidRPr="009A39AD">
        <w:rPr>
          <w:rFonts w:cstheme="minorHAnsi"/>
          <w:b/>
          <w:vertAlign w:val="superscript"/>
        </w:rPr>
        <w:t xml:space="preserve">(3) </w:t>
      </w:r>
      <w:r w:rsidR="008326FC" w:rsidRPr="008326FC">
        <w:rPr>
          <w:rFonts w:cstheme="minorHAnsi"/>
          <w:b/>
        </w:rPr>
        <w:t>8</w:t>
      </w:r>
      <w:r w:rsidR="008326FC">
        <w:rPr>
          <w:rFonts w:cstheme="minorHAnsi"/>
          <w:b/>
          <w:vertAlign w:val="superscript"/>
        </w:rPr>
        <w:t>.</w:t>
      </w:r>
      <w:r w:rsidR="00664549" w:rsidRPr="008326FC">
        <w:rPr>
          <w:rFonts w:cstheme="minorHAnsi"/>
          <w:b/>
        </w:rPr>
        <w:t>1</w:t>
      </w:r>
      <w:r w:rsidR="00664549" w:rsidRPr="008326FC">
        <w:rPr>
          <w:rFonts w:cstheme="minorHAnsi"/>
          <w:b/>
          <w:bCs/>
          <w:i/>
          <w:u w:val="single"/>
        </w:rPr>
        <w:t>. Impacted as planned</w:t>
      </w:r>
      <w:r w:rsidR="00262AFA">
        <w:rPr>
          <w:rFonts w:cstheme="minorHAnsi"/>
          <w:b/>
          <w:bCs/>
          <w:i/>
          <w:u w:val="single"/>
        </w:rPr>
        <w:t xml:space="preserve"> Analysis Method</w:t>
      </w:r>
      <w:r w:rsidR="00664549">
        <w:rPr>
          <w:rFonts w:cstheme="minorHAnsi"/>
          <w:b/>
          <w:bCs/>
        </w:rPr>
        <w:t xml:space="preserve">: </w:t>
      </w:r>
      <w:r w:rsidR="00664549" w:rsidRPr="00812113">
        <w:rPr>
          <w:rFonts w:cstheme="minorHAnsi"/>
        </w:rPr>
        <w:t xml:space="preserve"> where the original programme is taken as the basis of the delay calculation, and delay defaults are added into the programme to determine when the work should have finished as a result of those delays. </w:t>
      </w:r>
    </w:p>
    <w:p w:rsidR="00664549" w:rsidRPr="00812113" w:rsidRDefault="009A39AD" w:rsidP="00664549">
      <w:pPr>
        <w:pStyle w:val="NormalWeb"/>
        <w:jc w:val="both"/>
        <w:rPr>
          <w:rFonts w:asciiTheme="minorHAnsi" w:hAnsiTheme="minorHAnsi" w:cstheme="minorHAnsi"/>
          <w:sz w:val="22"/>
          <w:szCs w:val="22"/>
        </w:rPr>
      </w:pPr>
      <w:r w:rsidRPr="009A39AD">
        <w:rPr>
          <w:rFonts w:cstheme="minorHAnsi"/>
          <w:b/>
          <w:vertAlign w:val="superscript"/>
        </w:rPr>
        <w:t xml:space="preserve">(3) </w:t>
      </w:r>
      <w:r w:rsidR="008326FC" w:rsidRPr="008326FC">
        <w:rPr>
          <w:rFonts w:asciiTheme="minorHAnsi" w:hAnsiTheme="minorHAnsi" w:cstheme="minorHAnsi"/>
          <w:b/>
          <w:sz w:val="22"/>
          <w:szCs w:val="22"/>
        </w:rPr>
        <w:t>8.2</w:t>
      </w:r>
      <w:r w:rsidR="00664549" w:rsidRPr="00812113">
        <w:rPr>
          <w:rFonts w:asciiTheme="minorHAnsi" w:hAnsiTheme="minorHAnsi" w:cstheme="minorHAnsi"/>
          <w:sz w:val="22"/>
          <w:szCs w:val="22"/>
        </w:rPr>
        <w:t xml:space="preserve"> </w:t>
      </w:r>
      <w:r w:rsidR="00664549" w:rsidRPr="008326FC">
        <w:rPr>
          <w:rFonts w:asciiTheme="minorHAnsi" w:hAnsiTheme="minorHAnsi" w:cstheme="minorHAnsi"/>
          <w:b/>
          <w:bCs/>
          <w:i/>
          <w:sz w:val="22"/>
          <w:szCs w:val="22"/>
          <w:u w:val="single"/>
        </w:rPr>
        <w:t>Time Impact Analysis</w:t>
      </w:r>
      <w:r w:rsidR="00664549" w:rsidRPr="00812113">
        <w:rPr>
          <w:rFonts w:asciiTheme="minorHAnsi" w:hAnsiTheme="minorHAnsi" w:cstheme="minorHAnsi"/>
          <w:sz w:val="22"/>
          <w:szCs w:val="22"/>
        </w:rPr>
        <w:t xml:space="preserve"> </w:t>
      </w:r>
      <w:r w:rsidR="00262AFA" w:rsidRPr="00262AFA">
        <w:rPr>
          <w:rFonts w:asciiTheme="minorHAnsi" w:hAnsiTheme="minorHAnsi" w:cstheme="minorHAnsi"/>
          <w:b/>
          <w:bCs/>
          <w:sz w:val="22"/>
          <w:szCs w:val="22"/>
        </w:rPr>
        <w:t>Method</w:t>
      </w:r>
      <w:r w:rsidR="00262AFA">
        <w:rPr>
          <w:rFonts w:asciiTheme="minorHAnsi" w:hAnsiTheme="minorHAnsi" w:cstheme="minorHAnsi"/>
          <w:b/>
          <w:bCs/>
          <w:sz w:val="22"/>
          <w:szCs w:val="22"/>
        </w:rPr>
        <w:t xml:space="preserve"> </w:t>
      </w:r>
      <w:r w:rsidR="00664549" w:rsidRPr="00812113">
        <w:rPr>
          <w:rFonts w:asciiTheme="minorHAnsi" w:hAnsiTheme="minorHAnsi" w:cstheme="minorHAnsi"/>
          <w:sz w:val="22"/>
          <w:szCs w:val="22"/>
        </w:rPr>
        <w:t>(or “time</w:t>
      </w:r>
      <w:r w:rsidR="008326FC">
        <w:rPr>
          <w:rFonts w:asciiTheme="minorHAnsi" w:hAnsiTheme="minorHAnsi" w:cstheme="minorHAnsi"/>
          <w:sz w:val="22"/>
          <w:szCs w:val="22"/>
        </w:rPr>
        <w:t xml:space="preserve"> slice” of “snapshot” analysis):</w:t>
      </w:r>
      <w:r w:rsidR="00664549" w:rsidRPr="00812113">
        <w:rPr>
          <w:rFonts w:asciiTheme="minorHAnsi" w:hAnsiTheme="minorHAnsi" w:cstheme="minorHAnsi"/>
          <w:sz w:val="22"/>
          <w:szCs w:val="22"/>
        </w:rPr>
        <w:t xml:space="preserve"> This method is used to map out the impacts of particular delays at the point in time at which they occur permitting the discrete effects of individual events to be determined.</w:t>
      </w:r>
    </w:p>
    <w:p w:rsidR="00664549" w:rsidRPr="00812113" w:rsidRDefault="009A39AD" w:rsidP="00664549">
      <w:pPr>
        <w:pStyle w:val="NormalWeb"/>
        <w:jc w:val="both"/>
        <w:rPr>
          <w:rFonts w:asciiTheme="minorHAnsi" w:hAnsiTheme="minorHAnsi" w:cstheme="minorHAnsi"/>
          <w:sz w:val="22"/>
          <w:szCs w:val="22"/>
        </w:rPr>
      </w:pPr>
      <w:r w:rsidRPr="009A39AD">
        <w:rPr>
          <w:rFonts w:cstheme="minorHAnsi"/>
          <w:b/>
          <w:vertAlign w:val="superscript"/>
        </w:rPr>
        <w:t xml:space="preserve">(3) </w:t>
      </w:r>
      <w:r w:rsidR="008326FC" w:rsidRPr="008326FC">
        <w:rPr>
          <w:rFonts w:asciiTheme="minorHAnsi" w:hAnsiTheme="minorHAnsi" w:cstheme="minorHAnsi"/>
          <w:b/>
          <w:sz w:val="22"/>
          <w:szCs w:val="22"/>
        </w:rPr>
        <w:t>8.3</w:t>
      </w:r>
      <w:r w:rsidR="008326FC">
        <w:rPr>
          <w:rFonts w:asciiTheme="minorHAnsi" w:hAnsiTheme="minorHAnsi" w:cstheme="minorHAnsi"/>
          <w:sz w:val="22"/>
          <w:szCs w:val="22"/>
        </w:rPr>
        <w:t xml:space="preserve"> </w:t>
      </w:r>
      <w:r w:rsidR="00664549" w:rsidRPr="008326FC">
        <w:rPr>
          <w:rFonts w:asciiTheme="minorHAnsi" w:hAnsiTheme="minorHAnsi" w:cstheme="minorHAnsi"/>
          <w:b/>
          <w:i/>
          <w:sz w:val="22"/>
          <w:szCs w:val="22"/>
          <w:u w:val="single"/>
        </w:rPr>
        <w:t>Time Slice</w:t>
      </w:r>
      <w:r w:rsidR="00664549" w:rsidRPr="008326FC">
        <w:rPr>
          <w:rFonts w:asciiTheme="minorHAnsi" w:hAnsiTheme="minorHAnsi" w:cstheme="minorHAnsi"/>
          <w:i/>
          <w:sz w:val="22"/>
          <w:szCs w:val="22"/>
          <w:u w:val="single"/>
        </w:rPr>
        <w:t xml:space="preserve"> </w:t>
      </w:r>
      <w:r w:rsidR="00664549" w:rsidRPr="008326FC">
        <w:rPr>
          <w:rFonts w:asciiTheme="minorHAnsi" w:hAnsiTheme="minorHAnsi" w:cstheme="minorHAnsi"/>
          <w:b/>
          <w:bCs/>
          <w:i/>
          <w:sz w:val="22"/>
          <w:szCs w:val="22"/>
          <w:u w:val="single"/>
        </w:rPr>
        <w:t>Windows analysis</w:t>
      </w:r>
      <w:r w:rsidR="00262AFA">
        <w:rPr>
          <w:rFonts w:asciiTheme="minorHAnsi" w:hAnsiTheme="minorHAnsi" w:cstheme="minorHAnsi"/>
          <w:b/>
          <w:bCs/>
          <w:i/>
          <w:sz w:val="22"/>
          <w:szCs w:val="22"/>
          <w:u w:val="single"/>
        </w:rPr>
        <w:t xml:space="preserve"> Method</w:t>
      </w:r>
      <w:r w:rsidR="008326FC">
        <w:rPr>
          <w:rFonts w:asciiTheme="minorHAnsi" w:hAnsiTheme="minorHAnsi" w:cstheme="minorHAnsi"/>
          <w:sz w:val="22"/>
          <w:szCs w:val="22"/>
        </w:rPr>
        <w:t>:</w:t>
      </w:r>
      <w:r w:rsidR="00664549" w:rsidRPr="00812113">
        <w:rPr>
          <w:rFonts w:asciiTheme="minorHAnsi" w:hAnsiTheme="minorHAnsi" w:cstheme="minorHAnsi"/>
          <w:sz w:val="22"/>
          <w:szCs w:val="22"/>
        </w:rPr>
        <w:t xml:space="preserve"> For this method the programme is divided into consecutive time “windows” where the delay occurring in each window is analysed and attributed to the events occurring in that window.</w:t>
      </w:r>
      <w:bookmarkStart w:id="13" w:name="para569"/>
      <w:r w:rsidR="00664549" w:rsidRPr="00812113">
        <w:rPr>
          <w:rFonts w:asciiTheme="minorHAnsi" w:hAnsiTheme="minorHAnsi" w:cstheme="minorHAnsi"/>
          <w:sz w:val="22"/>
          <w:szCs w:val="22"/>
        </w:rPr>
        <w:t xml:space="preserve"> </w:t>
      </w:r>
      <w:r w:rsidR="00664549" w:rsidRPr="003B7456">
        <w:rPr>
          <w:rFonts w:asciiTheme="minorHAnsi" w:hAnsiTheme="minorHAnsi" w:cstheme="minorHAnsi"/>
          <w:sz w:val="22"/>
          <w:szCs w:val="22"/>
        </w:rPr>
        <w:t>Windows</w:t>
      </w:r>
      <w:r w:rsidR="00664549" w:rsidRPr="00812113">
        <w:rPr>
          <w:rFonts w:asciiTheme="minorHAnsi" w:hAnsiTheme="minorHAnsi" w:cstheme="minorHAnsi"/>
          <w:sz w:val="22"/>
          <w:szCs w:val="22"/>
        </w:rPr>
        <w:t xml:space="preserve"> analysis, reviewing the course of a Project month by month, provides an excellent form of analysis to inform those controlling the Project what action they need to take to prevent delay to the Project.</w:t>
      </w:r>
      <w:bookmarkEnd w:id="13"/>
    </w:p>
    <w:p w:rsidR="00664549" w:rsidRDefault="005A51B1" w:rsidP="00754F63">
      <w:pPr>
        <w:autoSpaceDE w:val="0"/>
        <w:autoSpaceDN w:val="0"/>
        <w:adjustRightInd w:val="0"/>
        <w:spacing w:after="0" w:line="240" w:lineRule="auto"/>
        <w:jc w:val="both"/>
        <w:rPr>
          <w:rFonts w:cstheme="minorHAnsi"/>
        </w:rPr>
      </w:pPr>
      <w:r w:rsidRPr="00812113">
        <w:rPr>
          <w:rFonts w:cstheme="minorHAnsi"/>
          <w:b/>
          <w:vertAlign w:val="superscript"/>
        </w:rPr>
        <w:t>(SCL)</w:t>
      </w:r>
      <w:r w:rsidRPr="00812113">
        <w:rPr>
          <w:rFonts w:cstheme="minorHAnsi"/>
          <w:b/>
        </w:rPr>
        <w:t xml:space="preserve"> </w:t>
      </w:r>
      <w:r w:rsidR="008326FC" w:rsidRPr="008326FC">
        <w:rPr>
          <w:rFonts w:cstheme="minorHAnsi"/>
          <w:b/>
        </w:rPr>
        <w:t>8.4</w:t>
      </w:r>
      <w:r w:rsidR="00664549">
        <w:rPr>
          <w:rFonts w:cstheme="minorHAnsi"/>
        </w:rPr>
        <w:t xml:space="preserve"> </w:t>
      </w:r>
      <w:r w:rsidR="00664549" w:rsidRPr="008326FC">
        <w:rPr>
          <w:rFonts w:cstheme="minorHAnsi"/>
          <w:b/>
          <w:i/>
          <w:u w:val="single"/>
        </w:rPr>
        <w:t>As Planned vs As Built Windows Analysis</w:t>
      </w:r>
      <w:r w:rsidR="00262AFA">
        <w:rPr>
          <w:rFonts w:cstheme="minorHAnsi"/>
          <w:b/>
          <w:i/>
          <w:u w:val="single"/>
        </w:rPr>
        <w:t xml:space="preserve"> Method</w:t>
      </w:r>
      <w:r w:rsidR="00664549" w:rsidRPr="008326FC">
        <w:rPr>
          <w:rFonts w:cstheme="minorHAnsi"/>
          <w:b/>
          <w:i/>
          <w:u w:val="single"/>
        </w:rPr>
        <w:t>:</w:t>
      </w:r>
      <w:r w:rsidR="00664549">
        <w:rPr>
          <w:rFonts w:cstheme="minorHAnsi"/>
        </w:rPr>
        <w:t xml:space="preserve"> Second Window. </w:t>
      </w:r>
      <w:r w:rsidR="00754F63" w:rsidRPr="00754F63">
        <w:rPr>
          <w:rFonts w:cstheme="minorHAnsi"/>
        </w:rPr>
        <w:t>This method is ‘retrospective’ and ‘static’.</w:t>
      </w:r>
      <w:r w:rsidR="00754F63" w:rsidRPr="00747B1D">
        <w:rPr>
          <w:rFonts w:cstheme="minorHAnsi"/>
          <w:color w:val="0070C0"/>
          <w:szCs w:val="28"/>
        </w:rPr>
        <w:t xml:space="preserve"> </w:t>
      </w:r>
      <w:r w:rsidR="00664549">
        <w:rPr>
          <w:rFonts w:cstheme="minorHAnsi"/>
        </w:rPr>
        <w:t>As distinct from a time time slice window analysis, it is less reliant on “Programming software” and usually applied when there is concern over the validity or reasonableness of the baseline program and/or contemporaneously updated programme and/or where there are too few contemporaneously updated programme.</w:t>
      </w:r>
      <w:r w:rsidR="00754F63">
        <w:rPr>
          <w:rFonts w:cstheme="minorHAnsi"/>
        </w:rPr>
        <w:t xml:space="preserve"> </w:t>
      </w:r>
      <w:r w:rsidR="00754F63" w:rsidRPr="00754F63">
        <w:rPr>
          <w:rFonts w:cstheme="minorHAnsi"/>
        </w:rPr>
        <w:t>The critical delay incurred and the mitigation or acceleration achieved in each window is accumulated to identify critical delay over the duration of the works.</w:t>
      </w:r>
    </w:p>
    <w:p w:rsidR="003B54C0" w:rsidRDefault="005A51B1" w:rsidP="00067BE2">
      <w:pPr>
        <w:pStyle w:val="NormalWeb"/>
        <w:jc w:val="both"/>
        <w:rPr>
          <w:rFonts w:cstheme="minorHAnsi"/>
          <w:b/>
          <w:vertAlign w:val="superscript"/>
        </w:rPr>
      </w:pPr>
      <w:r w:rsidRPr="00812113">
        <w:rPr>
          <w:rFonts w:cstheme="minorHAnsi"/>
          <w:b/>
          <w:vertAlign w:val="superscript"/>
        </w:rPr>
        <w:t>(SCL)</w:t>
      </w:r>
      <w:r w:rsidRPr="00812113">
        <w:rPr>
          <w:rFonts w:cstheme="minorHAnsi"/>
          <w:b/>
        </w:rPr>
        <w:t xml:space="preserve"> </w:t>
      </w:r>
      <w:r w:rsidR="008326FC" w:rsidRPr="008326FC">
        <w:rPr>
          <w:rFonts w:asciiTheme="minorHAnsi" w:hAnsiTheme="minorHAnsi" w:cstheme="minorHAnsi"/>
          <w:b/>
          <w:sz w:val="22"/>
          <w:szCs w:val="22"/>
        </w:rPr>
        <w:t>8.5</w:t>
      </w:r>
      <w:r w:rsidR="00664549">
        <w:rPr>
          <w:rFonts w:asciiTheme="minorHAnsi" w:hAnsiTheme="minorHAnsi" w:cstheme="minorHAnsi"/>
          <w:sz w:val="22"/>
          <w:szCs w:val="22"/>
        </w:rPr>
        <w:t xml:space="preserve"> </w:t>
      </w:r>
      <w:r w:rsidR="00664549" w:rsidRPr="008326FC">
        <w:rPr>
          <w:rFonts w:asciiTheme="minorHAnsi" w:hAnsiTheme="minorHAnsi" w:cstheme="minorHAnsi"/>
          <w:b/>
          <w:i/>
          <w:sz w:val="22"/>
          <w:szCs w:val="22"/>
          <w:u w:val="single"/>
        </w:rPr>
        <w:t>Retrospective Longest Path Analysis Method:</w:t>
      </w:r>
      <w:r w:rsidR="00664549">
        <w:rPr>
          <w:rFonts w:asciiTheme="minorHAnsi" w:hAnsiTheme="minorHAnsi" w:cstheme="minorHAnsi"/>
          <w:sz w:val="22"/>
          <w:szCs w:val="22"/>
        </w:rPr>
        <w:t xml:space="preserve"> In this, the analyst must first verify or develop a detailed as built programme. Once completed, the analyst then traces the longest continuous path backwards from the actual completion date to determine the as-built critical path. The incidence  and extent  of critical delay is then determined  by comparing key dates along the as-built critical path against corresponding planned dates in the baseline programme.Thereafter, analyst investigate the project records to determine what events might have caused the identified critical delay.</w:t>
      </w:r>
    </w:p>
    <w:p w:rsidR="00067BE2" w:rsidRDefault="009A39AD" w:rsidP="00067BE2">
      <w:pPr>
        <w:pStyle w:val="NormalWeb"/>
        <w:jc w:val="both"/>
        <w:rPr>
          <w:rFonts w:asciiTheme="minorHAnsi" w:hAnsiTheme="minorHAnsi" w:cstheme="minorHAnsi"/>
          <w:sz w:val="22"/>
          <w:szCs w:val="22"/>
        </w:rPr>
      </w:pPr>
      <w:r w:rsidRPr="009A39AD">
        <w:rPr>
          <w:rFonts w:cstheme="minorHAnsi"/>
          <w:b/>
          <w:vertAlign w:val="superscript"/>
        </w:rPr>
        <w:lastRenderedPageBreak/>
        <w:t xml:space="preserve">(3) </w:t>
      </w:r>
      <w:r w:rsidR="008326FC" w:rsidRPr="008326FC">
        <w:rPr>
          <w:rFonts w:asciiTheme="minorHAnsi" w:hAnsiTheme="minorHAnsi" w:cstheme="minorHAnsi"/>
          <w:b/>
          <w:sz w:val="22"/>
          <w:szCs w:val="22"/>
        </w:rPr>
        <w:t>8.6</w:t>
      </w:r>
      <w:r w:rsidR="00664549">
        <w:rPr>
          <w:rFonts w:asciiTheme="minorHAnsi" w:hAnsiTheme="minorHAnsi" w:cstheme="minorHAnsi"/>
          <w:sz w:val="22"/>
          <w:szCs w:val="22"/>
        </w:rPr>
        <w:t xml:space="preserve"> </w:t>
      </w:r>
      <w:proofErr w:type="gramStart"/>
      <w:r w:rsidR="00664549" w:rsidRPr="00CF38B4">
        <w:rPr>
          <w:rFonts w:asciiTheme="minorHAnsi" w:hAnsiTheme="minorHAnsi" w:cstheme="minorHAnsi"/>
          <w:b/>
          <w:bCs/>
          <w:i/>
          <w:sz w:val="22"/>
          <w:szCs w:val="22"/>
          <w:u w:val="single"/>
        </w:rPr>
        <w:t>Collapsed</w:t>
      </w:r>
      <w:proofErr w:type="gramEnd"/>
      <w:r w:rsidR="00664549" w:rsidRPr="00CF38B4">
        <w:rPr>
          <w:rFonts w:asciiTheme="minorHAnsi" w:hAnsiTheme="minorHAnsi" w:cstheme="minorHAnsi"/>
          <w:b/>
          <w:bCs/>
          <w:i/>
          <w:sz w:val="22"/>
          <w:szCs w:val="22"/>
          <w:u w:val="single"/>
        </w:rPr>
        <w:t xml:space="preserve"> as-built</w:t>
      </w:r>
      <w:r w:rsidR="00262AFA">
        <w:rPr>
          <w:rFonts w:asciiTheme="minorHAnsi" w:hAnsiTheme="minorHAnsi" w:cstheme="minorHAnsi"/>
          <w:b/>
          <w:bCs/>
          <w:i/>
          <w:sz w:val="22"/>
          <w:szCs w:val="22"/>
          <w:u w:val="single"/>
        </w:rPr>
        <w:t xml:space="preserve"> Analysis Method</w:t>
      </w:r>
      <w:r w:rsidR="008326FC" w:rsidRPr="00CF38B4">
        <w:rPr>
          <w:rFonts w:asciiTheme="minorHAnsi" w:hAnsiTheme="minorHAnsi" w:cstheme="minorHAnsi"/>
          <w:b/>
          <w:i/>
          <w:sz w:val="22"/>
          <w:szCs w:val="22"/>
          <w:u w:val="single"/>
        </w:rPr>
        <w:t>:</w:t>
      </w:r>
      <w:r w:rsidR="00664549" w:rsidRPr="00812113">
        <w:rPr>
          <w:rFonts w:asciiTheme="minorHAnsi" w:hAnsiTheme="minorHAnsi" w:cstheme="minorHAnsi"/>
          <w:sz w:val="22"/>
          <w:szCs w:val="22"/>
        </w:rPr>
        <w:t xml:space="preserve"> This method is used so as to permit the effect of events to be “subtracted” from the as-built programme to determine what would have </w:t>
      </w:r>
      <w:r w:rsidR="003F069C" w:rsidRPr="00812113">
        <w:rPr>
          <w:rFonts w:asciiTheme="minorHAnsi" w:hAnsiTheme="minorHAnsi" w:cstheme="minorHAnsi"/>
          <w:sz w:val="22"/>
          <w:szCs w:val="22"/>
        </w:rPr>
        <w:t>occurred but for those events.</w:t>
      </w:r>
    </w:p>
    <w:p w:rsidR="00D32648" w:rsidRDefault="00D32648" w:rsidP="00067BE2">
      <w:pPr>
        <w:pStyle w:val="NormalWeb"/>
        <w:jc w:val="both"/>
        <w:rPr>
          <w:rFonts w:asciiTheme="minorHAnsi" w:hAnsiTheme="minorHAnsi" w:cstheme="minorHAnsi"/>
          <w:b/>
          <w:sz w:val="22"/>
          <w:szCs w:val="22"/>
          <w:u w:val="single"/>
        </w:rPr>
      </w:pPr>
    </w:p>
    <w:p w:rsidR="00D32648" w:rsidRDefault="00D32648" w:rsidP="00067BE2">
      <w:pPr>
        <w:pStyle w:val="NormalWeb"/>
        <w:jc w:val="both"/>
        <w:rPr>
          <w:rFonts w:asciiTheme="minorHAnsi" w:hAnsiTheme="minorHAnsi" w:cstheme="minorHAnsi"/>
          <w:b/>
          <w:sz w:val="22"/>
          <w:szCs w:val="22"/>
          <w:u w:val="single"/>
        </w:rPr>
      </w:pPr>
    </w:p>
    <w:p w:rsidR="00D32648" w:rsidRDefault="00D32648" w:rsidP="00067BE2">
      <w:pPr>
        <w:pStyle w:val="NormalWeb"/>
        <w:jc w:val="both"/>
        <w:rPr>
          <w:rFonts w:asciiTheme="minorHAnsi" w:hAnsiTheme="minorHAnsi" w:cstheme="minorHAnsi"/>
          <w:b/>
          <w:sz w:val="22"/>
          <w:szCs w:val="22"/>
          <w:u w:val="single"/>
        </w:rPr>
      </w:pPr>
    </w:p>
    <w:p w:rsidR="00F93A35" w:rsidRPr="00812113" w:rsidRDefault="008326FC" w:rsidP="00067BE2">
      <w:pPr>
        <w:pStyle w:val="NormalWeb"/>
        <w:jc w:val="both"/>
        <w:rPr>
          <w:rFonts w:cstheme="minorHAnsi"/>
        </w:rPr>
      </w:pPr>
      <w:r>
        <w:rPr>
          <w:rFonts w:asciiTheme="minorHAnsi" w:hAnsiTheme="minorHAnsi" w:cstheme="minorHAnsi"/>
          <w:b/>
          <w:sz w:val="22"/>
          <w:szCs w:val="22"/>
          <w:u w:val="single"/>
        </w:rPr>
        <w:t xml:space="preserve">9.0 </w:t>
      </w:r>
      <w:r w:rsidR="00F93A35" w:rsidRPr="00F93A35">
        <w:rPr>
          <w:rFonts w:asciiTheme="minorHAnsi" w:hAnsiTheme="minorHAnsi" w:cstheme="minorHAnsi"/>
          <w:b/>
          <w:sz w:val="22"/>
          <w:szCs w:val="22"/>
          <w:u w:val="single"/>
        </w:rPr>
        <w:t>Conclusion:</w:t>
      </w:r>
      <w:r w:rsidR="00F93A35">
        <w:rPr>
          <w:rFonts w:asciiTheme="minorHAnsi" w:hAnsiTheme="minorHAnsi" w:cstheme="minorHAnsi"/>
          <w:sz w:val="22"/>
          <w:szCs w:val="22"/>
        </w:rPr>
        <w:t xml:space="preserve"> </w:t>
      </w:r>
      <w:r w:rsidR="00F93A35" w:rsidRPr="00747BF7">
        <w:rPr>
          <w:rFonts w:asciiTheme="minorHAnsi" w:hAnsiTheme="minorHAnsi" w:cstheme="minorHAnsi"/>
        </w:rPr>
        <w:t>Although many methods have been developed and adopted to analyze and measure construction schedule delays, no-one is accepted for all project participants and suitable for all delay situations.</w:t>
      </w:r>
      <w:r w:rsidR="00F93A35">
        <w:rPr>
          <w:rFonts w:asciiTheme="minorHAnsi" w:hAnsiTheme="minorHAnsi" w:cstheme="minorHAnsi"/>
        </w:rPr>
        <w:t xml:space="preserve"> </w:t>
      </w:r>
      <w:r w:rsidR="00F93A35" w:rsidRPr="008D37D0">
        <w:rPr>
          <w:rFonts w:asciiTheme="minorHAnsi" w:hAnsiTheme="minorHAnsi" w:cstheme="minorHAnsi"/>
          <w:b/>
          <w:i/>
        </w:rPr>
        <w:t>Impacted as planned analysis method</w:t>
      </w:r>
      <w:r w:rsidR="00F93A35">
        <w:rPr>
          <w:rFonts w:asciiTheme="minorHAnsi" w:hAnsiTheme="minorHAnsi" w:cstheme="minorHAnsi"/>
        </w:rPr>
        <w:t xml:space="preserve"> is dynamic method, </w:t>
      </w:r>
      <w:r w:rsidR="00FA452D">
        <w:rPr>
          <w:rFonts w:asciiTheme="minorHAnsi" w:hAnsiTheme="minorHAnsi" w:cstheme="minorHAnsi"/>
        </w:rPr>
        <w:t>therefore</w:t>
      </w:r>
      <w:r w:rsidR="00F93A35">
        <w:rPr>
          <w:rFonts w:asciiTheme="minorHAnsi" w:hAnsiTheme="minorHAnsi" w:cstheme="minorHAnsi"/>
        </w:rPr>
        <w:t xml:space="preserve"> requires a networked schedule.</w:t>
      </w:r>
      <w:r w:rsidR="008D5934">
        <w:rPr>
          <w:rFonts w:asciiTheme="minorHAnsi" w:hAnsiTheme="minorHAnsi" w:cstheme="minorHAnsi"/>
        </w:rPr>
        <w:t xml:space="preserve"> </w:t>
      </w:r>
      <w:r w:rsidR="00FA452D">
        <w:rPr>
          <w:rFonts w:asciiTheme="minorHAnsi" w:hAnsiTheme="minorHAnsi" w:cstheme="minorHAnsi"/>
        </w:rPr>
        <w:t xml:space="preserve">This technique can be used during and after project completion. </w:t>
      </w:r>
      <w:r w:rsidR="008D5934">
        <w:rPr>
          <w:rFonts w:asciiTheme="minorHAnsi" w:hAnsiTheme="minorHAnsi" w:cstheme="minorHAnsi"/>
        </w:rPr>
        <w:t xml:space="preserve">It is inexpensive and simple. </w:t>
      </w:r>
      <w:r w:rsidR="008D5934" w:rsidRPr="008D37D0">
        <w:rPr>
          <w:rFonts w:asciiTheme="minorHAnsi" w:hAnsiTheme="minorHAnsi" w:cstheme="minorHAnsi"/>
          <w:b/>
          <w:i/>
        </w:rPr>
        <w:t>The Time Impact Analysis technique</w:t>
      </w:r>
      <w:r w:rsidR="008D5934">
        <w:rPr>
          <w:rFonts w:asciiTheme="minorHAnsi" w:hAnsiTheme="minorHAnsi" w:cstheme="minorHAnsi"/>
        </w:rPr>
        <w:t xml:space="preserve"> is most time consuming and costly. What one can take from this</w:t>
      </w:r>
      <w:r w:rsidR="008D37D0">
        <w:rPr>
          <w:rFonts w:asciiTheme="minorHAnsi" w:hAnsiTheme="minorHAnsi" w:cstheme="minorHAnsi"/>
        </w:rPr>
        <w:t xml:space="preserve"> method </w:t>
      </w:r>
      <w:r w:rsidR="008D5934">
        <w:rPr>
          <w:rFonts w:asciiTheme="minorHAnsi" w:hAnsiTheme="minorHAnsi" w:cstheme="minorHAnsi"/>
        </w:rPr>
        <w:t xml:space="preserve"> is to secure extension of time and presumably relief from liquidated and ascertained damages. In </w:t>
      </w:r>
      <w:r w:rsidR="008D5934" w:rsidRPr="00CE30CF">
        <w:rPr>
          <w:rFonts w:asciiTheme="minorHAnsi" w:hAnsiTheme="minorHAnsi" w:cstheme="minorHAnsi"/>
          <w:b/>
          <w:i/>
        </w:rPr>
        <w:t>Time slice window analysis</w:t>
      </w:r>
      <w:r w:rsidR="008D5934">
        <w:rPr>
          <w:rFonts w:asciiTheme="minorHAnsi" w:hAnsiTheme="minorHAnsi" w:cstheme="minorHAnsi"/>
        </w:rPr>
        <w:t xml:space="preserve">, the baseline or host </w:t>
      </w:r>
      <w:r w:rsidR="00CE30CF">
        <w:rPr>
          <w:rFonts w:asciiTheme="minorHAnsi" w:hAnsiTheme="minorHAnsi" w:cstheme="minorHAnsi"/>
        </w:rPr>
        <w:t>schedule must</w:t>
      </w:r>
      <w:r w:rsidR="008D5934">
        <w:rPr>
          <w:rFonts w:asciiTheme="minorHAnsi" w:hAnsiTheme="minorHAnsi" w:cstheme="minorHAnsi"/>
        </w:rPr>
        <w:t xml:space="preserve"> be detailed and networked. </w:t>
      </w:r>
      <w:r w:rsidR="008D37D0" w:rsidRPr="00CF38B4">
        <w:rPr>
          <w:rFonts w:asciiTheme="minorHAnsi" w:hAnsiTheme="minorHAnsi" w:cstheme="minorHAnsi"/>
          <w:b/>
          <w:i/>
        </w:rPr>
        <w:t>Collapsed as built analysis technique</w:t>
      </w:r>
      <w:r w:rsidR="00CE30CF">
        <w:rPr>
          <w:rFonts w:asciiTheme="minorHAnsi" w:hAnsiTheme="minorHAnsi" w:cstheme="minorHAnsi"/>
        </w:rPr>
        <w:t xml:space="preserve">: When there </w:t>
      </w:r>
      <w:r w:rsidR="00CF38B4">
        <w:rPr>
          <w:rFonts w:asciiTheme="minorHAnsi" w:hAnsiTheme="minorHAnsi" w:cstheme="minorHAnsi"/>
        </w:rPr>
        <w:t>are good</w:t>
      </w:r>
      <w:r w:rsidR="00CE30CF">
        <w:rPr>
          <w:rFonts w:asciiTheme="minorHAnsi" w:hAnsiTheme="minorHAnsi" w:cstheme="minorHAnsi"/>
        </w:rPr>
        <w:t xml:space="preserve"> as built records but no as planned programme or as planned programme is not adequately prepared then this technique works well. The conclusion reached is a hypothesis and not a fact.</w:t>
      </w:r>
    </w:p>
    <w:p w:rsidR="00067BE2" w:rsidRPr="00925378" w:rsidRDefault="00067BE2" w:rsidP="00067BE2">
      <w:pPr>
        <w:pStyle w:val="Default"/>
        <w:jc w:val="both"/>
        <w:rPr>
          <w:rFonts w:asciiTheme="minorHAnsi" w:hAnsiTheme="minorHAnsi" w:cstheme="minorHAnsi"/>
          <w:b/>
          <w:i/>
          <w:color w:val="C00000"/>
          <w:sz w:val="22"/>
          <w:szCs w:val="22"/>
        </w:rPr>
      </w:pPr>
      <w:r w:rsidRPr="00925378">
        <w:rPr>
          <w:rFonts w:asciiTheme="minorHAnsi" w:hAnsiTheme="minorHAnsi" w:cstheme="minorHAnsi"/>
          <w:b/>
          <w:i/>
          <w:color w:val="C00000"/>
          <w:sz w:val="22"/>
          <w:szCs w:val="22"/>
        </w:rPr>
        <w:t>NB (nota bene): This is a nonprofit making and knowledge sharing publication</w:t>
      </w:r>
    </w:p>
    <w:p w:rsidR="005A51B1" w:rsidRPr="005A51B1" w:rsidRDefault="005A51B1" w:rsidP="00067BE2">
      <w:pPr>
        <w:autoSpaceDE w:val="0"/>
        <w:autoSpaceDN w:val="0"/>
        <w:adjustRightInd w:val="0"/>
        <w:spacing w:after="0" w:line="240" w:lineRule="auto"/>
        <w:rPr>
          <w:rFonts w:cstheme="minorHAnsi"/>
        </w:rPr>
      </w:pPr>
    </w:p>
    <w:p w:rsidR="0007482F" w:rsidRPr="001C259A" w:rsidRDefault="00067BE2" w:rsidP="00067BE2">
      <w:pPr>
        <w:autoSpaceDE w:val="0"/>
        <w:autoSpaceDN w:val="0"/>
        <w:adjustRightInd w:val="0"/>
        <w:spacing w:after="0" w:line="240" w:lineRule="auto"/>
        <w:rPr>
          <w:rFonts w:cstheme="minorHAnsi"/>
          <w:b/>
        </w:rPr>
      </w:pPr>
      <w:r w:rsidRPr="001C259A">
        <w:rPr>
          <w:rFonts w:cstheme="minorHAnsi"/>
          <w:b/>
        </w:rPr>
        <w:t xml:space="preserve">Source: </w:t>
      </w:r>
    </w:p>
    <w:p w:rsidR="0007482F" w:rsidRPr="001C259A" w:rsidRDefault="0007482F" w:rsidP="00262AFA">
      <w:pPr>
        <w:autoSpaceDE w:val="0"/>
        <w:autoSpaceDN w:val="0"/>
        <w:adjustRightInd w:val="0"/>
        <w:spacing w:after="0" w:line="240" w:lineRule="auto"/>
        <w:jc w:val="both"/>
        <w:rPr>
          <w:rFonts w:cstheme="minorHAnsi"/>
        </w:rPr>
      </w:pPr>
      <w:r w:rsidRPr="001C259A">
        <w:rPr>
          <w:rFonts w:cstheme="minorHAnsi"/>
        </w:rPr>
        <w:t xml:space="preserve">1. Part 1. Construction Planning and Studies by David A. Cormican, </w:t>
      </w:r>
      <w:r w:rsidR="00262AFA" w:rsidRPr="001C259A">
        <w:rPr>
          <w:rFonts w:cstheme="minorHAnsi"/>
        </w:rPr>
        <w:t>published b</w:t>
      </w:r>
      <w:r w:rsidR="00811542">
        <w:rPr>
          <w:rFonts w:cstheme="minorHAnsi"/>
        </w:rPr>
        <w:t>y Construction Press, London &amp; N</w:t>
      </w:r>
      <w:r w:rsidR="00262AFA" w:rsidRPr="001C259A">
        <w:rPr>
          <w:rFonts w:cstheme="minorHAnsi"/>
        </w:rPr>
        <w:t>ew York (1985)</w:t>
      </w:r>
      <w:r w:rsidR="00A844CD">
        <w:rPr>
          <w:rFonts w:cstheme="minorHAnsi"/>
        </w:rPr>
        <w:t>. Para 25 to 47.</w:t>
      </w:r>
    </w:p>
    <w:p w:rsidR="00477F5E" w:rsidRPr="001C259A" w:rsidRDefault="00477F5E" w:rsidP="00262AFA">
      <w:pPr>
        <w:autoSpaceDE w:val="0"/>
        <w:autoSpaceDN w:val="0"/>
        <w:adjustRightInd w:val="0"/>
        <w:spacing w:after="0" w:line="240" w:lineRule="auto"/>
        <w:jc w:val="both"/>
        <w:rPr>
          <w:rFonts w:cstheme="minorHAnsi"/>
        </w:rPr>
      </w:pPr>
      <w:r w:rsidRPr="001C259A">
        <w:rPr>
          <w:rFonts w:cstheme="minorHAnsi"/>
        </w:rPr>
        <w:t>2. (SCL) Society of Construction Law, England, SCL_Delay Protocol-2</w:t>
      </w:r>
      <w:r w:rsidRPr="001C259A">
        <w:rPr>
          <w:rFonts w:cstheme="minorHAnsi"/>
          <w:vertAlign w:val="superscript"/>
        </w:rPr>
        <w:t>nd</w:t>
      </w:r>
      <w:r w:rsidRPr="001C259A">
        <w:rPr>
          <w:rFonts w:cstheme="minorHAnsi"/>
        </w:rPr>
        <w:t xml:space="preserve"> Edition_2017</w:t>
      </w:r>
    </w:p>
    <w:p w:rsidR="005A51B1" w:rsidRPr="001C259A" w:rsidRDefault="009A39AD" w:rsidP="00CC1C77">
      <w:pPr>
        <w:pStyle w:val="NoSpacing"/>
        <w:jc w:val="both"/>
        <w:rPr>
          <w:rFonts w:cstheme="minorHAnsi"/>
        </w:rPr>
      </w:pPr>
      <w:r w:rsidRPr="001C259A">
        <w:rPr>
          <w:rFonts w:cstheme="minorHAnsi"/>
        </w:rPr>
        <w:t xml:space="preserve">3. </w:t>
      </w:r>
      <w:r w:rsidR="005A51B1" w:rsidRPr="001C259A">
        <w:rPr>
          <w:rFonts w:cstheme="minorHAnsi"/>
        </w:rPr>
        <w:t xml:space="preserve">[2002} EWHC 597 (TCC). </w:t>
      </w:r>
      <w:r w:rsidR="001C259A" w:rsidRPr="001C259A">
        <w:rPr>
          <w:rFonts w:cstheme="minorHAnsi"/>
        </w:rPr>
        <w:t xml:space="preserve">Para 51 I to </w:t>
      </w:r>
      <w:r w:rsidR="00811542" w:rsidRPr="001C259A">
        <w:rPr>
          <w:rFonts w:cstheme="minorHAnsi"/>
        </w:rPr>
        <w:t>IV</w:t>
      </w:r>
      <w:r w:rsidR="001C259A" w:rsidRPr="001C259A">
        <w:rPr>
          <w:rFonts w:cstheme="minorHAnsi"/>
        </w:rPr>
        <w:t xml:space="preserve">, and </w:t>
      </w:r>
      <w:r w:rsidR="00CC1C77">
        <w:rPr>
          <w:rFonts w:cstheme="minorHAnsi"/>
          <w:b/>
          <w:bCs/>
        </w:rPr>
        <w:t>V</w:t>
      </w:r>
      <w:r w:rsidR="001C259A" w:rsidRPr="001C259A">
        <w:rPr>
          <w:rFonts w:cstheme="minorHAnsi"/>
          <w:b/>
          <w:bCs/>
        </w:rPr>
        <w:t xml:space="preserve">) </w:t>
      </w:r>
      <w:r w:rsidR="001C259A" w:rsidRPr="00925378">
        <w:rPr>
          <w:rFonts w:cstheme="minorHAnsi"/>
          <w:b/>
          <w:bCs/>
          <w:u w:val="single"/>
        </w:rPr>
        <w:t>Global assessment</w:t>
      </w:r>
      <w:r w:rsidR="001C259A" w:rsidRPr="001C259A">
        <w:rPr>
          <w:rFonts w:cstheme="minorHAnsi"/>
          <w:b/>
          <w:bCs/>
        </w:rPr>
        <w:t>. This is not a proper or acceptable method to analyse delay.</w:t>
      </w:r>
    </w:p>
    <w:p w:rsidR="0007482F" w:rsidRPr="005A51B1" w:rsidRDefault="005A51B1" w:rsidP="00925378">
      <w:pPr>
        <w:pStyle w:val="NoSpacing"/>
        <w:jc w:val="both"/>
        <w:rPr>
          <w:rFonts w:cstheme="minorHAnsi"/>
        </w:rPr>
      </w:pPr>
      <w:r w:rsidRPr="005A51B1">
        <w:rPr>
          <w:rFonts w:cstheme="minorHAnsi"/>
        </w:rPr>
        <w:t>4</w:t>
      </w:r>
      <w:r w:rsidR="0007482F" w:rsidRPr="005A51B1">
        <w:rPr>
          <w:rFonts w:cstheme="minorHAnsi"/>
        </w:rPr>
        <w:t>.</w:t>
      </w:r>
      <w:r w:rsidR="00925378">
        <w:rPr>
          <w:rFonts w:cstheme="minorHAnsi"/>
        </w:rPr>
        <w:t xml:space="preserve"> </w:t>
      </w:r>
      <w:r w:rsidR="00477F5E" w:rsidRPr="005A51B1">
        <w:rPr>
          <w:rFonts w:cstheme="minorHAnsi"/>
        </w:rPr>
        <w:t xml:space="preserve">Courtesy: </w:t>
      </w:r>
      <w:r w:rsidR="004142F2" w:rsidRPr="005A51B1">
        <w:rPr>
          <w:rFonts w:cstheme="minorHAnsi"/>
        </w:rPr>
        <w:t>Construction Delay Analysis Methods</w:t>
      </w:r>
      <w:r w:rsidR="00925378">
        <w:rPr>
          <w:rFonts w:cstheme="minorHAnsi"/>
        </w:rPr>
        <w:t>.</w:t>
      </w:r>
      <w:r w:rsidR="004142F2" w:rsidRPr="005A51B1">
        <w:rPr>
          <w:rFonts w:cstheme="minorHAnsi"/>
        </w:rPr>
        <w:t xml:space="preserve">  </w:t>
      </w:r>
      <w:hyperlink r:id="rId10" w:history="1">
        <w:r w:rsidR="00421B35" w:rsidRPr="005A51B1">
          <w:rPr>
            <w:rStyle w:val="Hyperlink"/>
            <w:rFonts w:cstheme="minorHAnsi"/>
          </w:rPr>
          <w:t>https://sites.google.com/site/metropolitanforensics/construction-delay-analysis-methods</w:t>
        </w:r>
      </w:hyperlink>
    </w:p>
    <w:p w:rsidR="00421B35" w:rsidRDefault="005A51B1" w:rsidP="00262AFA">
      <w:pPr>
        <w:pStyle w:val="NoSpacing"/>
        <w:jc w:val="both"/>
        <w:rPr>
          <w:rFonts w:cstheme="minorHAnsi"/>
        </w:rPr>
      </w:pPr>
      <w:r w:rsidRPr="005A51B1">
        <w:rPr>
          <w:rFonts w:cstheme="minorHAnsi"/>
        </w:rPr>
        <w:t>5</w:t>
      </w:r>
      <w:r w:rsidR="00421B35" w:rsidRPr="005A51B1">
        <w:rPr>
          <w:rFonts w:cstheme="minorHAnsi"/>
        </w:rPr>
        <w:t xml:space="preserve">. </w:t>
      </w:r>
      <w:r w:rsidR="00477F5E" w:rsidRPr="005A51B1">
        <w:rPr>
          <w:rFonts w:cstheme="minorHAnsi"/>
        </w:rPr>
        <w:t xml:space="preserve">Courtesy: </w:t>
      </w:r>
      <w:r w:rsidR="00421B35" w:rsidRPr="005A51B1">
        <w:rPr>
          <w:rFonts w:cstheme="minorHAnsi"/>
        </w:rPr>
        <w:t>Review of Delay Analysis Methods: A Process Based Comparision 2009, by Jyh-Bin Yang and Chih-Kuei Kao of the Department of Construction Engineering &amp; Project Management/ Institute of Construction Management, Chunghua University. Taiwan</w:t>
      </w:r>
      <w:r w:rsidR="0067174D">
        <w:rPr>
          <w:rFonts w:cstheme="minorHAnsi"/>
        </w:rPr>
        <w:t>.</w:t>
      </w:r>
    </w:p>
    <w:p w:rsidR="0067174D" w:rsidRDefault="0067174D" w:rsidP="00262AFA">
      <w:pPr>
        <w:pStyle w:val="NoSpacing"/>
        <w:jc w:val="both"/>
        <w:rPr>
          <w:rFonts w:cstheme="minorHAnsi"/>
        </w:rPr>
      </w:pPr>
    </w:p>
    <w:p w:rsidR="008C012E" w:rsidRDefault="008C012E" w:rsidP="00262AFA">
      <w:pPr>
        <w:pStyle w:val="NoSpacing"/>
        <w:jc w:val="both"/>
      </w:pPr>
      <w:r w:rsidRPr="0067174D">
        <w:rPr>
          <w:rFonts w:ascii="French Script MT" w:hAnsi="French Script MT" w:cstheme="minorHAnsi"/>
          <w:b/>
          <w:bCs/>
          <w:sz w:val="28"/>
          <w:szCs w:val="28"/>
        </w:rPr>
        <w:t>This Article is published on 11</w:t>
      </w:r>
      <w:r w:rsidRPr="0067174D">
        <w:rPr>
          <w:rFonts w:ascii="French Script MT" w:hAnsi="French Script MT" w:cstheme="minorHAnsi"/>
          <w:b/>
          <w:bCs/>
          <w:sz w:val="28"/>
          <w:szCs w:val="28"/>
          <w:vertAlign w:val="superscript"/>
        </w:rPr>
        <w:t>th</w:t>
      </w:r>
      <w:r w:rsidRPr="0067174D">
        <w:rPr>
          <w:rFonts w:ascii="French Script MT" w:hAnsi="French Script MT" w:cstheme="minorHAnsi"/>
          <w:b/>
          <w:bCs/>
          <w:sz w:val="28"/>
          <w:szCs w:val="28"/>
        </w:rPr>
        <w:t xml:space="preserve"> April, 2020 in</w:t>
      </w:r>
      <w:r>
        <w:rPr>
          <w:rFonts w:cstheme="minorHAnsi"/>
        </w:rPr>
        <w:t xml:space="preserve"> </w:t>
      </w:r>
      <w:hyperlink r:id="rId11" w:history="1">
        <w:r>
          <w:rPr>
            <w:rStyle w:val="Hyperlink"/>
          </w:rPr>
          <w:t>https://www.lawweb.in/</w:t>
        </w:r>
      </w:hyperlink>
      <w:r>
        <w:t xml:space="preserve"> </w:t>
      </w:r>
    </w:p>
    <w:p w:rsidR="008C012E" w:rsidRPr="005A51B1" w:rsidRDefault="008C012E" w:rsidP="00262AFA">
      <w:pPr>
        <w:pStyle w:val="NoSpacing"/>
        <w:jc w:val="both"/>
        <w:rPr>
          <w:rFonts w:cstheme="minorHAnsi"/>
        </w:rPr>
      </w:pPr>
    </w:p>
    <w:p w:rsidR="00421B35" w:rsidRPr="00421B35" w:rsidRDefault="00421B35" w:rsidP="005A51B1">
      <w:pPr>
        <w:pStyle w:val="NoSpacing"/>
        <w:rPr>
          <w:rFonts w:cstheme="minorHAnsi"/>
        </w:rPr>
      </w:pPr>
    </w:p>
    <w:p w:rsidR="0007482F" w:rsidRDefault="0007482F" w:rsidP="00067BE2">
      <w:pPr>
        <w:autoSpaceDE w:val="0"/>
        <w:autoSpaceDN w:val="0"/>
        <w:adjustRightInd w:val="0"/>
        <w:spacing w:after="0" w:line="240" w:lineRule="auto"/>
        <w:rPr>
          <w:rFonts w:asciiTheme="majorBidi" w:hAnsiTheme="majorBidi" w:cstheme="majorBidi"/>
          <w:sz w:val="18"/>
          <w:szCs w:val="18"/>
        </w:rPr>
      </w:pPr>
    </w:p>
    <w:sectPr w:rsidR="000748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 w:name="French Script MT">
    <w:panose1 w:val="03020402040607040605"/>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DE1A0F"/>
    <w:multiLevelType w:val="hybridMultilevel"/>
    <w:tmpl w:val="0774371A"/>
    <w:lvl w:ilvl="0" w:tplc="442826F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BB0"/>
    <w:rsid w:val="00005071"/>
    <w:rsid w:val="000340B0"/>
    <w:rsid w:val="000574B8"/>
    <w:rsid w:val="00067BE2"/>
    <w:rsid w:val="0007482F"/>
    <w:rsid w:val="0009457F"/>
    <w:rsid w:val="000D0E81"/>
    <w:rsid w:val="00112E96"/>
    <w:rsid w:val="0013623C"/>
    <w:rsid w:val="00171D19"/>
    <w:rsid w:val="001A125C"/>
    <w:rsid w:val="001C259A"/>
    <w:rsid w:val="001F76DA"/>
    <w:rsid w:val="00201285"/>
    <w:rsid w:val="00237FD7"/>
    <w:rsid w:val="00244A54"/>
    <w:rsid w:val="002529B2"/>
    <w:rsid w:val="00261F8C"/>
    <w:rsid w:val="00262AFA"/>
    <w:rsid w:val="00270419"/>
    <w:rsid w:val="00274CE3"/>
    <w:rsid w:val="002859B8"/>
    <w:rsid w:val="00295A13"/>
    <w:rsid w:val="002B2BB0"/>
    <w:rsid w:val="002D3714"/>
    <w:rsid w:val="00305483"/>
    <w:rsid w:val="00314708"/>
    <w:rsid w:val="003B54C0"/>
    <w:rsid w:val="003B7456"/>
    <w:rsid w:val="003D4E5D"/>
    <w:rsid w:val="003F069C"/>
    <w:rsid w:val="004142F2"/>
    <w:rsid w:val="00421B35"/>
    <w:rsid w:val="00455E5E"/>
    <w:rsid w:val="00472727"/>
    <w:rsid w:val="004773C7"/>
    <w:rsid w:val="00477F5E"/>
    <w:rsid w:val="004A3173"/>
    <w:rsid w:val="004B2FE4"/>
    <w:rsid w:val="005209EB"/>
    <w:rsid w:val="00560FF4"/>
    <w:rsid w:val="0059326F"/>
    <w:rsid w:val="005A51B1"/>
    <w:rsid w:val="005A590E"/>
    <w:rsid w:val="005A7A3B"/>
    <w:rsid w:val="005D370A"/>
    <w:rsid w:val="005E3375"/>
    <w:rsid w:val="00664549"/>
    <w:rsid w:val="00666955"/>
    <w:rsid w:val="0067174D"/>
    <w:rsid w:val="006C73F8"/>
    <w:rsid w:val="006C7838"/>
    <w:rsid w:val="006D5E83"/>
    <w:rsid w:val="006E1994"/>
    <w:rsid w:val="00706250"/>
    <w:rsid w:val="007403DF"/>
    <w:rsid w:val="00754F63"/>
    <w:rsid w:val="007669EB"/>
    <w:rsid w:val="00770CBB"/>
    <w:rsid w:val="007A586E"/>
    <w:rsid w:val="007B6FB7"/>
    <w:rsid w:val="007C7375"/>
    <w:rsid w:val="00800968"/>
    <w:rsid w:val="00811542"/>
    <w:rsid w:val="00812113"/>
    <w:rsid w:val="0081707A"/>
    <w:rsid w:val="008326FC"/>
    <w:rsid w:val="00836A79"/>
    <w:rsid w:val="00837C99"/>
    <w:rsid w:val="00867F6A"/>
    <w:rsid w:val="00890E74"/>
    <w:rsid w:val="008B4DB2"/>
    <w:rsid w:val="008C012E"/>
    <w:rsid w:val="008D37D0"/>
    <w:rsid w:val="008D5934"/>
    <w:rsid w:val="00925378"/>
    <w:rsid w:val="00960DD5"/>
    <w:rsid w:val="009A39AD"/>
    <w:rsid w:val="009D4CF9"/>
    <w:rsid w:val="00A0680D"/>
    <w:rsid w:val="00A56D11"/>
    <w:rsid w:val="00A8430E"/>
    <w:rsid w:val="00A844CD"/>
    <w:rsid w:val="00AD2220"/>
    <w:rsid w:val="00AD7650"/>
    <w:rsid w:val="00B1146A"/>
    <w:rsid w:val="00B4130C"/>
    <w:rsid w:val="00B43199"/>
    <w:rsid w:val="00B91881"/>
    <w:rsid w:val="00B95486"/>
    <w:rsid w:val="00BC227B"/>
    <w:rsid w:val="00C750D9"/>
    <w:rsid w:val="00C76016"/>
    <w:rsid w:val="00CA2F4C"/>
    <w:rsid w:val="00CC1C77"/>
    <w:rsid w:val="00CE30CF"/>
    <w:rsid w:val="00CE73E1"/>
    <w:rsid w:val="00CF38B4"/>
    <w:rsid w:val="00D32648"/>
    <w:rsid w:val="00D32B4B"/>
    <w:rsid w:val="00D56383"/>
    <w:rsid w:val="00D658AD"/>
    <w:rsid w:val="00D81E98"/>
    <w:rsid w:val="00DA4004"/>
    <w:rsid w:val="00E305D7"/>
    <w:rsid w:val="00E40DE2"/>
    <w:rsid w:val="00E64A5C"/>
    <w:rsid w:val="00EA421D"/>
    <w:rsid w:val="00EA4A95"/>
    <w:rsid w:val="00EC3C92"/>
    <w:rsid w:val="00EF631B"/>
    <w:rsid w:val="00F05B60"/>
    <w:rsid w:val="00F0602B"/>
    <w:rsid w:val="00F22094"/>
    <w:rsid w:val="00F252EC"/>
    <w:rsid w:val="00F55DD0"/>
    <w:rsid w:val="00F72AD2"/>
    <w:rsid w:val="00F75B0B"/>
    <w:rsid w:val="00F8359B"/>
    <w:rsid w:val="00F93A35"/>
    <w:rsid w:val="00FA452D"/>
    <w:rsid w:val="00FD21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2BB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B2B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2BB0"/>
    <w:rPr>
      <w:rFonts w:ascii="Tahoma" w:hAnsi="Tahoma" w:cs="Tahoma"/>
      <w:sz w:val="16"/>
      <w:szCs w:val="16"/>
    </w:rPr>
  </w:style>
  <w:style w:type="paragraph" w:customStyle="1" w:styleId="Default">
    <w:name w:val="Default"/>
    <w:rsid w:val="00960DD5"/>
    <w:pPr>
      <w:autoSpaceDE w:val="0"/>
      <w:autoSpaceDN w:val="0"/>
      <w:adjustRightInd w:val="0"/>
      <w:spacing w:after="0" w:line="240" w:lineRule="auto"/>
    </w:pPr>
    <w:rPr>
      <w:rFonts w:ascii="Verdana" w:hAnsi="Verdana" w:cs="Verdana"/>
      <w:color w:val="000000"/>
      <w:sz w:val="24"/>
      <w:szCs w:val="24"/>
    </w:rPr>
  </w:style>
  <w:style w:type="character" w:styleId="Hyperlink">
    <w:name w:val="Hyperlink"/>
    <w:basedOn w:val="DefaultParagraphFont"/>
    <w:uiPriority w:val="99"/>
    <w:semiHidden/>
    <w:unhideWhenUsed/>
    <w:rsid w:val="00CE73E1"/>
    <w:rPr>
      <w:color w:val="0000FF"/>
      <w:u w:val="single"/>
    </w:rPr>
  </w:style>
  <w:style w:type="table" w:styleId="TableGrid">
    <w:name w:val="Table Grid"/>
    <w:basedOn w:val="TableNormal"/>
    <w:uiPriority w:val="39"/>
    <w:rsid w:val="007B6F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91881"/>
    <w:pPr>
      <w:spacing w:after="0" w:line="240" w:lineRule="auto"/>
    </w:pPr>
  </w:style>
  <w:style w:type="paragraph" w:styleId="ListParagraph">
    <w:name w:val="List Paragraph"/>
    <w:basedOn w:val="Normal"/>
    <w:uiPriority w:val="34"/>
    <w:qFormat/>
    <w:rsid w:val="004A31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2BB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B2B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2BB0"/>
    <w:rPr>
      <w:rFonts w:ascii="Tahoma" w:hAnsi="Tahoma" w:cs="Tahoma"/>
      <w:sz w:val="16"/>
      <w:szCs w:val="16"/>
    </w:rPr>
  </w:style>
  <w:style w:type="paragraph" w:customStyle="1" w:styleId="Default">
    <w:name w:val="Default"/>
    <w:rsid w:val="00960DD5"/>
    <w:pPr>
      <w:autoSpaceDE w:val="0"/>
      <w:autoSpaceDN w:val="0"/>
      <w:adjustRightInd w:val="0"/>
      <w:spacing w:after="0" w:line="240" w:lineRule="auto"/>
    </w:pPr>
    <w:rPr>
      <w:rFonts w:ascii="Verdana" w:hAnsi="Verdana" w:cs="Verdana"/>
      <w:color w:val="000000"/>
      <w:sz w:val="24"/>
      <w:szCs w:val="24"/>
    </w:rPr>
  </w:style>
  <w:style w:type="character" w:styleId="Hyperlink">
    <w:name w:val="Hyperlink"/>
    <w:basedOn w:val="DefaultParagraphFont"/>
    <w:uiPriority w:val="99"/>
    <w:semiHidden/>
    <w:unhideWhenUsed/>
    <w:rsid w:val="00CE73E1"/>
    <w:rPr>
      <w:color w:val="0000FF"/>
      <w:u w:val="single"/>
    </w:rPr>
  </w:style>
  <w:style w:type="table" w:styleId="TableGrid">
    <w:name w:val="Table Grid"/>
    <w:basedOn w:val="TableNormal"/>
    <w:uiPriority w:val="39"/>
    <w:rsid w:val="007B6F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91881"/>
    <w:pPr>
      <w:spacing w:after="0" w:line="240" w:lineRule="auto"/>
    </w:pPr>
  </w:style>
  <w:style w:type="paragraph" w:styleId="ListParagraph">
    <w:name w:val="List Paragraph"/>
    <w:basedOn w:val="Normal"/>
    <w:uiPriority w:val="34"/>
    <w:qFormat/>
    <w:rsid w:val="004A31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737475">
      <w:bodyDiv w:val="1"/>
      <w:marLeft w:val="0"/>
      <w:marRight w:val="0"/>
      <w:marTop w:val="0"/>
      <w:marBottom w:val="0"/>
      <w:divBdr>
        <w:top w:val="none" w:sz="0" w:space="0" w:color="auto"/>
        <w:left w:val="none" w:sz="0" w:space="0" w:color="auto"/>
        <w:bottom w:val="none" w:sz="0" w:space="0" w:color="auto"/>
        <w:right w:val="none" w:sz="0" w:space="0" w:color="auto"/>
      </w:divBdr>
      <w:divsChild>
        <w:div w:id="253442263">
          <w:marLeft w:val="0"/>
          <w:marRight w:val="0"/>
          <w:marTop w:val="0"/>
          <w:marBottom w:val="0"/>
          <w:divBdr>
            <w:top w:val="none" w:sz="0" w:space="0" w:color="auto"/>
            <w:left w:val="none" w:sz="0" w:space="0" w:color="auto"/>
            <w:bottom w:val="none" w:sz="0" w:space="0" w:color="auto"/>
            <w:right w:val="none" w:sz="0" w:space="0" w:color="auto"/>
          </w:divBdr>
          <w:divsChild>
            <w:div w:id="2088112927">
              <w:marLeft w:val="0"/>
              <w:marRight w:val="0"/>
              <w:marTop w:val="0"/>
              <w:marBottom w:val="0"/>
              <w:divBdr>
                <w:top w:val="none" w:sz="0" w:space="0" w:color="auto"/>
                <w:left w:val="none" w:sz="0" w:space="0" w:color="auto"/>
                <w:bottom w:val="none" w:sz="0" w:space="0" w:color="auto"/>
                <w:right w:val="none" w:sz="0" w:space="0" w:color="auto"/>
              </w:divBdr>
              <w:divsChild>
                <w:div w:id="1044138769">
                  <w:marLeft w:val="0"/>
                  <w:marRight w:val="0"/>
                  <w:marTop w:val="0"/>
                  <w:marBottom w:val="0"/>
                  <w:divBdr>
                    <w:top w:val="none" w:sz="0" w:space="0" w:color="auto"/>
                    <w:left w:val="none" w:sz="0" w:space="0" w:color="auto"/>
                    <w:bottom w:val="none" w:sz="0" w:space="0" w:color="auto"/>
                    <w:right w:val="none" w:sz="0" w:space="0" w:color="auto"/>
                  </w:divBdr>
                  <w:divsChild>
                    <w:div w:id="181633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967217">
      <w:bodyDiv w:val="1"/>
      <w:marLeft w:val="0"/>
      <w:marRight w:val="0"/>
      <w:marTop w:val="0"/>
      <w:marBottom w:val="0"/>
      <w:divBdr>
        <w:top w:val="none" w:sz="0" w:space="0" w:color="auto"/>
        <w:left w:val="none" w:sz="0" w:space="0" w:color="auto"/>
        <w:bottom w:val="none" w:sz="0" w:space="0" w:color="auto"/>
        <w:right w:val="none" w:sz="0" w:space="0" w:color="auto"/>
      </w:divBdr>
      <w:divsChild>
        <w:div w:id="1764569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ilii.org/cgi-bin/redirect.cgi?path=/uk/cases/UKPC/1966/1966_10.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awweb.in/" TargetMode="External"/><Relationship Id="rId5" Type="http://schemas.openxmlformats.org/officeDocument/2006/relationships/settings" Target="settings.xml"/><Relationship Id="rId10" Type="http://schemas.openxmlformats.org/officeDocument/2006/relationships/hyperlink" Target="https://sites.google.com/site/metropolitanforensics/construction-delay-analysis-methods" TargetMode="External"/><Relationship Id="rId4" Type="http://schemas.microsoft.com/office/2007/relationships/stylesWithEffects" Target="stylesWithEffect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D45CA-7ABD-4D49-B26D-0F5F42F1D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4150</Words>
  <Characters>23657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mnm</dc:creator>
  <cp:lastModifiedBy>mnm</cp:lastModifiedBy>
  <cp:revision>2</cp:revision>
  <dcterms:created xsi:type="dcterms:W3CDTF">2020-04-13T09:42:00Z</dcterms:created>
  <dcterms:modified xsi:type="dcterms:W3CDTF">2020-04-13T09:42:00Z</dcterms:modified>
</cp:coreProperties>
</file>