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BCAFA" w14:textId="7B9CBCA2" w:rsidR="0077540F" w:rsidRDefault="00175754" w:rsidP="00CD3202">
      <w:pPr>
        <w:spacing w:after="0" w:line="240" w:lineRule="auto"/>
        <w:jc w:val="both"/>
        <w:rPr>
          <w:rFonts w:ascii="Book Antiqua" w:hAnsi="Book Antiqua" w:cs="Times New Roman"/>
          <w:b/>
          <w:bCs/>
          <w:color w:val="002060"/>
          <w:sz w:val="40"/>
          <w:szCs w:val="40"/>
          <w:u w:val="single"/>
        </w:rPr>
      </w:pPr>
      <w:r>
        <w:rPr>
          <w:rFonts w:ascii="Book Antiqua" w:hAnsi="Book Antiqua" w:cs="Times New Roman"/>
          <w:b/>
          <w:bCs/>
          <w:color w:val="002060"/>
          <w:sz w:val="40"/>
          <w:szCs w:val="40"/>
          <w:u w:val="single"/>
        </w:rPr>
        <w:t xml:space="preserve">10 FAQ’s on </w:t>
      </w:r>
      <w:r w:rsidRPr="00175754">
        <w:rPr>
          <w:rFonts w:ascii="Book Antiqua" w:hAnsi="Book Antiqua" w:cs="Times New Roman"/>
          <w:b/>
          <w:bCs/>
          <w:color w:val="002060"/>
          <w:sz w:val="40"/>
          <w:szCs w:val="40"/>
          <w:u w:val="single"/>
        </w:rPr>
        <w:t>Cash Withdrawal Facility at Point of Sale (</w:t>
      </w:r>
      <w:proofErr w:type="spellStart"/>
      <w:r w:rsidRPr="00175754">
        <w:rPr>
          <w:rFonts w:ascii="Book Antiqua" w:hAnsi="Book Antiqua" w:cs="Times New Roman"/>
          <w:b/>
          <w:bCs/>
          <w:color w:val="002060"/>
          <w:sz w:val="40"/>
          <w:szCs w:val="40"/>
          <w:u w:val="single"/>
        </w:rPr>
        <w:t>PoS</w:t>
      </w:r>
      <w:proofErr w:type="spellEnd"/>
      <w:r w:rsidRPr="00175754">
        <w:rPr>
          <w:rFonts w:ascii="Book Antiqua" w:hAnsi="Book Antiqua" w:cs="Times New Roman"/>
          <w:b/>
          <w:bCs/>
          <w:color w:val="002060"/>
          <w:sz w:val="40"/>
          <w:szCs w:val="40"/>
          <w:u w:val="single"/>
        </w:rPr>
        <w:t>) Terminals</w:t>
      </w:r>
    </w:p>
    <w:p w14:paraId="16153BE7" w14:textId="0A678FF4" w:rsidR="0095337A" w:rsidRPr="00E071CF" w:rsidRDefault="0095337A" w:rsidP="00CD3202">
      <w:pPr>
        <w:spacing w:after="0" w:line="240" w:lineRule="auto"/>
        <w:jc w:val="both"/>
        <w:rPr>
          <w:rFonts w:ascii="Book Antiqua" w:hAnsi="Book Antiqua" w:cs="Times New Roman"/>
          <w:b/>
          <w:bCs/>
          <w:color w:val="002060"/>
          <w:sz w:val="20"/>
          <w:szCs w:val="20"/>
          <w:u w:val="single"/>
        </w:rPr>
      </w:pPr>
    </w:p>
    <w:p w14:paraId="00A5C02D" w14:textId="38A40234" w:rsidR="0039002C" w:rsidRDefault="007F07BB" w:rsidP="007F07BB">
      <w:pPr>
        <w:spacing w:after="0" w:line="240" w:lineRule="auto"/>
        <w:jc w:val="both"/>
        <w:rPr>
          <w:rFonts w:ascii="Book Antiqua" w:eastAsia="Times New Roman" w:hAnsi="Book Antiqua" w:cs="Times New Roman"/>
          <w:color w:val="002060"/>
          <w:sz w:val="24"/>
          <w:szCs w:val="24"/>
        </w:rPr>
      </w:pPr>
      <w:r w:rsidRPr="007F07BB">
        <w:rPr>
          <w:rFonts w:ascii="Book Antiqua" w:eastAsia="Times New Roman" w:hAnsi="Book Antiqua" w:cs="Times New Roman"/>
          <w:color w:val="002060"/>
          <w:sz w:val="24"/>
          <w:szCs w:val="24"/>
        </w:rPr>
        <w:t>RESERVE BANK OF INDIA</w:t>
      </w:r>
      <w:r>
        <w:rPr>
          <w:rFonts w:ascii="Book Antiqua" w:eastAsia="Times New Roman" w:hAnsi="Book Antiqua" w:cs="Times New Roman"/>
          <w:color w:val="002060"/>
          <w:sz w:val="24"/>
          <w:szCs w:val="24"/>
        </w:rPr>
        <w:t xml:space="preserve">, vide </w:t>
      </w:r>
      <w:r w:rsidR="00175754">
        <w:rPr>
          <w:rFonts w:ascii="Book Antiqua" w:eastAsia="Times New Roman" w:hAnsi="Book Antiqua" w:cs="Times New Roman"/>
          <w:color w:val="002060"/>
          <w:sz w:val="24"/>
          <w:szCs w:val="24"/>
        </w:rPr>
        <w:t>notification</w:t>
      </w:r>
      <w:r w:rsidR="00D605A3">
        <w:rPr>
          <w:rFonts w:ascii="Book Antiqua" w:eastAsia="Times New Roman" w:hAnsi="Book Antiqua" w:cs="Times New Roman"/>
          <w:color w:val="002060"/>
          <w:sz w:val="24"/>
          <w:szCs w:val="24"/>
        </w:rPr>
        <w:t xml:space="preserve"> </w:t>
      </w:r>
      <w:r>
        <w:rPr>
          <w:rFonts w:ascii="Book Antiqua" w:eastAsia="Times New Roman" w:hAnsi="Book Antiqua" w:cs="Times New Roman"/>
          <w:color w:val="002060"/>
          <w:sz w:val="24"/>
          <w:szCs w:val="24"/>
        </w:rPr>
        <w:t xml:space="preserve">dated </w:t>
      </w:r>
      <w:r w:rsidR="00175754">
        <w:rPr>
          <w:rFonts w:ascii="Book Antiqua" w:eastAsia="Times New Roman" w:hAnsi="Book Antiqua" w:cs="Times New Roman"/>
          <w:color w:val="002060"/>
          <w:sz w:val="24"/>
          <w:szCs w:val="24"/>
        </w:rPr>
        <w:t>05</w:t>
      </w:r>
      <w:r w:rsidR="00175754" w:rsidRPr="00175754">
        <w:rPr>
          <w:rFonts w:ascii="Book Antiqua" w:eastAsia="Times New Roman" w:hAnsi="Book Antiqua" w:cs="Times New Roman"/>
          <w:color w:val="002060"/>
          <w:sz w:val="24"/>
          <w:szCs w:val="24"/>
          <w:vertAlign w:val="superscript"/>
        </w:rPr>
        <w:t>th</w:t>
      </w:r>
      <w:r w:rsidR="00175754">
        <w:rPr>
          <w:rFonts w:ascii="Book Antiqua" w:eastAsia="Times New Roman" w:hAnsi="Book Antiqua" w:cs="Times New Roman"/>
          <w:color w:val="002060"/>
          <w:sz w:val="24"/>
          <w:szCs w:val="24"/>
        </w:rPr>
        <w:t xml:space="preserve"> May</w:t>
      </w:r>
      <w:r>
        <w:rPr>
          <w:rFonts w:ascii="Book Antiqua" w:eastAsia="Times New Roman" w:hAnsi="Book Antiqua" w:cs="Times New Roman"/>
          <w:color w:val="002060"/>
          <w:sz w:val="24"/>
          <w:szCs w:val="24"/>
        </w:rPr>
        <w:t xml:space="preserve">, 2020 has </w:t>
      </w:r>
      <w:r w:rsidR="007A20F2">
        <w:rPr>
          <w:rFonts w:ascii="Book Antiqua" w:eastAsia="Times New Roman" w:hAnsi="Book Antiqua" w:cs="Times New Roman"/>
          <w:color w:val="002060"/>
          <w:sz w:val="24"/>
          <w:szCs w:val="24"/>
        </w:rPr>
        <w:t xml:space="preserve">issued 10 important FAQ’s on </w:t>
      </w:r>
      <w:r w:rsidR="007A20F2" w:rsidRPr="007A20F2">
        <w:rPr>
          <w:rFonts w:ascii="Book Antiqua" w:eastAsia="Times New Roman" w:hAnsi="Book Antiqua" w:cs="Times New Roman"/>
          <w:color w:val="002060"/>
          <w:sz w:val="24"/>
          <w:szCs w:val="24"/>
        </w:rPr>
        <w:t>Cash Withdrawal Facility at Point of Sale (</w:t>
      </w:r>
      <w:proofErr w:type="spellStart"/>
      <w:r w:rsidR="007A20F2" w:rsidRPr="007A20F2">
        <w:rPr>
          <w:rFonts w:ascii="Book Antiqua" w:eastAsia="Times New Roman" w:hAnsi="Book Antiqua" w:cs="Times New Roman"/>
          <w:color w:val="002060"/>
          <w:sz w:val="24"/>
          <w:szCs w:val="24"/>
        </w:rPr>
        <w:t>PoS</w:t>
      </w:r>
      <w:proofErr w:type="spellEnd"/>
      <w:r w:rsidR="007A20F2" w:rsidRPr="007A20F2">
        <w:rPr>
          <w:rFonts w:ascii="Book Antiqua" w:eastAsia="Times New Roman" w:hAnsi="Book Antiqua" w:cs="Times New Roman"/>
          <w:color w:val="002060"/>
          <w:sz w:val="24"/>
          <w:szCs w:val="24"/>
        </w:rPr>
        <w:t>) Terminals</w:t>
      </w:r>
      <w:r w:rsidR="007A20F2">
        <w:rPr>
          <w:rFonts w:ascii="Book Antiqua" w:eastAsia="Times New Roman" w:hAnsi="Book Antiqua" w:cs="Times New Roman"/>
          <w:color w:val="002060"/>
          <w:sz w:val="24"/>
          <w:szCs w:val="24"/>
        </w:rPr>
        <w:t>.</w:t>
      </w:r>
    </w:p>
    <w:p w14:paraId="60BD27E3" w14:textId="77777777" w:rsidR="00841D2E" w:rsidRDefault="00841D2E" w:rsidP="00CD3202">
      <w:pPr>
        <w:spacing w:after="0" w:line="240" w:lineRule="auto"/>
        <w:jc w:val="both"/>
        <w:rPr>
          <w:rFonts w:ascii="Book Antiqua" w:eastAsia="Times New Roman" w:hAnsi="Book Antiqua" w:cs="Times New Roman"/>
          <w:b/>
          <w:bCs/>
          <w:color w:val="002060"/>
          <w:sz w:val="28"/>
          <w:szCs w:val="28"/>
          <w:u w:val="single"/>
        </w:rPr>
      </w:pPr>
    </w:p>
    <w:p w14:paraId="1D85DADA"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 xml:space="preserve">1. Which types of cards are allowed for withdrawing cash at </w:t>
      </w:r>
      <w:proofErr w:type="spellStart"/>
      <w:r w:rsidRPr="001739C4">
        <w:rPr>
          <w:rFonts w:ascii="Book Antiqua" w:hAnsi="Book Antiqua" w:cs="Arial"/>
          <w:b/>
          <w:bCs/>
          <w:color w:val="FF0000"/>
        </w:rPr>
        <w:t>PoS</w:t>
      </w:r>
      <w:proofErr w:type="spellEnd"/>
      <w:r w:rsidRPr="001739C4">
        <w:rPr>
          <w:rFonts w:ascii="Book Antiqua" w:hAnsi="Book Antiqua" w:cs="Arial"/>
          <w:b/>
          <w:bCs/>
          <w:color w:val="FF0000"/>
        </w:rPr>
        <w:t xml:space="preserve"> terminals?</w:t>
      </w:r>
    </w:p>
    <w:p w14:paraId="332999D0"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xml:space="preserve"> Under the facility of cash withdrawal at </w:t>
      </w:r>
      <w:proofErr w:type="spellStart"/>
      <w:r w:rsidRPr="001739C4">
        <w:rPr>
          <w:rFonts w:ascii="Book Antiqua" w:hAnsi="Book Antiqua" w:cs="Arial"/>
          <w:color w:val="000000"/>
        </w:rPr>
        <w:t>PoS</w:t>
      </w:r>
      <w:proofErr w:type="spellEnd"/>
      <w:r w:rsidRPr="001739C4">
        <w:rPr>
          <w:rFonts w:ascii="Book Antiqua" w:hAnsi="Book Antiqua" w:cs="Arial"/>
          <w:color w:val="000000"/>
        </w:rPr>
        <w:t xml:space="preserve"> terminals, cardholders can withdraw cash using their debit cards and open system prepaid cards issued by banks in India. However, credit cards cannot be used under this facility. Cash can also be withdrawn at </w:t>
      </w:r>
      <w:proofErr w:type="spellStart"/>
      <w:r w:rsidRPr="001739C4">
        <w:rPr>
          <w:rFonts w:ascii="Book Antiqua" w:hAnsi="Book Antiqua" w:cs="Arial"/>
          <w:color w:val="000000"/>
        </w:rPr>
        <w:t>PoS</w:t>
      </w:r>
      <w:proofErr w:type="spellEnd"/>
      <w:r w:rsidRPr="001739C4">
        <w:rPr>
          <w:rFonts w:ascii="Book Antiqua" w:hAnsi="Book Antiqua" w:cs="Arial"/>
          <w:color w:val="000000"/>
        </w:rPr>
        <w:t xml:space="preserve"> terminals through Unified Payments Interface (UPI) as well as through use of electronic cards that are linked with overdraft facility provided along with Pradhan Mantri Jan </w:t>
      </w:r>
      <w:proofErr w:type="spellStart"/>
      <w:r w:rsidRPr="001739C4">
        <w:rPr>
          <w:rFonts w:ascii="Book Antiqua" w:hAnsi="Book Antiqua" w:cs="Arial"/>
          <w:color w:val="000000"/>
        </w:rPr>
        <w:t>Dhan</w:t>
      </w:r>
      <w:proofErr w:type="spellEnd"/>
      <w:r w:rsidRPr="001739C4">
        <w:rPr>
          <w:rFonts w:ascii="Book Antiqua" w:hAnsi="Book Antiqua" w:cs="Arial"/>
          <w:color w:val="000000"/>
        </w:rPr>
        <w:t xml:space="preserve"> Yojana (PMJDY) accounts.</w:t>
      </w:r>
    </w:p>
    <w:p w14:paraId="5DFE9861"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2. Is there any limit on the amount of cash that can be withdrawn under this facility?</w:t>
      </w:r>
    </w:p>
    <w:p w14:paraId="0B289696"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xml:space="preserve"> Yes. Under this facility, a cardholder can withdraw cash up to </w:t>
      </w:r>
      <w:r w:rsidRPr="001739C4">
        <w:rPr>
          <w:color w:val="000000"/>
        </w:rPr>
        <w:t>₹</w:t>
      </w:r>
      <w:r w:rsidRPr="001739C4">
        <w:rPr>
          <w:rFonts w:ascii="Book Antiqua" w:hAnsi="Book Antiqua" w:cs="Arial"/>
          <w:color w:val="000000"/>
        </w:rPr>
        <w:t xml:space="preserve">2,000/- per day per card in Tier III to VI </w:t>
      </w:r>
      <w:proofErr w:type="spellStart"/>
      <w:r w:rsidRPr="001739C4">
        <w:rPr>
          <w:rFonts w:ascii="Book Antiqua" w:hAnsi="Book Antiqua" w:cs="Arial"/>
          <w:color w:val="000000"/>
        </w:rPr>
        <w:t>centres</w:t>
      </w:r>
      <w:proofErr w:type="spellEnd"/>
      <w:r w:rsidRPr="001739C4">
        <w:rPr>
          <w:rFonts w:ascii="Book Antiqua" w:hAnsi="Book Antiqua" w:cs="Arial"/>
          <w:color w:val="000000"/>
        </w:rPr>
        <w:t xml:space="preserve">. At Tier I and II </w:t>
      </w:r>
      <w:proofErr w:type="spellStart"/>
      <w:r w:rsidRPr="001739C4">
        <w:rPr>
          <w:rFonts w:ascii="Book Antiqua" w:hAnsi="Book Antiqua" w:cs="Arial"/>
          <w:color w:val="000000"/>
        </w:rPr>
        <w:t>centres</w:t>
      </w:r>
      <w:proofErr w:type="spellEnd"/>
      <w:r w:rsidRPr="001739C4">
        <w:rPr>
          <w:rFonts w:ascii="Book Antiqua" w:hAnsi="Book Antiqua" w:cs="Arial"/>
          <w:color w:val="000000"/>
        </w:rPr>
        <w:t xml:space="preserve">, the withdrawal limit is </w:t>
      </w:r>
      <w:r w:rsidRPr="001739C4">
        <w:rPr>
          <w:color w:val="000000"/>
        </w:rPr>
        <w:t>₹</w:t>
      </w:r>
      <w:r w:rsidRPr="001739C4">
        <w:rPr>
          <w:rFonts w:ascii="Book Antiqua" w:hAnsi="Book Antiqua" w:cs="Arial"/>
          <w:color w:val="000000"/>
        </w:rPr>
        <w:t>1,000/- per day per card.</w:t>
      </w:r>
    </w:p>
    <w:p w14:paraId="2F25A7B3"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3. What are the charges for availing this facility?</w:t>
      </w:r>
    </w:p>
    <w:p w14:paraId="529F4223"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Charges, if any, levied on cash withdrawals shall not exceed 1% of the transaction amount.</w:t>
      </w:r>
    </w:p>
    <w:p w14:paraId="42B916D3"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 xml:space="preserve">4. Is this facility available at all merchant establishments? How will I know if the facility is available at a particular merchant </w:t>
      </w:r>
      <w:proofErr w:type="spellStart"/>
      <w:r w:rsidRPr="001739C4">
        <w:rPr>
          <w:rFonts w:ascii="Book Antiqua" w:hAnsi="Book Antiqua" w:cs="Arial"/>
          <w:b/>
          <w:bCs/>
          <w:color w:val="FF0000"/>
        </w:rPr>
        <w:t>PoS</w:t>
      </w:r>
      <w:proofErr w:type="spellEnd"/>
      <w:r w:rsidRPr="001739C4">
        <w:rPr>
          <w:rFonts w:ascii="Book Antiqua" w:hAnsi="Book Antiqua" w:cs="Arial"/>
          <w:b/>
          <w:bCs/>
          <w:color w:val="FF0000"/>
        </w:rPr>
        <w:t>?</w:t>
      </w:r>
    </w:p>
    <w:p w14:paraId="51AD7BE3"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xml:space="preserve"> No. The facility is made available at merchant establishments designated by the acquirer banks (i.e. the banks that deploy the </w:t>
      </w:r>
      <w:proofErr w:type="spellStart"/>
      <w:r w:rsidRPr="001739C4">
        <w:rPr>
          <w:rFonts w:ascii="Book Antiqua" w:hAnsi="Book Antiqua" w:cs="Arial"/>
          <w:color w:val="000000"/>
        </w:rPr>
        <w:t>PoS</w:t>
      </w:r>
      <w:proofErr w:type="spellEnd"/>
      <w:r w:rsidRPr="001739C4">
        <w:rPr>
          <w:rFonts w:ascii="Book Antiqua" w:hAnsi="Book Antiqua" w:cs="Arial"/>
          <w:color w:val="000000"/>
        </w:rPr>
        <w:t xml:space="preserve"> terminals) after a process of due diligence. The designated merchant establishments have to clearly indicate / display the availability of this facility along with the charges, if any, payable by the customer.</w:t>
      </w:r>
    </w:p>
    <w:p w14:paraId="07768823"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 xml:space="preserve">5. Is withdrawal of cash using </w:t>
      </w:r>
      <w:proofErr w:type="spellStart"/>
      <w:r w:rsidRPr="001739C4">
        <w:rPr>
          <w:rFonts w:ascii="Book Antiqua" w:hAnsi="Book Antiqua" w:cs="Arial"/>
          <w:b/>
          <w:bCs/>
          <w:color w:val="FF0000"/>
        </w:rPr>
        <w:t>PoS</w:t>
      </w:r>
      <w:proofErr w:type="spellEnd"/>
      <w:r w:rsidRPr="001739C4">
        <w:rPr>
          <w:rFonts w:ascii="Book Antiqua" w:hAnsi="Book Antiqua" w:cs="Arial"/>
          <w:b/>
          <w:bCs/>
          <w:color w:val="FF0000"/>
        </w:rPr>
        <w:t xml:space="preserve"> terminals deployed by other banks (i.e. banks other than my card issuer) at designated merchant establishments permitted?</w:t>
      </w:r>
    </w:p>
    <w:p w14:paraId="695163EE"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 </w:t>
      </w:r>
      <w:r w:rsidRPr="001739C4">
        <w:rPr>
          <w:rFonts w:ascii="Book Antiqua" w:hAnsi="Book Antiqua" w:cs="Arial"/>
          <w:color w:val="000000"/>
        </w:rPr>
        <w:t xml:space="preserve">Yes. Under this facility, cash can be withdrawn from </w:t>
      </w:r>
      <w:proofErr w:type="spellStart"/>
      <w:r w:rsidRPr="001739C4">
        <w:rPr>
          <w:rFonts w:ascii="Book Antiqua" w:hAnsi="Book Antiqua" w:cs="Arial"/>
          <w:color w:val="000000"/>
        </w:rPr>
        <w:t>PoS</w:t>
      </w:r>
      <w:proofErr w:type="spellEnd"/>
      <w:r w:rsidRPr="001739C4">
        <w:rPr>
          <w:rFonts w:ascii="Book Antiqua" w:hAnsi="Book Antiqua" w:cs="Arial"/>
          <w:color w:val="000000"/>
        </w:rPr>
        <w:t xml:space="preserve"> terminal(s) at designated merchant establishment(s), irrespective of the fact whether the card issuer and the acquiring bank are same or not.</w:t>
      </w:r>
    </w:p>
    <w:p w14:paraId="72738AA8"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6. Is it mandatory for the cardholder to purchase some goods / service from the merchant establishment for availing this facility?</w:t>
      </w:r>
    </w:p>
    <w:p w14:paraId="559B5022"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lastRenderedPageBreak/>
        <w:t>Ans.</w:t>
      </w:r>
      <w:r w:rsidRPr="001739C4">
        <w:rPr>
          <w:rFonts w:ascii="Book Antiqua" w:hAnsi="Book Antiqua" w:cs="Arial"/>
          <w:color w:val="000000"/>
        </w:rPr>
        <w:t> No. The facility is available irrespective of whether the card holder makes a purchase or not.</w:t>
      </w:r>
    </w:p>
    <w:p w14:paraId="425E00FE"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 xml:space="preserve">7. Will a receipt be provided for the cash withdrawn at </w:t>
      </w:r>
      <w:proofErr w:type="spellStart"/>
      <w:r w:rsidRPr="001739C4">
        <w:rPr>
          <w:rFonts w:ascii="Book Antiqua" w:hAnsi="Book Antiqua" w:cs="Arial"/>
          <w:b/>
          <w:bCs/>
          <w:color w:val="FF0000"/>
        </w:rPr>
        <w:t>PoS</w:t>
      </w:r>
      <w:proofErr w:type="spellEnd"/>
      <w:r w:rsidRPr="001739C4">
        <w:rPr>
          <w:rFonts w:ascii="Book Antiqua" w:hAnsi="Book Antiqua" w:cs="Arial"/>
          <w:b/>
          <w:bCs/>
          <w:color w:val="FF0000"/>
        </w:rPr>
        <w:t xml:space="preserve"> terminal?</w:t>
      </w:r>
    </w:p>
    <w:p w14:paraId="2B58E58B"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xml:space="preserve"> Yes. The merchant is required to provide a printed receipt generated by the </w:t>
      </w:r>
      <w:proofErr w:type="spellStart"/>
      <w:r w:rsidRPr="001739C4">
        <w:rPr>
          <w:rFonts w:ascii="Book Antiqua" w:hAnsi="Book Antiqua" w:cs="Arial"/>
          <w:color w:val="000000"/>
        </w:rPr>
        <w:t>PoS</w:t>
      </w:r>
      <w:proofErr w:type="spellEnd"/>
      <w:r w:rsidRPr="001739C4">
        <w:rPr>
          <w:rFonts w:ascii="Book Antiqua" w:hAnsi="Book Antiqua" w:cs="Arial"/>
          <w:color w:val="000000"/>
        </w:rPr>
        <w:t xml:space="preserve"> terminal. In case the facility is availed along with the purchase of merchandise, the receipt generated shall separately indicate the amount of cash withdrawn.</w:t>
      </w:r>
    </w:p>
    <w:p w14:paraId="0C6AD419"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8. Where can a grievance in respect of this facility be lodged?</w:t>
      </w:r>
    </w:p>
    <w:p w14:paraId="79578B4F"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The cardholder can lodge grievance(s) with his / her card issuer. In case the card issuer does not respond within the stipulated time, or the reply so received is not satisfactory, the cardholder can lodge a complaint under the Banking Ombudsman Scheme / Ombudsman Scheme for Digital Transactions.</w:t>
      </w:r>
    </w:p>
    <w:p w14:paraId="2E8859CD"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 xml:space="preserve">9. Does the acquirer bank need any permission from the Reserve Bank of India (RBI) for providing this facility at its </w:t>
      </w:r>
      <w:proofErr w:type="spellStart"/>
      <w:r w:rsidRPr="001739C4">
        <w:rPr>
          <w:rFonts w:ascii="Book Antiqua" w:hAnsi="Book Antiqua" w:cs="Arial"/>
          <w:b/>
          <w:bCs/>
          <w:color w:val="FF0000"/>
        </w:rPr>
        <w:t>PoS</w:t>
      </w:r>
      <w:proofErr w:type="spellEnd"/>
      <w:r w:rsidRPr="001739C4">
        <w:rPr>
          <w:rFonts w:ascii="Book Antiqua" w:hAnsi="Book Antiqua" w:cs="Arial"/>
          <w:b/>
          <w:bCs/>
          <w:color w:val="FF0000"/>
        </w:rPr>
        <w:t xml:space="preserve"> terminals?</w:t>
      </w:r>
    </w:p>
    <w:p w14:paraId="3FE9C9F1"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xml:space="preserve"> No. The acquirer banks (other than local area banks) may, based on the approval of their Board, provide cash withdrawal facility at </w:t>
      </w:r>
      <w:proofErr w:type="spellStart"/>
      <w:r w:rsidRPr="001739C4">
        <w:rPr>
          <w:rFonts w:ascii="Book Antiqua" w:hAnsi="Book Antiqua" w:cs="Arial"/>
          <w:color w:val="000000"/>
        </w:rPr>
        <w:t>PoS</w:t>
      </w:r>
      <w:proofErr w:type="spellEnd"/>
      <w:r w:rsidRPr="001739C4">
        <w:rPr>
          <w:rFonts w:ascii="Book Antiqua" w:hAnsi="Book Antiqua" w:cs="Arial"/>
          <w:color w:val="000000"/>
        </w:rPr>
        <w:t xml:space="preserve"> terminals. The local area banks shall require the approval of RBI for providing this facility.</w:t>
      </w:r>
    </w:p>
    <w:p w14:paraId="06F4EC6F" w14:textId="77777777" w:rsidR="00355469" w:rsidRPr="001739C4" w:rsidRDefault="00355469" w:rsidP="00355469">
      <w:pPr>
        <w:pStyle w:val="head"/>
        <w:jc w:val="both"/>
        <w:rPr>
          <w:rFonts w:ascii="Book Antiqua" w:hAnsi="Book Antiqua" w:cs="Arial"/>
          <w:b/>
          <w:bCs/>
          <w:color w:val="FF0000"/>
        </w:rPr>
      </w:pPr>
      <w:r w:rsidRPr="001739C4">
        <w:rPr>
          <w:rFonts w:ascii="Book Antiqua" w:hAnsi="Book Antiqua" w:cs="Arial"/>
          <w:b/>
          <w:bCs/>
          <w:color w:val="FF0000"/>
        </w:rPr>
        <w:t>10. Where can more information about this facility be found?</w:t>
      </w:r>
    </w:p>
    <w:p w14:paraId="7D1F158B" w14:textId="77777777" w:rsidR="00355469" w:rsidRPr="001739C4" w:rsidRDefault="00355469" w:rsidP="00355469">
      <w:pPr>
        <w:pStyle w:val="NormalWeb"/>
        <w:jc w:val="both"/>
        <w:rPr>
          <w:rFonts w:ascii="Book Antiqua" w:hAnsi="Book Antiqua" w:cs="Arial"/>
          <w:color w:val="000000"/>
        </w:rPr>
      </w:pPr>
      <w:r w:rsidRPr="001739C4">
        <w:rPr>
          <w:rStyle w:val="head1"/>
          <w:rFonts w:ascii="Book Antiqua" w:hAnsi="Book Antiqua" w:cs="Arial"/>
          <w:b/>
          <w:bCs/>
          <w:color w:val="000000"/>
        </w:rPr>
        <w:t>Ans.</w:t>
      </w:r>
      <w:r w:rsidRPr="001739C4">
        <w:rPr>
          <w:rFonts w:ascii="Book Antiqua" w:hAnsi="Book Antiqua" w:cs="Arial"/>
          <w:color w:val="000000"/>
        </w:rPr>
        <w:t> More information about this facility can be found in the following circulars issued by the RBI – </w:t>
      </w:r>
      <w:hyperlink r:id="rId7" w:tgtFrame="_blank" w:history="1">
        <w:r w:rsidRPr="001739C4">
          <w:rPr>
            <w:rStyle w:val="Hyperlink"/>
            <w:rFonts w:ascii="Book Antiqua" w:hAnsi="Book Antiqua" w:cs="Arial"/>
          </w:rPr>
          <w:t>DPSS.CO.PD.No.147/02.14.003/2009-10 dated July 22, 2009</w:t>
        </w:r>
      </w:hyperlink>
      <w:r w:rsidRPr="001739C4">
        <w:rPr>
          <w:rFonts w:ascii="Book Antiqua" w:hAnsi="Book Antiqua" w:cs="Arial"/>
          <w:color w:val="000000"/>
        </w:rPr>
        <w:t>, </w:t>
      </w:r>
      <w:hyperlink r:id="rId8" w:tgtFrame="_blank" w:history="1">
        <w:r w:rsidRPr="001739C4">
          <w:rPr>
            <w:rStyle w:val="Hyperlink"/>
            <w:rFonts w:ascii="Book Antiqua" w:hAnsi="Book Antiqua" w:cs="Arial"/>
          </w:rPr>
          <w:t>DPSS.CO.PD.No.563/02.14.003/2013-14 dated September 5, 2013</w:t>
        </w:r>
      </w:hyperlink>
      <w:r w:rsidRPr="001739C4">
        <w:rPr>
          <w:rFonts w:ascii="Book Antiqua" w:hAnsi="Book Antiqua" w:cs="Arial"/>
          <w:color w:val="000000"/>
        </w:rPr>
        <w:t>, </w:t>
      </w:r>
      <w:hyperlink r:id="rId9" w:tgtFrame="_blank" w:history="1">
        <w:r w:rsidRPr="001739C4">
          <w:rPr>
            <w:rStyle w:val="Hyperlink"/>
            <w:rFonts w:ascii="Book Antiqua" w:hAnsi="Book Antiqua" w:cs="Arial"/>
          </w:rPr>
          <w:t>DPSS.CO.PD.No.449/02.14.003/2015-16 dated August 27, 2015</w:t>
        </w:r>
      </w:hyperlink>
      <w:r w:rsidRPr="001739C4">
        <w:rPr>
          <w:rFonts w:ascii="Book Antiqua" w:hAnsi="Book Antiqua" w:cs="Arial"/>
          <w:color w:val="000000"/>
        </w:rPr>
        <w:t>, </w:t>
      </w:r>
      <w:hyperlink r:id="rId10" w:tgtFrame="_blank" w:history="1">
        <w:r w:rsidRPr="001739C4">
          <w:rPr>
            <w:rStyle w:val="Hyperlink"/>
            <w:rFonts w:ascii="Book Antiqua" w:hAnsi="Book Antiqua" w:cs="Arial"/>
          </w:rPr>
          <w:t>DPSS.CO.PD.No.501/02.14.003/2019-20 dated August 29, 2019</w:t>
        </w:r>
      </w:hyperlink>
      <w:r w:rsidRPr="001739C4">
        <w:rPr>
          <w:rFonts w:ascii="Book Antiqua" w:hAnsi="Book Antiqua" w:cs="Arial"/>
          <w:color w:val="000000"/>
        </w:rPr>
        <w:t> and </w:t>
      </w:r>
      <w:hyperlink r:id="rId11" w:tgtFrame="_blank" w:history="1">
        <w:r w:rsidRPr="001739C4">
          <w:rPr>
            <w:rStyle w:val="Hyperlink"/>
            <w:rFonts w:ascii="Book Antiqua" w:hAnsi="Book Antiqua" w:cs="Arial"/>
          </w:rPr>
          <w:t>DPSS.CO.PD.No.1465/02.14.003/2019-20 dated January 31, 2020</w:t>
        </w:r>
      </w:hyperlink>
      <w:r w:rsidRPr="001739C4">
        <w:rPr>
          <w:rFonts w:ascii="Book Antiqua" w:hAnsi="Book Antiqua" w:cs="Arial"/>
          <w:color w:val="000000"/>
        </w:rPr>
        <w:t>.</w:t>
      </w:r>
    </w:p>
    <w:p w14:paraId="556BF5D6" w14:textId="77777777" w:rsidR="001739C4" w:rsidRDefault="001739C4" w:rsidP="001739C4">
      <w:pPr>
        <w:spacing w:after="0" w:line="240" w:lineRule="auto"/>
        <w:jc w:val="both"/>
        <w:rPr>
          <w:rFonts w:ascii="Book Antiqua" w:eastAsia="Times New Roman" w:hAnsi="Book Antiqua" w:cs="Times New Roman"/>
          <w:b/>
          <w:bCs/>
          <w:color w:val="002060"/>
          <w:sz w:val="28"/>
          <w:szCs w:val="28"/>
          <w:u w:val="single"/>
        </w:rPr>
      </w:pPr>
    </w:p>
    <w:p w14:paraId="29C3089B" w14:textId="77777777" w:rsidR="001739C4" w:rsidRPr="00841D2E" w:rsidRDefault="001739C4" w:rsidP="001739C4">
      <w:pPr>
        <w:spacing w:after="0" w:line="240" w:lineRule="auto"/>
        <w:jc w:val="both"/>
        <w:rPr>
          <w:rFonts w:ascii="Book Antiqua" w:eastAsia="Times New Roman" w:hAnsi="Book Antiqua" w:cs="Times New Roman"/>
          <w:b/>
          <w:bCs/>
          <w:color w:val="002060"/>
          <w:sz w:val="24"/>
          <w:szCs w:val="24"/>
        </w:rPr>
      </w:pPr>
      <w:r w:rsidRPr="00841D2E">
        <w:rPr>
          <w:rFonts w:ascii="Book Antiqua" w:eastAsia="Times New Roman" w:hAnsi="Book Antiqua" w:cs="Times New Roman"/>
          <w:b/>
          <w:bCs/>
          <w:color w:val="002060"/>
          <w:sz w:val="24"/>
          <w:szCs w:val="24"/>
          <w:u w:val="single"/>
        </w:rPr>
        <w:t>Source</w:t>
      </w:r>
      <w:r w:rsidRPr="00841D2E">
        <w:rPr>
          <w:rFonts w:ascii="Book Antiqua" w:eastAsia="Times New Roman" w:hAnsi="Book Antiqua" w:cs="Times New Roman"/>
          <w:b/>
          <w:bCs/>
          <w:color w:val="002060"/>
          <w:sz w:val="24"/>
          <w:szCs w:val="24"/>
        </w:rPr>
        <w:t>:</w:t>
      </w:r>
    </w:p>
    <w:p w14:paraId="3A2DF16F" w14:textId="77777777" w:rsidR="001739C4" w:rsidRPr="00841D2E" w:rsidRDefault="001739C4" w:rsidP="001739C4">
      <w:pPr>
        <w:spacing w:after="0" w:line="240" w:lineRule="auto"/>
        <w:jc w:val="both"/>
        <w:rPr>
          <w:rFonts w:ascii="Book Antiqua" w:eastAsia="Times New Roman" w:hAnsi="Book Antiqua" w:cs="Times New Roman"/>
          <w:b/>
          <w:bCs/>
          <w:color w:val="002060"/>
          <w:sz w:val="24"/>
          <w:szCs w:val="24"/>
        </w:rPr>
      </w:pPr>
      <w:r w:rsidRPr="00841D2E">
        <w:rPr>
          <w:rFonts w:ascii="Book Antiqua" w:eastAsia="Times New Roman" w:hAnsi="Book Antiqua" w:cs="Times New Roman"/>
          <w:b/>
          <w:bCs/>
          <w:color w:val="002060"/>
          <w:sz w:val="24"/>
          <w:szCs w:val="24"/>
        </w:rPr>
        <w:t xml:space="preserve">RBI updates </w:t>
      </w:r>
    </w:p>
    <w:p w14:paraId="0F9401F9" w14:textId="77777777" w:rsidR="001739C4" w:rsidRPr="00841D2E" w:rsidRDefault="001739C4" w:rsidP="001739C4">
      <w:pPr>
        <w:spacing w:after="0" w:line="240" w:lineRule="auto"/>
        <w:jc w:val="both"/>
        <w:rPr>
          <w:rFonts w:ascii="Book Antiqua" w:eastAsia="Times New Roman" w:hAnsi="Book Antiqua" w:cs="Times New Roman"/>
          <w:b/>
          <w:bCs/>
          <w:color w:val="002060"/>
          <w:sz w:val="24"/>
          <w:szCs w:val="24"/>
        </w:rPr>
      </w:pPr>
    </w:p>
    <w:p w14:paraId="29C20B59" w14:textId="77777777" w:rsidR="001739C4" w:rsidRPr="00841D2E" w:rsidRDefault="001739C4" w:rsidP="001739C4">
      <w:pPr>
        <w:spacing w:after="0" w:line="240" w:lineRule="auto"/>
        <w:jc w:val="both"/>
        <w:rPr>
          <w:rFonts w:ascii="Book Antiqua" w:eastAsia="Times New Roman" w:hAnsi="Book Antiqua" w:cs="Times New Roman"/>
          <w:color w:val="002060"/>
          <w:sz w:val="24"/>
          <w:szCs w:val="24"/>
        </w:rPr>
      </w:pPr>
      <w:r w:rsidRPr="00841D2E">
        <w:rPr>
          <w:rFonts w:ascii="Book Antiqua" w:eastAsia="Times New Roman" w:hAnsi="Book Antiqua" w:cs="Times New Roman"/>
          <w:b/>
          <w:bCs/>
          <w:color w:val="002060"/>
          <w:sz w:val="24"/>
          <w:szCs w:val="24"/>
        </w:rPr>
        <w:t>Disclaimer:</w:t>
      </w:r>
    </w:p>
    <w:p w14:paraId="143A25F5" w14:textId="77777777" w:rsidR="001739C4" w:rsidRPr="00841D2E" w:rsidRDefault="001739C4" w:rsidP="001739C4">
      <w:pPr>
        <w:spacing w:after="0" w:line="240" w:lineRule="auto"/>
        <w:jc w:val="both"/>
        <w:rPr>
          <w:rFonts w:ascii="Book Antiqua" w:eastAsia="Times New Roman" w:hAnsi="Book Antiqua" w:cs="Times New Roman"/>
          <w:i/>
          <w:iCs/>
          <w:color w:val="002060"/>
          <w:sz w:val="18"/>
          <w:szCs w:val="18"/>
        </w:rPr>
      </w:pPr>
      <w:r w:rsidRPr="00841D2E">
        <w:rPr>
          <w:rFonts w:ascii="Book Antiqua" w:eastAsia="Times New Roman" w:hAnsi="Book Antiqua" w:cs="Times New Roman"/>
          <w:i/>
          <w:iCs/>
          <w:color w:val="002060"/>
          <w:sz w:val="18"/>
          <w:szCs w:val="18"/>
        </w:rPr>
        <w:t>IN NO EVENT THE AUTHOR SHALL BE LIABLE FOR ANY DIRECT, INDIRECT, SPECIAL OR INCIDENTAL DAMAGE RESULTING FROM OR ARISING OUT OF OR IN CONNECTION WITH THE USE OF THIS INFORMATION.</w:t>
      </w:r>
    </w:p>
    <w:p w14:paraId="15CEEC91" w14:textId="77777777" w:rsidR="001739C4" w:rsidRDefault="001739C4" w:rsidP="001739C4">
      <w:pPr>
        <w:spacing w:after="0" w:line="240" w:lineRule="auto"/>
        <w:jc w:val="both"/>
        <w:rPr>
          <w:rFonts w:ascii="Book Antiqua" w:eastAsia="Times New Roman" w:hAnsi="Book Antiqua" w:cs="Times New Roman"/>
          <w:i/>
          <w:iCs/>
          <w:color w:val="002060"/>
          <w:sz w:val="20"/>
          <w:szCs w:val="20"/>
        </w:rPr>
      </w:pPr>
      <w:r w:rsidRPr="009C16BB">
        <w:rPr>
          <w:rFonts w:ascii="Book Antiqua" w:eastAsia="Times New Roman" w:hAnsi="Book Antiqua" w:cs="Times New Roman"/>
          <w:i/>
          <w:iCs/>
          <w:color w:val="002060"/>
          <w:sz w:val="20"/>
          <w:szCs w:val="20"/>
        </w:rPr>
        <w:t>These FAQs are issued by the Reserve Bank of India (hereinafter referred to as “Bank”) for information and general guidance purposes only.</w:t>
      </w:r>
    </w:p>
    <w:p w14:paraId="6856FC7E" w14:textId="7845E611" w:rsidR="00355469" w:rsidRDefault="00355469" w:rsidP="00CD3202">
      <w:pPr>
        <w:spacing w:after="0" w:line="240" w:lineRule="auto"/>
        <w:jc w:val="both"/>
        <w:rPr>
          <w:rFonts w:ascii="Book Antiqua" w:eastAsia="Times New Roman" w:hAnsi="Book Antiqua" w:cs="Times New Roman"/>
          <w:i/>
          <w:iCs/>
          <w:color w:val="002060"/>
          <w:sz w:val="24"/>
          <w:szCs w:val="24"/>
        </w:rPr>
      </w:pPr>
    </w:p>
    <w:p w14:paraId="0CDF0399" w14:textId="028538E2" w:rsidR="00B909A7" w:rsidRPr="00B909A7" w:rsidRDefault="00B909A7" w:rsidP="00CD3202">
      <w:pPr>
        <w:spacing w:after="0" w:line="240" w:lineRule="auto"/>
        <w:jc w:val="both"/>
        <w:rPr>
          <w:rFonts w:ascii="Book Antiqua" w:eastAsia="Times New Roman" w:hAnsi="Book Antiqua" w:cs="Times New Roman"/>
          <w:color w:val="002060"/>
          <w:sz w:val="24"/>
          <w:szCs w:val="24"/>
        </w:rPr>
      </w:pPr>
    </w:p>
    <w:sectPr w:rsidR="00B909A7" w:rsidRPr="00B909A7" w:rsidSect="00C65BCD">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06E86" w14:textId="77777777" w:rsidR="001F7A89" w:rsidRDefault="001F7A89" w:rsidP="00880398">
      <w:pPr>
        <w:spacing w:after="0" w:line="240" w:lineRule="auto"/>
      </w:pPr>
      <w:r>
        <w:separator/>
      </w:r>
    </w:p>
  </w:endnote>
  <w:endnote w:type="continuationSeparator" w:id="0">
    <w:p w14:paraId="4E322F85" w14:textId="77777777" w:rsidR="001F7A89" w:rsidRDefault="001F7A89"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24605" w14:textId="77777777" w:rsidR="001F7A89" w:rsidRDefault="001F7A89" w:rsidP="00880398">
      <w:pPr>
        <w:spacing w:after="0" w:line="240" w:lineRule="auto"/>
      </w:pPr>
      <w:r>
        <w:separator/>
      </w:r>
    </w:p>
  </w:footnote>
  <w:footnote w:type="continuationSeparator" w:id="0">
    <w:p w14:paraId="3A9F2A4B" w14:textId="77777777" w:rsidR="001F7A89" w:rsidRDefault="001F7A89"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8141C"/>
    <w:multiLevelType w:val="hybridMultilevel"/>
    <w:tmpl w:val="67D6F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96BB4"/>
    <w:multiLevelType w:val="hybridMultilevel"/>
    <w:tmpl w:val="FB14DF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54D82"/>
    <w:multiLevelType w:val="hybridMultilevel"/>
    <w:tmpl w:val="8AE4F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23385"/>
    <w:multiLevelType w:val="hybridMultilevel"/>
    <w:tmpl w:val="703071B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F9D01E5"/>
    <w:multiLevelType w:val="hybridMultilevel"/>
    <w:tmpl w:val="A22C1E9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C7A42"/>
    <w:multiLevelType w:val="hybridMultilevel"/>
    <w:tmpl w:val="216E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69E2607"/>
    <w:multiLevelType w:val="hybridMultilevel"/>
    <w:tmpl w:val="0EB81B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87E35"/>
    <w:multiLevelType w:val="hybridMultilevel"/>
    <w:tmpl w:val="F1F0427A"/>
    <w:lvl w:ilvl="0" w:tplc="6D56F5D8">
      <w:numFmt w:val="bullet"/>
      <w:lvlText w:val="-"/>
      <w:lvlJc w:val="left"/>
      <w:pPr>
        <w:ind w:left="720" w:hanging="360"/>
      </w:pPr>
      <w:rPr>
        <w:rFonts w:ascii="Book Antiqua" w:eastAsiaTheme="minorHAnsi" w:hAnsi="Book Antiqua" w:cs="Times New Roman"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0F684E"/>
    <w:multiLevelType w:val="hybridMultilevel"/>
    <w:tmpl w:val="66C8929A"/>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AB0435"/>
    <w:multiLevelType w:val="hybridMultilevel"/>
    <w:tmpl w:val="1174F3F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3356D22"/>
    <w:multiLevelType w:val="hybridMultilevel"/>
    <w:tmpl w:val="DBB2E2CA"/>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4C12A1"/>
    <w:multiLevelType w:val="hybridMultilevel"/>
    <w:tmpl w:val="589017D8"/>
    <w:lvl w:ilvl="0" w:tplc="AD1EDE64">
      <w:numFmt w:val="bullet"/>
      <w:lvlText w:val="-"/>
      <w:lvlJc w:val="left"/>
      <w:pPr>
        <w:ind w:left="720" w:hanging="360"/>
      </w:pPr>
      <w:rPr>
        <w:rFonts w:ascii="Calibri" w:eastAsiaTheme="minorHAnsi" w:hAnsi="Calibri" w:cs="Calibr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30121"/>
    <w:multiLevelType w:val="hybridMultilevel"/>
    <w:tmpl w:val="F0FCA0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54E3C5A"/>
    <w:multiLevelType w:val="hybridMultilevel"/>
    <w:tmpl w:val="ED30DD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57A358F"/>
    <w:multiLevelType w:val="hybridMultilevel"/>
    <w:tmpl w:val="8D464A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D36A27"/>
    <w:multiLevelType w:val="hybridMultilevel"/>
    <w:tmpl w:val="BB28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AE6494A"/>
    <w:multiLevelType w:val="hybridMultilevel"/>
    <w:tmpl w:val="DE0632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AA42BF"/>
    <w:multiLevelType w:val="hybridMultilevel"/>
    <w:tmpl w:val="A260C9A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78167D9"/>
    <w:multiLevelType w:val="hybridMultilevel"/>
    <w:tmpl w:val="62667640"/>
    <w:lvl w:ilvl="0" w:tplc="04090001">
      <w:start w:val="1"/>
      <w:numFmt w:val="bullet"/>
      <w:lvlText w:val=""/>
      <w:lvlJc w:val="left"/>
      <w:pPr>
        <w:ind w:left="720" w:hanging="360"/>
      </w:pPr>
      <w:rPr>
        <w:rFonts w:ascii="Symbol" w:hAnsi="Symbol" w:cs="Symbol"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7F8D1C14"/>
    <w:multiLevelType w:val="hybridMultilevel"/>
    <w:tmpl w:val="D63A21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30"/>
  </w:num>
  <w:num w:numId="3">
    <w:abstractNumId w:val="35"/>
  </w:num>
  <w:num w:numId="4">
    <w:abstractNumId w:val="11"/>
  </w:num>
  <w:num w:numId="5">
    <w:abstractNumId w:val="21"/>
  </w:num>
  <w:num w:numId="6">
    <w:abstractNumId w:val="18"/>
  </w:num>
  <w:num w:numId="7">
    <w:abstractNumId w:val="31"/>
  </w:num>
  <w:num w:numId="8">
    <w:abstractNumId w:val="22"/>
  </w:num>
  <w:num w:numId="9">
    <w:abstractNumId w:val="34"/>
  </w:num>
  <w:num w:numId="10">
    <w:abstractNumId w:val="24"/>
  </w:num>
  <w:num w:numId="11">
    <w:abstractNumId w:val="8"/>
  </w:num>
  <w:num w:numId="12">
    <w:abstractNumId w:val="10"/>
  </w:num>
  <w:num w:numId="13">
    <w:abstractNumId w:val="3"/>
  </w:num>
  <w:num w:numId="14">
    <w:abstractNumId w:val="26"/>
  </w:num>
  <w:num w:numId="15">
    <w:abstractNumId w:val="14"/>
  </w:num>
  <w:num w:numId="16">
    <w:abstractNumId w:val="1"/>
  </w:num>
  <w:num w:numId="17">
    <w:abstractNumId w:val="28"/>
  </w:num>
  <w:num w:numId="18">
    <w:abstractNumId w:val="16"/>
  </w:num>
  <w:num w:numId="19">
    <w:abstractNumId w:val="5"/>
  </w:num>
  <w:num w:numId="20">
    <w:abstractNumId w:val="38"/>
  </w:num>
  <w:num w:numId="21">
    <w:abstractNumId w:val="15"/>
  </w:num>
  <w:num w:numId="22">
    <w:abstractNumId w:val="20"/>
  </w:num>
  <w:num w:numId="23">
    <w:abstractNumId w:val="41"/>
  </w:num>
  <w:num w:numId="24">
    <w:abstractNumId w:val="17"/>
  </w:num>
  <w:num w:numId="25">
    <w:abstractNumId w:val="9"/>
  </w:num>
  <w:num w:numId="26">
    <w:abstractNumId w:val="40"/>
  </w:num>
  <w:num w:numId="27">
    <w:abstractNumId w:val="27"/>
  </w:num>
  <w:num w:numId="28">
    <w:abstractNumId w:val="23"/>
  </w:num>
  <w:num w:numId="29">
    <w:abstractNumId w:val="32"/>
  </w:num>
  <w:num w:numId="30">
    <w:abstractNumId w:val="13"/>
  </w:num>
  <w:num w:numId="31">
    <w:abstractNumId w:val="2"/>
  </w:num>
  <w:num w:numId="32">
    <w:abstractNumId w:val="42"/>
  </w:num>
  <w:num w:numId="33">
    <w:abstractNumId w:val="37"/>
  </w:num>
  <w:num w:numId="34">
    <w:abstractNumId w:val="29"/>
  </w:num>
  <w:num w:numId="35">
    <w:abstractNumId w:val="36"/>
  </w:num>
  <w:num w:numId="36">
    <w:abstractNumId w:val="4"/>
  </w:num>
  <w:num w:numId="37">
    <w:abstractNumId w:val="12"/>
  </w:num>
  <w:num w:numId="38">
    <w:abstractNumId w:val="0"/>
  </w:num>
  <w:num w:numId="39">
    <w:abstractNumId w:val="25"/>
  </w:num>
  <w:num w:numId="40">
    <w:abstractNumId w:val="39"/>
  </w:num>
  <w:num w:numId="41">
    <w:abstractNumId w:val="6"/>
  </w:num>
  <w:num w:numId="42">
    <w:abstractNumId w:val="7"/>
  </w:num>
  <w:num w:numId="43">
    <w:abstractNumId w:val="33"/>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691C"/>
    <w:rsid w:val="00012EEF"/>
    <w:rsid w:val="00056D6C"/>
    <w:rsid w:val="00060175"/>
    <w:rsid w:val="00061152"/>
    <w:rsid w:val="00072D6E"/>
    <w:rsid w:val="000941DB"/>
    <w:rsid w:val="000B0050"/>
    <w:rsid w:val="000B4EAD"/>
    <w:rsid w:val="000D2031"/>
    <w:rsid w:val="000F0576"/>
    <w:rsid w:val="00110FC1"/>
    <w:rsid w:val="00127DFD"/>
    <w:rsid w:val="001315D2"/>
    <w:rsid w:val="00136718"/>
    <w:rsid w:val="0015285F"/>
    <w:rsid w:val="00172A82"/>
    <w:rsid w:val="001732F3"/>
    <w:rsid w:val="001739C4"/>
    <w:rsid w:val="00173D40"/>
    <w:rsid w:val="00175754"/>
    <w:rsid w:val="00177084"/>
    <w:rsid w:val="00191E10"/>
    <w:rsid w:val="001B1ACE"/>
    <w:rsid w:val="001B7984"/>
    <w:rsid w:val="001D0A66"/>
    <w:rsid w:val="001D3FA2"/>
    <w:rsid w:val="001D4880"/>
    <w:rsid w:val="001D6987"/>
    <w:rsid w:val="001F198E"/>
    <w:rsid w:val="001F3FC6"/>
    <w:rsid w:val="001F7A89"/>
    <w:rsid w:val="00224C3B"/>
    <w:rsid w:val="002328F8"/>
    <w:rsid w:val="00253227"/>
    <w:rsid w:val="00255C3E"/>
    <w:rsid w:val="00260335"/>
    <w:rsid w:val="002743E2"/>
    <w:rsid w:val="002A4C49"/>
    <w:rsid w:val="002B612F"/>
    <w:rsid w:val="002C037A"/>
    <w:rsid w:val="002C531A"/>
    <w:rsid w:val="002E4DB4"/>
    <w:rsid w:val="002F2D87"/>
    <w:rsid w:val="003112C3"/>
    <w:rsid w:val="003329C2"/>
    <w:rsid w:val="00341535"/>
    <w:rsid w:val="00350A33"/>
    <w:rsid w:val="00350F76"/>
    <w:rsid w:val="0035218E"/>
    <w:rsid w:val="00355469"/>
    <w:rsid w:val="003640D5"/>
    <w:rsid w:val="00385B48"/>
    <w:rsid w:val="0039002C"/>
    <w:rsid w:val="003A1EF1"/>
    <w:rsid w:val="003A275B"/>
    <w:rsid w:val="003A6373"/>
    <w:rsid w:val="003B4431"/>
    <w:rsid w:val="003C043A"/>
    <w:rsid w:val="003F755A"/>
    <w:rsid w:val="003F7874"/>
    <w:rsid w:val="00410962"/>
    <w:rsid w:val="00413D73"/>
    <w:rsid w:val="00434D8E"/>
    <w:rsid w:val="004360CA"/>
    <w:rsid w:val="004371C1"/>
    <w:rsid w:val="00460258"/>
    <w:rsid w:val="00465CDA"/>
    <w:rsid w:val="00474325"/>
    <w:rsid w:val="00474988"/>
    <w:rsid w:val="004773D0"/>
    <w:rsid w:val="004867CF"/>
    <w:rsid w:val="00490D0F"/>
    <w:rsid w:val="004954B4"/>
    <w:rsid w:val="004A1E0D"/>
    <w:rsid w:val="004B6D24"/>
    <w:rsid w:val="00504B17"/>
    <w:rsid w:val="00506E47"/>
    <w:rsid w:val="00506EBF"/>
    <w:rsid w:val="00544B30"/>
    <w:rsid w:val="00550FE2"/>
    <w:rsid w:val="0058059E"/>
    <w:rsid w:val="00585E89"/>
    <w:rsid w:val="005A7F2C"/>
    <w:rsid w:val="005D60ED"/>
    <w:rsid w:val="005E270B"/>
    <w:rsid w:val="005E3AFE"/>
    <w:rsid w:val="005F3C7E"/>
    <w:rsid w:val="00602ECA"/>
    <w:rsid w:val="00604BBB"/>
    <w:rsid w:val="0060648C"/>
    <w:rsid w:val="006417F6"/>
    <w:rsid w:val="006423DC"/>
    <w:rsid w:val="006429F8"/>
    <w:rsid w:val="00647A06"/>
    <w:rsid w:val="006910D8"/>
    <w:rsid w:val="006A04FF"/>
    <w:rsid w:val="006A2630"/>
    <w:rsid w:val="006C034B"/>
    <w:rsid w:val="006D49DF"/>
    <w:rsid w:val="006E2F8D"/>
    <w:rsid w:val="006E3C41"/>
    <w:rsid w:val="006F475F"/>
    <w:rsid w:val="00707352"/>
    <w:rsid w:val="00727023"/>
    <w:rsid w:val="00732D94"/>
    <w:rsid w:val="00734B97"/>
    <w:rsid w:val="0073614E"/>
    <w:rsid w:val="00737CBA"/>
    <w:rsid w:val="00772B62"/>
    <w:rsid w:val="0077444A"/>
    <w:rsid w:val="0077540F"/>
    <w:rsid w:val="00780665"/>
    <w:rsid w:val="00785A37"/>
    <w:rsid w:val="00785C28"/>
    <w:rsid w:val="007A20F2"/>
    <w:rsid w:val="007B753E"/>
    <w:rsid w:val="007C44B4"/>
    <w:rsid w:val="007C643B"/>
    <w:rsid w:val="007D214E"/>
    <w:rsid w:val="007D5A6A"/>
    <w:rsid w:val="007F07BB"/>
    <w:rsid w:val="007F340B"/>
    <w:rsid w:val="007F3F0C"/>
    <w:rsid w:val="008012D1"/>
    <w:rsid w:val="00806B95"/>
    <w:rsid w:val="00816710"/>
    <w:rsid w:val="00826030"/>
    <w:rsid w:val="00827F7D"/>
    <w:rsid w:val="00831943"/>
    <w:rsid w:val="00841572"/>
    <w:rsid w:val="00841D2E"/>
    <w:rsid w:val="00861CFE"/>
    <w:rsid w:val="00865D6F"/>
    <w:rsid w:val="00871F6F"/>
    <w:rsid w:val="00873541"/>
    <w:rsid w:val="00880398"/>
    <w:rsid w:val="0088725C"/>
    <w:rsid w:val="008A5E79"/>
    <w:rsid w:val="008B2F63"/>
    <w:rsid w:val="008B3C1D"/>
    <w:rsid w:val="008E2FDA"/>
    <w:rsid w:val="008E50A2"/>
    <w:rsid w:val="008E5182"/>
    <w:rsid w:val="008E5A66"/>
    <w:rsid w:val="008F3D2F"/>
    <w:rsid w:val="00902B61"/>
    <w:rsid w:val="009245D7"/>
    <w:rsid w:val="00932726"/>
    <w:rsid w:val="00953117"/>
    <w:rsid w:val="0095337A"/>
    <w:rsid w:val="00986C49"/>
    <w:rsid w:val="009A0B32"/>
    <w:rsid w:val="009A4C7C"/>
    <w:rsid w:val="009A5BC5"/>
    <w:rsid w:val="009B7E9F"/>
    <w:rsid w:val="009C16BB"/>
    <w:rsid w:val="009E3E14"/>
    <w:rsid w:val="00A166AC"/>
    <w:rsid w:val="00A377E9"/>
    <w:rsid w:val="00A45FE0"/>
    <w:rsid w:val="00A56A81"/>
    <w:rsid w:val="00A63412"/>
    <w:rsid w:val="00A6423C"/>
    <w:rsid w:val="00A92810"/>
    <w:rsid w:val="00A94AF0"/>
    <w:rsid w:val="00AA7AEA"/>
    <w:rsid w:val="00AB53B0"/>
    <w:rsid w:val="00AD3221"/>
    <w:rsid w:val="00B0656D"/>
    <w:rsid w:val="00B13FAA"/>
    <w:rsid w:val="00B24ED3"/>
    <w:rsid w:val="00B25DF3"/>
    <w:rsid w:val="00B333F5"/>
    <w:rsid w:val="00B4408B"/>
    <w:rsid w:val="00B53DCE"/>
    <w:rsid w:val="00B65F46"/>
    <w:rsid w:val="00B72FFE"/>
    <w:rsid w:val="00B81FDA"/>
    <w:rsid w:val="00B909A7"/>
    <w:rsid w:val="00B971C3"/>
    <w:rsid w:val="00BA600F"/>
    <w:rsid w:val="00BD003E"/>
    <w:rsid w:val="00BE14C3"/>
    <w:rsid w:val="00BE2C40"/>
    <w:rsid w:val="00BF3A37"/>
    <w:rsid w:val="00C16067"/>
    <w:rsid w:val="00C31F4E"/>
    <w:rsid w:val="00C4153C"/>
    <w:rsid w:val="00C4722A"/>
    <w:rsid w:val="00C5023B"/>
    <w:rsid w:val="00C529FC"/>
    <w:rsid w:val="00C65BCD"/>
    <w:rsid w:val="00C8649C"/>
    <w:rsid w:val="00C872D4"/>
    <w:rsid w:val="00C96821"/>
    <w:rsid w:val="00CA0986"/>
    <w:rsid w:val="00CB3EBE"/>
    <w:rsid w:val="00CC44EC"/>
    <w:rsid w:val="00CD3202"/>
    <w:rsid w:val="00CD5A2E"/>
    <w:rsid w:val="00CE3177"/>
    <w:rsid w:val="00CF294F"/>
    <w:rsid w:val="00CF50DA"/>
    <w:rsid w:val="00D21AD0"/>
    <w:rsid w:val="00D458DA"/>
    <w:rsid w:val="00D56C23"/>
    <w:rsid w:val="00D6045A"/>
    <w:rsid w:val="00D605A3"/>
    <w:rsid w:val="00D61E72"/>
    <w:rsid w:val="00D93D91"/>
    <w:rsid w:val="00DA0C35"/>
    <w:rsid w:val="00DA1C07"/>
    <w:rsid w:val="00DA49FF"/>
    <w:rsid w:val="00DB3F4F"/>
    <w:rsid w:val="00DD07BE"/>
    <w:rsid w:val="00DD5173"/>
    <w:rsid w:val="00DE2842"/>
    <w:rsid w:val="00DF4AA6"/>
    <w:rsid w:val="00E014EE"/>
    <w:rsid w:val="00E071CF"/>
    <w:rsid w:val="00E17A8E"/>
    <w:rsid w:val="00E3003A"/>
    <w:rsid w:val="00E30C8B"/>
    <w:rsid w:val="00E33B56"/>
    <w:rsid w:val="00E46D68"/>
    <w:rsid w:val="00E712F5"/>
    <w:rsid w:val="00E8067E"/>
    <w:rsid w:val="00E950FE"/>
    <w:rsid w:val="00E97E52"/>
    <w:rsid w:val="00EC6470"/>
    <w:rsid w:val="00ED2E3B"/>
    <w:rsid w:val="00EF2934"/>
    <w:rsid w:val="00F0153F"/>
    <w:rsid w:val="00F01E17"/>
    <w:rsid w:val="00F07D62"/>
    <w:rsid w:val="00F114F9"/>
    <w:rsid w:val="00F12AB7"/>
    <w:rsid w:val="00F14F2B"/>
    <w:rsid w:val="00F26ADC"/>
    <w:rsid w:val="00F350D7"/>
    <w:rsid w:val="00F42899"/>
    <w:rsid w:val="00F46DAD"/>
    <w:rsid w:val="00F51460"/>
    <w:rsid w:val="00F57CBF"/>
    <w:rsid w:val="00F62135"/>
    <w:rsid w:val="00F67E49"/>
    <w:rsid w:val="00F832F9"/>
    <w:rsid w:val="00FA0B4C"/>
    <w:rsid w:val="00FA78B9"/>
    <w:rsid w:val="00FA7B58"/>
    <w:rsid w:val="00FB080A"/>
    <w:rsid w:val="00FB7F7A"/>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 w:type="paragraph" w:customStyle="1" w:styleId="head">
    <w:name w:val="head"/>
    <w:basedOn w:val="Normal"/>
    <w:rsid w:val="00355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1">
    <w:name w:val="head1"/>
    <w:basedOn w:val="DefaultParagraphFont"/>
    <w:rsid w:val="00355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200821496">
      <w:bodyDiv w:val="1"/>
      <w:marLeft w:val="0"/>
      <w:marRight w:val="0"/>
      <w:marTop w:val="0"/>
      <w:marBottom w:val="0"/>
      <w:divBdr>
        <w:top w:val="none" w:sz="0" w:space="0" w:color="auto"/>
        <w:left w:val="none" w:sz="0" w:space="0" w:color="auto"/>
        <w:bottom w:val="none" w:sz="0" w:space="0" w:color="auto"/>
        <w:right w:val="none" w:sz="0" w:space="0" w:color="auto"/>
      </w:divBdr>
      <w:divsChild>
        <w:div w:id="1779595136">
          <w:marLeft w:val="0"/>
          <w:marRight w:val="0"/>
          <w:marTop w:val="0"/>
          <w:marBottom w:val="300"/>
          <w:divBdr>
            <w:top w:val="none" w:sz="0" w:space="0" w:color="auto"/>
            <w:left w:val="none" w:sz="0" w:space="0" w:color="auto"/>
            <w:bottom w:val="none" w:sz="0" w:space="0" w:color="auto"/>
            <w:right w:val="none" w:sz="0" w:space="0" w:color="auto"/>
          </w:divBdr>
        </w:div>
        <w:div w:id="1781560543">
          <w:marLeft w:val="0"/>
          <w:marRight w:val="0"/>
          <w:marTop w:val="0"/>
          <w:marBottom w:val="0"/>
          <w:divBdr>
            <w:top w:val="none" w:sz="0" w:space="0" w:color="auto"/>
            <w:left w:val="none" w:sz="0" w:space="0" w:color="auto"/>
            <w:bottom w:val="none" w:sz="0" w:space="0" w:color="auto"/>
            <w:right w:val="none" w:sz="0" w:space="0" w:color="auto"/>
          </w:divBdr>
          <w:divsChild>
            <w:div w:id="2074888266">
              <w:marLeft w:val="0"/>
              <w:marRight w:val="0"/>
              <w:marTop w:val="0"/>
              <w:marBottom w:val="0"/>
              <w:divBdr>
                <w:top w:val="none" w:sz="0" w:space="0" w:color="auto"/>
                <w:left w:val="none" w:sz="0" w:space="0" w:color="auto"/>
                <w:bottom w:val="none" w:sz="0" w:space="0" w:color="auto"/>
                <w:right w:val="none" w:sz="0" w:space="0" w:color="auto"/>
              </w:divBdr>
              <w:divsChild>
                <w:div w:id="6322473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1967152860">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bi.org.in/Scripts/NotificationUser.aspx?Id=8382&amp;Mode=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bi.org.in/Scripts/NotificationUser.aspx?Id=5184&amp;Mode=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bi.org.in/Scripts/NotificationUser.aspx?Id=11802&amp;Mode=0" TargetMode="External"/><Relationship Id="rId5" Type="http://schemas.openxmlformats.org/officeDocument/2006/relationships/footnotes" Target="footnotes.xml"/><Relationship Id="rId10" Type="http://schemas.openxmlformats.org/officeDocument/2006/relationships/hyperlink" Target="https://www.rbi.org.in/Scripts/NotificationUser.aspx?Id=11672&amp;Mode=0" TargetMode="External"/><Relationship Id="rId4" Type="http://schemas.openxmlformats.org/officeDocument/2006/relationships/webSettings" Target="webSettings.xml"/><Relationship Id="rId9" Type="http://schemas.openxmlformats.org/officeDocument/2006/relationships/hyperlink" Target="https://www.rbi.org.in/Scripts/NotificationUser.aspx?Id=10004&amp;Mod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665</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186</cp:revision>
  <dcterms:created xsi:type="dcterms:W3CDTF">2020-01-24T17:23:00Z</dcterms:created>
  <dcterms:modified xsi:type="dcterms:W3CDTF">2020-05-09T06:00:00Z</dcterms:modified>
</cp:coreProperties>
</file>